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45D70" w14:textId="77777777" w:rsidR="00BA088B" w:rsidRDefault="00000000">
      <w:pPr>
        <w:jc w:val="center"/>
      </w:pPr>
      <w:r>
        <w:rPr>
          <w:b/>
          <w:color w:val="5A5A5A"/>
          <w:sz w:val="22"/>
        </w:rPr>
        <w:t>CYBERSECURITY VULNERABILITY REPORT</w:t>
      </w:r>
    </w:p>
    <w:p w14:paraId="6FA1605C" w14:textId="77777777" w:rsidR="00BA088B" w:rsidRDefault="00000000">
      <w:pPr>
        <w:pStyle w:val="Title"/>
        <w:jc w:val="center"/>
      </w:pPr>
      <w:r>
        <w:t>CVE-2023-29059</w:t>
      </w:r>
    </w:p>
    <w:p w14:paraId="1CFA9EFD" w14:textId="77777777" w:rsidR="00BA088B" w:rsidRDefault="00000000">
      <w:pPr>
        <w:jc w:val="center"/>
      </w:pPr>
      <w:r>
        <w:rPr>
          <w:b/>
          <w:color w:val="2F5597"/>
          <w:sz w:val="30"/>
        </w:rPr>
        <w:t>3CX DesktopApp Supply-Chain Compromise</w:t>
      </w:r>
    </w:p>
    <w:p w14:paraId="55B2033C" w14:textId="77777777" w:rsidR="00BA088B" w:rsidRDefault="00000000">
      <w:pPr>
        <w:jc w:val="center"/>
      </w:pPr>
      <w:r>
        <w:rPr>
          <w:b/>
          <w:sz w:val="22"/>
        </w:rPr>
        <w:t>CVSS v3.1: 7.8 / 10.0  |  Severity: High</w:t>
      </w:r>
    </w:p>
    <w:p w14:paraId="2932FEE6" w14:textId="77777777" w:rsidR="00BA088B" w:rsidRDefault="00BA088B"/>
    <w:tbl>
      <w:tblPr>
        <w:tblStyle w:val="TableGrid"/>
        <w:tblW w:w="0" w:type="auto"/>
        <w:tblLook w:val="04A0" w:firstRow="1" w:lastRow="0" w:firstColumn="1" w:lastColumn="0" w:noHBand="0" w:noVBand="1"/>
      </w:tblPr>
      <w:tblGrid>
        <w:gridCol w:w="4896"/>
        <w:gridCol w:w="4896"/>
      </w:tblGrid>
      <w:tr w:rsidR="00BA088B" w14:paraId="0EA438CA" w14:textId="77777777">
        <w:tc>
          <w:tcPr>
            <w:tcW w:w="4896" w:type="dxa"/>
            <w:shd w:val="clear" w:color="auto" w:fill="D9EAF7"/>
          </w:tcPr>
          <w:p w14:paraId="246978D3" w14:textId="77777777" w:rsidR="00BA088B" w:rsidRDefault="00000000">
            <w:pPr>
              <w:spacing w:after="0"/>
            </w:pPr>
            <w:r>
              <w:rPr>
                <w:b/>
                <w:sz w:val="18"/>
              </w:rPr>
              <w:t>Affected software</w:t>
            </w:r>
          </w:p>
        </w:tc>
        <w:tc>
          <w:tcPr>
            <w:tcW w:w="4896" w:type="dxa"/>
          </w:tcPr>
          <w:p w14:paraId="7D4D0420" w14:textId="77777777" w:rsidR="00BA088B" w:rsidRDefault="00000000">
            <w:pPr>
              <w:spacing w:after="0"/>
            </w:pPr>
            <w:r>
              <w:rPr>
                <w:sz w:val="18"/>
              </w:rPr>
              <w:t>3CX DesktopApp</w:t>
            </w:r>
          </w:p>
        </w:tc>
      </w:tr>
      <w:tr w:rsidR="00BA088B" w14:paraId="353D1193" w14:textId="77777777">
        <w:tc>
          <w:tcPr>
            <w:tcW w:w="4896" w:type="dxa"/>
            <w:shd w:val="clear" w:color="auto" w:fill="D9EAF7"/>
          </w:tcPr>
          <w:p w14:paraId="4D2345EB" w14:textId="77777777" w:rsidR="00BA088B" w:rsidRDefault="00000000">
            <w:pPr>
              <w:spacing w:after="0"/>
            </w:pPr>
            <w:r>
              <w:rPr>
                <w:b/>
                <w:sz w:val="18"/>
              </w:rPr>
              <w:t>Platforms</w:t>
            </w:r>
          </w:p>
        </w:tc>
        <w:tc>
          <w:tcPr>
            <w:tcW w:w="4896" w:type="dxa"/>
          </w:tcPr>
          <w:p w14:paraId="5D3E2C79" w14:textId="77777777" w:rsidR="00BA088B" w:rsidRDefault="00000000">
            <w:pPr>
              <w:spacing w:after="0"/>
            </w:pPr>
            <w:r>
              <w:rPr>
                <w:sz w:val="18"/>
              </w:rPr>
              <w:t>Windows and macOS</w:t>
            </w:r>
          </w:p>
        </w:tc>
      </w:tr>
      <w:tr w:rsidR="00BA088B" w14:paraId="3DA53857" w14:textId="77777777">
        <w:tc>
          <w:tcPr>
            <w:tcW w:w="4896" w:type="dxa"/>
            <w:shd w:val="clear" w:color="auto" w:fill="D9EAF7"/>
          </w:tcPr>
          <w:p w14:paraId="02D7F24C" w14:textId="77777777" w:rsidR="00BA088B" w:rsidRDefault="00000000">
            <w:pPr>
              <w:spacing w:after="0"/>
            </w:pPr>
            <w:r>
              <w:rPr>
                <w:b/>
                <w:sz w:val="18"/>
              </w:rPr>
              <w:t>Category</w:t>
            </w:r>
          </w:p>
        </w:tc>
        <w:tc>
          <w:tcPr>
            <w:tcW w:w="4896" w:type="dxa"/>
          </w:tcPr>
          <w:p w14:paraId="3177026F" w14:textId="77777777" w:rsidR="00BA088B" w:rsidRDefault="00000000">
            <w:pPr>
              <w:spacing w:after="0"/>
            </w:pPr>
            <w:r>
              <w:rPr>
                <w:sz w:val="18"/>
              </w:rPr>
              <w:t>Software supply-chain compromise</w:t>
            </w:r>
          </w:p>
        </w:tc>
      </w:tr>
      <w:tr w:rsidR="00BA088B" w14:paraId="576C2CBC" w14:textId="77777777">
        <w:tc>
          <w:tcPr>
            <w:tcW w:w="4896" w:type="dxa"/>
            <w:shd w:val="clear" w:color="auto" w:fill="D9EAF7"/>
          </w:tcPr>
          <w:p w14:paraId="066F2E30" w14:textId="77777777" w:rsidR="00BA088B" w:rsidRDefault="00000000">
            <w:pPr>
              <w:spacing w:after="0"/>
            </w:pPr>
            <w:r>
              <w:rPr>
                <w:b/>
                <w:sz w:val="18"/>
              </w:rPr>
              <w:t>Research focus</w:t>
            </w:r>
          </w:p>
        </w:tc>
        <w:tc>
          <w:tcPr>
            <w:tcW w:w="4896" w:type="dxa"/>
          </w:tcPr>
          <w:p w14:paraId="724B8CF9" w14:textId="77777777" w:rsidR="00BA088B" w:rsidRDefault="00000000">
            <w:pPr>
              <w:spacing w:after="0"/>
            </w:pPr>
            <w:r>
              <w:rPr>
                <w:sz w:val="18"/>
              </w:rPr>
              <w:t>NVD details, Cyber Kill Chain, response, and remediation</w:t>
            </w:r>
          </w:p>
        </w:tc>
      </w:tr>
    </w:tbl>
    <w:p w14:paraId="6BFD00EF" w14:textId="77777777" w:rsidR="00BA088B" w:rsidRDefault="00BA088B"/>
    <w:p w14:paraId="6419CC74" w14:textId="77777777" w:rsidR="00BA088B" w:rsidRDefault="00000000">
      <w:pPr>
        <w:jc w:val="center"/>
      </w:pPr>
      <w:r>
        <w:rPr>
          <w:i/>
          <w:color w:val="646464"/>
          <w:sz w:val="18"/>
        </w:rPr>
        <w:t>Educational and defensive cybersecurity research</w:t>
      </w:r>
    </w:p>
    <w:p w14:paraId="4CC57341" w14:textId="77777777" w:rsidR="00BA088B" w:rsidRDefault="00000000">
      <w:r>
        <w:br w:type="page"/>
      </w:r>
    </w:p>
    <w:p w14:paraId="4DE35AC8" w14:textId="77777777" w:rsidR="00BA088B" w:rsidRDefault="00000000">
      <w:pPr>
        <w:pStyle w:val="Heading1"/>
      </w:pPr>
      <w:r>
        <w:lastRenderedPageBreak/>
        <w:t>Table of Contents</w:t>
      </w:r>
    </w:p>
    <w:p w14:paraId="261E8027" w14:textId="77777777" w:rsidR="00BA088B" w:rsidRDefault="00000000">
      <w:pPr>
        <w:pStyle w:val="ListNumber"/>
      </w:pPr>
      <w:r>
        <w:t>1. Overview</w:t>
      </w:r>
    </w:p>
    <w:p w14:paraId="7B27154E" w14:textId="77777777" w:rsidR="00BA088B" w:rsidRDefault="00000000">
      <w:pPr>
        <w:pStyle w:val="ListNumber"/>
      </w:pPr>
      <w:r>
        <w:t>2. Vulnerability Details</w:t>
      </w:r>
    </w:p>
    <w:p w14:paraId="256959EF" w14:textId="77777777" w:rsidR="00BA088B" w:rsidRDefault="00000000">
      <w:pPr>
        <w:pStyle w:val="ListNumber"/>
      </w:pPr>
      <w:r>
        <w:t>3. Technical Description</w:t>
      </w:r>
    </w:p>
    <w:p w14:paraId="55ABDE65" w14:textId="77777777" w:rsidR="00BA088B" w:rsidRDefault="00000000">
      <w:pPr>
        <w:pStyle w:val="ListNumber"/>
      </w:pPr>
      <w:r>
        <w:t>4. Cyber Kill Chain Analysis</w:t>
      </w:r>
    </w:p>
    <w:p w14:paraId="3D7FA7DA" w14:textId="77777777" w:rsidR="00BA088B" w:rsidRDefault="00000000">
      <w:pPr>
        <w:pStyle w:val="ListNumber"/>
      </w:pPr>
      <w:r>
        <w:t>5. Cybersecurity Experts' Response</w:t>
      </w:r>
    </w:p>
    <w:p w14:paraId="655723E5" w14:textId="77777777" w:rsidR="00BA088B" w:rsidRDefault="00000000">
      <w:pPr>
        <w:pStyle w:val="ListNumber"/>
      </w:pPr>
      <w:r>
        <w:t>6. Patch and Remediation</w:t>
      </w:r>
    </w:p>
    <w:p w14:paraId="5B08EFE4" w14:textId="77777777" w:rsidR="00BA088B" w:rsidRDefault="00000000">
      <w:pPr>
        <w:pStyle w:val="ListNumber"/>
      </w:pPr>
      <w:r>
        <w:t>7. Security Recommendations</w:t>
      </w:r>
    </w:p>
    <w:p w14:paraId="00E7E6A8" w14:textId="77777777" w:rsidR="00BA088B" w:rsidRDefault="00000000">
      <w:pPr>
        <w:pStyle w:val="ListNumber"/>
      </w:pPr>
      <w:r>
        <w:t>8. Conclusion</w:t>
      </w:r>
    </w:p>
    <w:p w14:paraId="5B8872ED" w14:textId="77777777" w:rsidR="00BA088B" w:rsidRDefault="00000000">
      <w:pPr>
        <w:pStyle w:val="ListNumber"/>
      </w:pPr>
      <w:r>
        <w:t>9. References</w:t>
      </w:r>
    </w:p>
    <w:p w14:paraId="1CADDB46" w14:textId="77777777" w:rsidR="00BA088B" w:rsidRDefault="00000000">
      <w:pPr>
        <w:pStyle w:val="Heading1"/>
      </w:pPr>
      <w:r>
        <w:t>1. Overview</w:t>
      </w:r>
    </w:p>
    <w:p w14:paraId="54C1BDF5" w14:textId="77777777" w:rsidR="00BA088B" w:rsidRDefault="00000000">
      <w:r>
        <w:t>CVE-2023-29059 is associated with the 2023 compromise of the 3CX DesktopApp, a business communication application available for Windows and macOS. The incident involved malicious code distributed through compromised versions of a legitimate software application. It demonstrated how attackers can exploit trust in established software vendors and their distribution mechanisms to reach unsuspecting users.</w:t>
      </w:r>
    </w:p>
    <w:p w14:paraId="27A13C51" w14:textId="77777777" w:rsidR="00BA088B" w:rsidRDefault="00000000">
      <w:r>
        <w:t>The compromise became publicly known in March 2023 and triggered a cybersecurity response involving the software vendor, security researchers, and incident response teams. Unlike a conventional software vulnerability caused solely by a programming error, this incident highlights the security risks associated with compromised software and the software supply chain.</w:t>
      </w:r>
    </w:p>
    <w:p w14:paraId="6F93C0DF" w14:textId="77777777" w:rsidR="00BA088B" w:rsidRDefault="00000000">
      <w:r>
        <w:t>Official vulnerability record: https://nvd.nist.gov/vuln/detail/CVE-2023-29059</w:t>
      </w:r>
    </w:p>
    <w:p w14:paraId="125B15DD" w14:textId="77777777" w:rsidR="00BA088B" w:rsidRDefault="00000000">
      <w:pPr>
        <w:pStyle w:val="Heading1"/>
      </w:pPr>
      <w:r>
        <w:t>2. Vulnerability Details</w:t>
      </w:r>
    </w:p>
    <w:tbl>
      <w:tblPr>
        <w:tblStyle w:val="TableGrid"/>
        <w:tblW w:w="0" w:type="auto"/>
        <w:tblLook w:val="04A0" w:firstRow="1" w:lastRow="0" w:firstColumn="1" w:lastColumn="0" w:noHBand="0" w:noVBand="1"/>
      </w:tblPr>
      <w:tblGrid>
        <w:gridCol w:w="4896"/>
        <w:gridCol w:w="4896"/>
      </w:tblGrid>
      <w:tr w:rsidR="00BA088B" w14:paraId="4EA495AB" w14:textId="77777777">
        <w:tc>
          <w:tcPr>
            <w:tcW w:w="4896" w:type="dxa"/>
            <w:shd w:val="clear" w:color="auto" w:fill="17365D"/>
          </w:tcPr>
          <w:p w14:paraId="4B6273A9" w14:textId="77777777" w:rsidR="00BA088B" w:rsidRDefault="00000000">
            <w:pPr>
              <w:spacing w:after="0"/>
            </w:pPr>
            <w:r>
              <w:rPr>
                <w:b/>
                <w:color w:val="FFFFFF"/>
                <w:sz w:val="18"/>
              </w:rPr>
              <w:t>Attribute</w:t>
            </w:r>
          </w:p>
        </w:tc>
        <w:tc>
          <w:tcPr>
            <w:tcW w:w="4896" w:type="dxa"/>
            <w:shd w:val="clear" w:color="auto" w:fill="17365D"/>
          </w:tcPr>
          <w:p w14:paraId="1AFBF2F6" w14:textId="77777777" w:rsidR="00BA088B" w:rsidRDefault="00000000">
            <w:pPr>
              <w:spacing w:after="0"/>
            </w:pPr>
            <w:r>
              <w:rPr>
                <w:b/>
                <w:color w:val="FFFFFF"/>
                <w:sz w:val="18"/>
              </w:rPr>
              <w:t>Details</w:t>
            </w:r>
          </w:p>
        </w:tc>
      </w:tr>
      <w:tr w:rsidR="00BA088B" w14:paraId="5C1C8A68" w14:textId="77777777">
        <w:tc>
          <w:tcPr>
            <w:tcW w:w="4896" w:type="dxa"/>
          </w:tcPr>
          <w:p w14:paraId="1B0E93D8" w14:textId="77777777" w:rsidR="00BA088B" w:rsidRDefault="00000000">
            <w:pPr>
              <w:spacing w:after="0"/>
            </w:pPr>
            <w:r>
              <w:rPr>
                <w:b/>
                <w:sz w:val="18"/>
              </w:rPr>
              <w:t>CVE ID</w:t>
            </w:r>
          </w:p>
        </w:tc>
        <w:tc>
          <w:tcPr>
            <w:tcW w:w="4896" w:type="dxa"/>
          </w:tcPr>
          <w:p w14:paraId="194A8D54" w14:textId="77777777" w:rsidR="00BA088B" w:rsidRDefault="00000000">
            <w:pPr>
              <w:spacing w:after="0"/>
            </w:pPr>
            <w:r>
              <w:rPr>
                <w:sz w:val="18"/>
              </w:rPr>
              <w:t>CVE-2023-29059</w:t>
            </w:r>
          </w:p>
        </w:tc>
      </w:tr>
      <w:tr w:rsidR="00BA088B" w14:paraId="0EEF3EA3" w14:textId="77777777">
        <w:tc>
          <w:tcPr>
            <w:tcW w:w="4896" w:type="dxa"/>
          </w:tcPr>
          <w:p w14:paraId="4DF6AF24" w14:textId="77777777" w:rsidR="00BA088B" w:rsidRDefault="00000000">
            <w:pPr>
              <w:spacing w:after="0"/>
            </w:pPr>
            <w:r>
              <w:rPr>
                <w:b/>
                <w:sz w:val="18"/>
              </w:rPr>
              <w:t>Affected software</w:t>
            </w:r>
          </w:p>
        </w:tc>
        <w:tc>
          <w:tcPr>
            <w:tcW w:w="4896" w:type="dxa"/>
          </w:tcPr>
          <w:p w14:paraId="0BA9DF7C" w14:textId="77777777" w:rsidR="00BA088B" w:rsidRDefault="00000000">
            <w:pPr>
              <w:spacing w:after="0"/>
            </w:pPr>
            <w:r>
              <w:rPr>
                <w:sz w:val="18"/>
              </w:rPr>
              <w:t>3CX DesktopApp</w:t>
            </w:r>
          </w:p>
        </w:tc>
      </w:tr>
      <w:tr w:rsidR="00BA088B" w14:paraId="64068257" w14:textId="77777777">
        <w:tc>
          <w:tcPr>
            <w:tcW w:w="4896" w:type="dxa"/>
          </w:tcPr>
          <w:p w14:paraId="0B42BB99" w14:textId="77777777" w:rsidR="00BA088B" w:rsidRDefault="00000000">
            <w:pPr>
              <w:spacing w:after="0"/>
            </w:pPr>
            <w:r>
              <w:rPr>
                <w:b/>
                <w:sz w:val="18"/>
              </w:rPr>
              <w:t>Affected platforms</w:t>
            </w:r>
          </w:p>
        </w:tc>
        <w:tc>
          <w:tcPr>
            <w:tcW w:w="4896" w:type="dxa"/>
          </w:tcPr>
          <w:p w14:paraId="1A23A1E5" w14:textId="77777777" w:rsidR="00BA088B" w:rsidRDefault="00000000">
            <w:pPr>
              <w:spacing w:after="0"/>
            </w:pPr>
            <w:r>
              <w:rPr>
                <w:sz w:val="18"/>
              </w:rPr>
              <w:t>Windows and macOS</w:t>
            </w:r>
          </w:p>
        </w:tc>
      </w:tr>
      <w:tr w:rsidR="00BA088B" w14:paraId="613B2DC3" w14:textId="77777777">
        <w:tc>
          <w:tcPr>
            <w:tcW w:w="4896" w:type="dxa"/>
          </w:tcPr>
          <w:p w14:paraId="68C32DA0" w14:textId="77777777" w:rsidR="00BA088B" w:rsidRDefault="00000000">
            <w:pPr>
              <w:spacing w:after="0"/>
            </w:pPr>
            <w:r>
              <w:rPr>
                <w:b/>
                <w:sz w:val="18"/>
              </w:rPr>
              <w:t>Vulnerability category</w:t>
            </w:r>
          </w:p>
        </w:tc>
        <w:tc>
          <w:tcPr>
            <w:tcW w:w="4896" w:type="dxa"/>
          </w:tcPr>
          <w:p w14:paraId="22BA5427" w14:textId="77777777" w:rsidR="00BA088B" w:rsidRDefault="00000000">
            <w:pPr>
              <w:spacing w:after="0"/>
            </w:pPr>
            <w:r>
              <w:rPr>
                <w:sz w:val="18"/>
              </w:rPr>
              <w:t>Software supply-chain compromise</w:t>
            </w:r>
          </w:p>
        </w:tc>
      </w:tr>
      <w:tr w:rsidR="00BA088B" w14:paraId="2F626356" w14:textId="77777777">
        <w:tc>
          <w:tcPr>
            <w:tcW w:w="4896" w:type="dxa"/>
          </w:tcPr>
          <w:p w14:paraId="36578AA0" w14:textId="77777777" w:rsidR="00BA088B" w:rsidRDefault="00000000">
            <w:pPr>
              <w:spacing w:after="0"/>
            </w:pPr>
            <w:r>
              <w:rPr>
                <w:b/>
                <w:sz w:val="18"/>
              </w:rPr>
              <w:t>CVSS v3.1 score</w:t>
            </w:r>
          </w:p>
        </w:tc>
        <w:tc>
          <w:tcPr>
            <w:tcW w:w="4896" w:type="dxa"/>
          </w:tcPr>
          <w:p w14:paraId="576DEE78" w14:textId="77777777" w:rsidR="00BA088B" w:rsidRDefault="00000000">
            <w:pPr>
              <w:spacing w:after="0"/>
            </w:pPr>
            <w:r>
              <w:rPr>
                <w:sz w:val="18"/>
              </w:rPr>
              <w:t>7.8 / 10.0</w:t>
            </w:r>
          </w:p>
        </w:tc>
      </w:tr>
      <w:tr w:rsidR="00BA088B" w14:paraId="0A9C5D74" w14:textId="77777777">
        <w:tc>
          <w:tcPr>
            <w:tcW w:w="4896" w:type="dxa"/>
          </w:tcPr>
          <w:p w14:paraId="6C89A9BD" w14:textId="77777777" w:rsidR="00BA088B" w:rsidRDefault="00000000">
            <w:pPr>
              <w:spacing w:after="0"/>
            </w:pPr>
            <w:r>
              <w:rPr>
                <w:b/>
                <w:sz w:val="18"/>
              </w:rPr>
              <w:t>Severity</w:t>
            </w:r>
          </w:p>
        </w:tc>
        <w:tc>
          <w:tcPr>
            <w:tcW w:w="4896" w:type="dxa"/>
          </w:tcPr>
          <w:p w14:paraId="7841AD25" w14:textId="77777777" w:rsidR="00BA088B" w:rsidRDefault="00000000">
            <w:pPr>
              <w:spacing w:after="0"/>
            </w:pPr>
            <w:r>
              <w:rPr>
                <w:sz w:val="18"/>
              </w:rPr>
              <w:t>High</w:t>
            </w:r>
          </w:p>
        </w:tc>
      </w:tr>
      <w:tr w:rsidR="00BA088B" w14:paraId="1B837140" w14:textId="77777777">
        <w:tc>
          <w:tcPr>
            <w:tcW w:w="4896" w:type="dxa"/>
          </w:tcPr>
          <w:p w14:paraId="2BB9EC1B" w14:textId="77777777" w:rsidR="00BA088B" w:rsidRDefault="00000000">
            <w:pPr>
              <w:spacing w:after="0"/>
            </w:pPr>
            <w:r>
              <w:rPr>
                <w:b/>
                <w:sz w:val="18"/>
              </w:rPr>
              <w:t>Attack vector</w:t>
            </w:r>
          </w:p>
        </w:tc>
        <w:tc>
          <w:tcPr>
            <w:tcW w:w="4896" w:type="dxa"/>
          </w:tcPr>
          <w:p w14:paraId="16A38DCB" w14:textId="77777777" w:rsidR="00BA088B" w:rsidRDefault="00000000">
            <w:pPr>
              <w:spacing w:after="0"/>
            </w:pPr>
            <w:r>
              <w:rPr>
                <w:sz w:val="18"/>
              </w:rPr>
              <w:t>Local</w:t>
            </w:r>
          </w:p>
        </w:tc>
      </w:tr>
      <w:tr w:rsidR="00BA088B" w14:paraId="2D362070" w14:textId="77777777">
        <w:tc>
          <w:tcPr>
            <w:tcW w:w="4896" w:type="dxa"/>
          </w:tcPr>
          <w:p w14:paraId="1C9C6930" w14:textId="77777777" w:rsidR="00BA088B" w:rsidRDefault="00000000">
            <w:pPr>
              <w:spacing w:after="0"/>
            </w:pPr>
            <w:r>
              <w:rPr>
                <w:b/>
                <w:sz w:val="18"/>
              </w:rPr>
              <w:t>Attack complexity</w:t>
            </w:r>
          </w:p>
        </w:tc>
        <w:tc>
          <w:tcPr>
            <w:tcW w:w="4896" w:type="dxa"/>
          </w:tcPr>
          <w:p w14:paraId="377C0E1C" w14:textId="77777777" w:rsidR="00BA088B" w:rsidRDefault="00000000">
            <w:pPr>
              <w:spacing w:after="0"/>
            </w:pPr>
            <w:r>
              <w:rPr>
                <w:sz w:val="18"/>
              </w:rPr>
              <w:t>Low</w:t>
            </w:r>
          </w:p>
        </w:tc>
      </w:tr>
      <w:tr w:rsidR="00BA088B" w14:paraId="6A04A966" w14:textId="77777777">
        <w:tc>
          <w:tcPr>
            <w:tcW w:w="4896" w:type="dxa"/>
          </w:tcPr>
          <w:p w14:paraId="1087417B" w14:textId="77777777" w:rsidR="00BA088B" w:rsidRDefault="00000000">
            <w:pPr>
              <w:spacing w:after="0"/>
            </w:pPr>
            <w:r>
              <w:rPr>
                <w:b/>
                <w:sz w:val="18"/>
              </w:rPr>
              <w:t>Privileges required</w:t>
            </w:r>
          </w:p>
        </w:tc>
        <w:tc>
          <w:tcPr>
            <w:tcW w:w="4896" w:type="dxa"/>
          </w:tcPr>
          <w:p w14:paraId="2FE7C887" w14:textId="77777777" w:rsidR="00BA088B" w:rsidRDefault="00000000">
            <w:pPr>
              <w:spacing w:after="0"/>
            </w:pPr>
            <w:r>
              <w:rPr>
                <w:sz w:val="18"/>
              </w:rPr>
              <w:t>Low</w:t>
            </w:r>
          </w:p>
        </w:tc>
      </w:tr>
      <w:tr w:rsidR="00BA088B" w14:paraId="089A074C" w14:textId="77777777">
        <w:tc>
          <w:tcPr>
            <w:tcW w:w="4896" w:type="dxa"/>
          </w:tcPr>
          <w:p w14:paraId="4FE39D66" w14:textId="77777777" w:rsidR="00BA088B" w:rsidRDefault="00000000">
            <w:pPr>
              <w:spacing w:after="0"/>
            </w:pPr>
            <w:r>
              <w:rPr>
                <w:b/>
                <w:sz w:val="18"/>
              </w:rPr>
              <w:t>User interaction</w:t>
            </w:r>
          </w:p>
        </w:tc>
        <w:tc>
          <w:tcPr>
            <w:tcW w:w="4896" w:type="dxa"/>
          </w:tcPr>
          <w:p w14:paraId="6A1A28BF" w14:textId="77777777" w:rsidR="00BA088B" w:rsidRDefault="00000000">
            <w:pPr>
              <w:spacing w:after="0"/>
            </w:pPr>
            <w:r>
              <w:rPr>
                <w:sz w:val="18"/>
              </w:rPr>
              <w:t>None, according to the published CVSS vector</w:t>
            </w:r>
          </w:p>
        </w:tc>
      </w:tr>
      <w:tr w:rsidR="00BA088B" w14:paraId="1817F229" w14:textId="77777777">
        <w:tc>
          <w:tcPr>
            <w:tcW w:w="4896" w:type="dxa"/>
          </w:tcPr>
          <w:p w14:paraId="1816B545" w14:textId="77777777" w:rsidR="00BA088B" w:rsidRDefault="00000000">
            <w:pPr>
              <w:spacing w:after="0"/>
            </w:pPr>
            <w:r>
              <w:rPr>
                <w:b/>
                <w:sz w:val="18"/>
              </w:rPr>
              <w:t>Potential security impact</w:t>
            </w:r>
          </w:p>
        </w:tc>
        <w:tc>
          <w:tcPr>
            <w:tcW w:w="4896" w:type="dxa"/>
          </w:tcPr>
          <w:p w14:paraId="3A34D68F" w14:textId="77777777" w:rsidR="00BA088B" w:rsidRDefault="00000000">
            <w:pPr>
              <w:spacing w:after="0"/>
            </w:pPr>
            <w:r>
              <w:rPr>
                <w:sz w:val="18"/>
              </w:rPr>
              <w:t>Confidentiality, integrity, and availability</w:t>
            </w:r>
          </w:p>
        </w:tc>
      </w:tr>
      <w:tr w:rsidR="00BA088B" w14:paraId="708F136B" w14:textId="77777777">
        <w:tc>
          <w:tcPr>
            <w:tcW w:w="4896" w:type="dxa"/>
          </w:tcPr>
          <w:p w14:paraId="69B1C9F0" w14:textId="77777777" w:rsidR="00BA088B" w:rsidRDefault="00000000">
            <w:pPr>
              <w:spacing w:after="0"/>
            </w:pPr>
            <w:r>
              <w:rPr>
                <w:b/>
                <w:sz w:val="18"/>
              </w:rPr>
              <w:t>Disclosure period</w:t>
            </w:r>
          </w:p>
        </w:tc>
        <w:tc>
          <w:tcPr>
            <w:tcW w:w="4896" w:type="dxa"/>
          </w:tcPr>
          <w:p w14:paraId="649CDB1F" w14:textId="77777777" w:rsidR="00BA088B" w:rsidRDefault="00000000">
            <w:pPr>
              <w:spacing w:after="0"/>
            </w:pPr>
            <w:r>
              <w:rPr>
                <w:sz w:val="18"/>
              </w:rPr>
              <w:t>March 2023</w:t>
            </w:r>
          </w:p>
        </w:tc>
      </w:tr>
    </w:tbl>
    <w:p w14:paraId="3BE8E3F0" w14:textId="77777777" w:rsidR="00BA088B" w:rsidRDefault="00000000">
      <w:pPr>
        <w:pStyle w:val="Heading2"/>
      </w:pPr>
      <w:r>
        <w:t>CVSS v3.1 Vector</w:t>
      </w:r>
    </w:p>
    <w:p w14:paraId="707D2F99" w14:textId="77777777" w:rsidR="00BA088B" w:rsidRDefault="00000000">
      <w:pPr>
        <w:ind w:left="360"/>
      </w:pPr>
      <w:r>
        <w:rPr>
          <w:rFonts w:ascii="Consolas" w:hAnsi="Consolas"/>
          <w:sz w:val="18"/>
        </w:rPr>
        <w:t>CVSS:3.1/AV:L/AC:L/PR:L/UI:N/S:U/C:H/I:H/A:H</w:t>
      </w:r>
    </w:p>
    <w:p w14:paraId="0D97F061" w14:textId="77777777" w:rsidR="00BA088B" w:rsidRDefault="00000000">
      <w:pPr>
        <w:pStyle w:val="Heading2"/>
      </w:pPr>
      <w:r>
        <w:t>Understanding the CVSS Metrics</w:t>
      </w:r>
    </w:p>
    <w:tbl>
      <w:tblPr>
        <w:tblStyle w:val="TableGrid"/>
        <w:tblW w:w="0" w:type="auto"/>
        <w:tblLook w:val="04A0" w:firstRow="1" w:lastRow="0" w:firstColumn="1" w:lastColumn="0" w:noHBand="0" w:noVBand="1"/>
      </w:tblPr>
      <w:tblGrid>
        <w:gridCol w:w="3264"/>
        <w:gridCol w:w="3264"/>
        <w:gridCol w:w="3264"/>
      </w:tblGrid>
      <w:tr w:rsidR="00BA088B" w14:paraId="0BC593FD" w14:textId="77777777">
        <w:tc>
          <w:tcPr>
            <w:tcW w:w="3264" w:type="dxa"/>
            <w:shd w:val="clear" w:color="auto" w:fill="17365D"/>
          </w:tcPr>
          <w:p w14:paraId="18ED6D04" w14:textId="77777777" w:rsidR="00BA088B" w:rsidRDefault="00000000">
            <w:pPr>
              <w:spacing w:after="0"/>
            </w:pPr>
            <w:r>
              <w:rPr>
                <w:b/>
                <w:color w:val="FFFFFF"/>
                <w:sz w:val="18"/>
              </w:rPr>
              <w:t>Metric</w:t>
            </w:r>
          </w:p>
        </w:tc>
        <w:tc>
          <w:tcPr>
            <w:tcW w:w="3264" w:type="dxa"/>
            <w:shd w:val="clear" w:color="auto" w:fill="17365D"/>
          </w:tcPr>
          <w:p w14:paraId="677BF9A2" w14:textId="77777777" w:rsidR="00BA088B" w:rsidRDefault="00000000">
            <w:pPr>
              <w:spacing w:after="0"/>
            </w:pPr>
            <w:r>
              <w:rPr>
                <w:b/>
                <w:color w:val="FFFFFF"/>
                <w:sz w:val="18"/>
              </w:rPr>
              <w:t>Value</w:t>
            </w:r>
          </w:p>
        </w:tc>
        <w:tc>
          <w:tcPr>
            <w:tcW w:w="3264" w:type="dxa"/>
            <w:shd w:val="clear" w:color="auto" w:fill="17365D"/>
          </w:tcPr>
          <w:p w14:paraId="1A24AB1F" w14:textId="77777777" w:rsidR="00BA088B" w:rsidRDefault="00000000">
            <w:pPr>
              <w:spacing w:after="0"/>
            </w:pPr>
            <w:r>
              <w:rPr>
                <w:b/>
                <w:color w:val="FFFFFF"/>
                <w:sz w:val="18"/>
              </w:rPr>
              <w:t>Explanation</w:t>
            </w:r>
          </w:p>
        </w:tc>
      </w:tr>
      <w:tr w:rsidR="00BA088B" w14:paraId="00B5451D" w14:textId="77777777">
        <w:tc>
          <w:tcPr>
            <w:tcW w:w="3264" w:type="dxa"/>
          </w:tcPr>
          <w:p w14:paraId="35CB0E94" w14:textId="77777777" w:rsidR="00BA088B" w:rsidRDefault="00000000">
            <w:pPr>
              <w:spacing w:after="0"/>
            </w:pPr>
            <w:r>
              <w:rPr>
                <w:b/>
                <w:sz w:val="18"/>
              </w:rPr>
              <w:t>Attack Vector (AV)</w:t>
            </w:r>
          </w:p>
        </w:tc>
        <w:tc>
          <w:tcPr>
            <w:tcW w:w="3264" w:type="dxa"/>
          </w:tcPr>
          <w:p w14:paraId="49FB0A0C" w14:textId="77777777" w:rsidR="00BA088B" w:rsidRDefault="00000000">
            <w:pPr>
              <w:spacing w:after="0"/>
            </w:pPr>
            <w:r>
              <w:rPr>
                <w:sz w:val="18"/>
              </w:rPr>
              <w:t>Local (L)</w:t>
            </w:r>
          </w:p>
        </w:tc>
        <w:tc>
          <w:tcPr>
            <w:tcW w:w="3264" w:type="dxa"/>
          </w:tcPr>
          <w:p w14:paraId="3EBD56BC" w14:textId="77777777" w:rsidR="00BA088B" w:rsidRDefault="00000000">
            <w:pPr>
              <w:spacing w:after="0"/>
            </w:pPr>
            <w:r>
              <w:rPr>
                <w:sz w:val="18"/>
              </w:rPr>
              <w:t>The published scoring vector classifies exploitation as requiring local access.</w:t>
            </w:r>
          </w:p>
        </w:tc>
      </w:tr>
      <w:tr w:rsidR="00BA088B" w14:paraId="587DC048" w14:textId="77777777">
        <w:tc>
          <w:tcPr>
            <w:tcW w:w="3264" w:type="dxa"/>
          </w:tcPr>
          <w:p w14:paraId="452922B5" w14:textId="77777777" w:rsidR="00BA088B" w:rsidRDefault="00000000">
            <w:pPr>
              <w:spacing w:after="0"/>
            </w:pPr>
            <w:r>
              <w:rPr>
                <w:b/>
                <w:sz w:val="18"/>
              </w:rPr>
              <w:t>Attack Complexity (AC)</w:t>
            </w:r>
          </w:p>
        </w:tc>
        <w:tc>
          <w:tcPr>
            <w:tcW w:w="3264" w:type="dxa"/>
          </w:tcPr>
          <w:p w14:paraId="562543EF" w14:textId="77777777" w:rsidR="00BA088B" w:rsidRDefault="00000000">
            <w:pPr>
              <w:spacing w:after="0"/>
            </w:pPr>
            <w:r>
              <w:rPr>
                <w:sz w:val="18"/>
              </w:rPr>
              <w:t>Low (L)</w:t>
            </w:r>
          </w:p>
        </w:tc>
        <w:tc>
          <w:tcPr>
            <w:tcW w:w="3264" w:type="dxa"/>
          </w:tcPr>
          <w:p w14:paraId="6EAC0662" w14:textId="77777777" w:rsidR="00BA088B" w:rsidRDefault="00000000">
            <w:pPr>
              <w:spacing w:after="0"/>
            </w:pPr>
            <w:r>
              <w:rPr>
                <w:sz w:val="18"/>
              </w:rPr>
              <w:t>The scoring model indicates that exploitation does not require complex conditions.</w:t>
            </w:r>
          </w:p>
        </w:tc>
      </w:tr>
      <w:tr w:rsidR="00BA088B" w14:paraId="43D51EB2" w14:textId="77777777">
        <w:tc>
          <w:tcPr>
            <w:tcW w:w="3264" w:type="dxa"/>
          </w:tcPr>
          <w:p w14:paraId="6B466C89" w14:textId="77777777" w:rsidR="00BA088B" w:rsidRDefault="00000000">
            <w:pPr>
              <w:spacing w:after="0"/>
            </w:pPr>
            <w:r>
              <w:rPr>
                <w:b/>
                <w:sz w:val="18"/>
              </w:rPr>
              <w:t>Privileges Required (PR)</w:t>
            </w:r>
          </w:p>
        </w:tc>
        <w:tc>
          <w:tcPr>
            <w:tcW w:w="3264" w:type="dxa"/>
          </w:tcPr>
          <w:p w14:paraId="07BEB092" w14:textId="77777777" w:rsidR="00BA088B" w:rsidRDefault="00000000">
            <w:pPr>
              <w:spacing w:after="0"/>
            </w:pPr>
            <w:r>
              <w:rPr>
                <w:sz w:val="18"/>
              </w:rPr>
              <w:t>Low (L)</w:t>
            </w:r>
          </w:p>
        </w:tc>
        <w:tc>
          <w:tcPr>
            <w:tcW w:w="3264" w:type="dxa"/>
          </w:tcPr>
          <w:p w14:paraId="39887AA0" w14:textId="77777777" w:rsidR="00BA088B" w:rsidRDefault="00000000">
            <w:pPr>
              <w:spacing w:after="0"/>
            </w:pPr>
            <w:r>
              <w:rPr>
                <w:sz w:val="18"/>
              </w:rPr>
              <w:t>The vector assumes low-level privileges are required.</w:t>
            </w:r>
          </w:p>
        </w:tc>
      </w:tr>
      <w:tr w:rsidR="00BA088B" w14:paraId="230D138F" w14:textId="77777777">
        <w:tc>
          <w:tcPr>
            <w:tcW w:w="3264" w:type="dxa"/>
          </w:tcPr>
          <w:p w14:paraId="620772F2" w14:textId="77777777" w:rsidR="00BA088B" w:rsidRDefault="00000000">
            <w:pPr>
              <w:spacing w:after="0"/>
            </w:pPr>
            <w:r>
              <w:rPr>
                <w:b/>
                <w:sz w:val="18"/>
              </w:rPr>
              <w:t>User Interaction (UI)</w:t>
            </w:r>
          </w:p>
        </w:tc>
        <w:tc>
          <w:tcPr>
            <w:tcW w:w="3264" w:type="dxa"/>
          </w:tcPr>
          <w:p w14:paraId="52D1976A" w14:textId="77777777" w:rsidR="00BA088B" w:rsidRDefault="00000000">
            <w:pPr>
              <w:spacing w:after="0"/>
            </w:pPr>
            <w:r>
              <w:rPr>
                <w:sz w:val="18"/>
              </w:rPr>
              <w:t>None (N)</w:t>
            </w:r>
          </w:p>
        </w:tc>
        <w:tc>
          <w:tcPr>
            <w:tcW w:w="3264" w:type="dxa"/>
          </w:tcPr>
          <w:p w14:paraId="4DAA8DC1" w14:textId="77777777" w:rsidR="00BA088B" w:rsidRDefault="00000000">
            <w:pPr>
              <w:spacing w:after="0"/>
            </w:pPr>
            <w:r>
              <w:rPr>
                <w:sz w:val="18"/>
              </w:rPr>
              <w:t xml:space="preserve">No additional user interaction is </w:t>
            </w:r>
            <w:r>
              <w:rPr>
                <w:sz w:val="18"/>
              </w:rPr>
              <w:lastRenderedPageBreak/>
              <w:t>required under the assessed scenario.</w:t>
            </w:r>
          </w:p>
        </w:tc>
      </w:tr>
      <w:tr w:rsidR="00BA088B" w14:paraId="4FCBFA60" w14:textId="77777777">
        <w:tc>
          <w:tcPr>
            <w:tcW w:w="3264" w:type="dxa"/>
          </w:tcPr>
          <w:p w14:paraId="47B424BF" w14:textId="77777777" w:rsidR="00BA088B" w:rsidRDefault="00000000">
            <w:pPr>
              <w:spacing w:after="0"/>
            </w:pPr>
            <w:r>
              <w:rPr>
                <w:b/>
                <w:sz w:val="18"/>
              </w:rPr>
              <w:lastRenderedPageBreak/>
              <w:t>Scope (S)</w:t>
            </w:r>
          </w:p>
        </w:tc>
        <w:tc>
          <w:tcPr>
            <w:tcW w:w="3264" w:type="dxa"/>
          </w:tcPr>
          <w:p w14:paraId="64F29E62" w14:textId="77777777" w:rsidR="00BA088B" w:rsidRDefault="00000000">
            <w:pPr>
              <w:spacing w:after="0"/>
            </w:pPr>
            <w:r>
              <w:rPr>
                <w:sz w:val="18"/>
              </w:rPr>
              <w:t>Unchanged (U)</w:t>
            </w:r>
          </w:p>
        </w:tc>
        <w:tc>
          <w:tcPr>
            <w:tcW w:w="3264" w:type="dxa"/>
          </w:tcPr>
          <w:p w14:paraId="4AB2FE20" w14:textId="77777777" w:rsidR="00BA088B" w:rsidRDefault="00000000">
            <w:pPr>
              <w:spacing w:after="0"/>
            </w:pPr>
            <w:r>
              <w:rPr>
                <w:sz w:val="18"/>
              </w:rPr>
              <w:t>The assessed impact remains within the same security authority.</w:t>
            </w:r>
          </w:p>
        </w:tc>
      </w:tr>
      <w:tr w:rsidR="00BA088B" w14:paraId="4AF3D648" w14:textId="77777777">
        <w:tc>
          <w:tcPr>
            <w:tcW w:w="3264" w:type="dxa"/>
          </w:tcPr>
          <w:p w14:paraId="5F510C2A" w14:textId="77777777" w:rsidR="00BA088B" w:rsidRDefault="00000000">
            <w:pPr>
              <w:spacing w:after="0"/>
            </w:pPr>
            <w:r>
              <w:rPr>
                <w:b/>
                <w:sz w:val="18"/>
              </w:rPr>
              <w:t>Confidentiality (C)</w:t>
            </w:r>
          </w:p>
        </w:tc>
        <w:tc>
          <w:tcPr>
            <w:tcW w:w="3264" w:type="dxa"/>
          </w:tcPr>
          <w:p w14:paraId="434C988D" w14:textId="77777777" w:rsidR="00BA088B" w:rsidRDefault="00000000">
            <w:pPr>
              <w:spacing w:after="0"/>
            </w:pPr>
            <w:r>
              <w:rPr>
                <w:sz w:val="18"/>
              </w:rPr>
              <w:t>High (H)</w:t>
            </w:r>
          </w:p>
        </w:tc>
        <w:tc>
          <w:tcPr>
            <w:tcW w:w="3264" w:type="dxa"/>
          </w:tcPr>
          <w:p w14:paraId="6C852546" w14:textId="77777777" w:rsidR="00BA088B" w:rsidRDefault="00000000">
            <w:pPr>
              <w:spacing w:after="0"/>
            </w:pPr>
            <w:r>
              <w:rPr>
                <w:sz w:val="18"/>
              </w:rPr>
              <w:t>Sensitive information may be exposed.</w:t>
            </w:r>
          </w:p>
        </w:tc>
      </w:tr>
      <w:tr w:rsidR="00BA088B" w14:paraId="68248483" w14:textId="77777777">
        <w:tc>
          <w:tcPr>
            <w:tcW w:w="3264" w:type="dxa"/>
          </w:tcPr>
          <w:p w14:paraId="077058B5" w14:textId="77777777" w:rsidR="00BA088B" w:rsidRDefault="00000000">
            <w:pPr>
              <w:spacing w:after="0"/>
            </w:pPr>
            <w:r>
              <w:rPr>
                <w:b/>
                <w:sz w:val="18"/>
              </w:rPr>
              <w:t>Integrity (I)</w:t>
            </w:r>
          </w:p>
        </w:tc>
        <w:tc>
          <w:tcPr>
            <w:tcW w:w="3264" w:type="dxa"/>
          </w:tcPr>
          <w:p w14:paraId="7C07D557" w14:textId="77777777" w:rsidR="00BA088B" w:rsidRDefault="00000000">
            <w:pPr>
              <w:spacing w:after="0"/>
            </w:pPr>
            <w:r>
              <w:rPr>
                <w:sz w:val="18"/>
              </w:rPr>
              <w:t>High (H)</w:t>
            </w:r>
          </w:p>
        </w:tc>
        <w:tc>
          <w:tcPr>
            <w:tcW w:w="3264" w:type="dxa"/>
          </w:tcPr>
          <w:p w14:paraId="539076A5" w14:textId="77777777" w:rsidR="00BA088B" w:rsidRDefault="00000000">
            <w:pPr>
              <w:spacing w:after="0"/>
            </w:pPr>
            <w:r>
              <w:rPr>
                <w:sz w:val="18"/>
              </w:rPr>
              <w:t>Data or system information may be modified.</w:t>
            </w:r>
          </w:p>
        </w:tc>
      </w:tr>
      <w:tr w:rsidR="00BA088B" w14:paraId="25EEFD61" w14:textId="77777777">
        <w:tc>
          <w:tcPr>
            <w:tcW w:w="3264" w:type="dxa"/>
          </w:tcPr>
          <w:p w14:paraId="5BFC76FF" w14:textId="77777777" w:rsidR="00BA088B" w:rsidRDefault="00000000">
            <w:pPr>
              <w:spacing w:after="0"/>
            </w:pPr>
            <w:r>
              <w:rPr>
                <w:b/>
                <w:sz w:val="18"/>
              </w:rPr>
              <w:t>Availability (A)</w:t>
            </w:r>
          </w:p>
        </w:tc>
        <w:tc>
          <w:tcPr>
            <w:tcW w:w="3264" w:type="dxa"/>
          </w:tcPr>
          <w:p w14:paraId="7F6DF391" w14:textId="77777777" w:rsidR="00BA088B" w:rsidRDefault="00000000">
            <w:pPr>
              <w:spacing w:after="0"/>
            </w:pPr>
            <w:r>
              <w:rPr>
                <w:sz w:val="18"/>
              </w:rPr>
              <w:t>High (H)</w:t>
            </w:r>
          </w:p>
        </w:tc>
        <w:tc>
          <w:tcPr>
            <w:tcW w:w="3264" w:type="dxa"/>
          </w:tcPr>
          <w:p w14:paraId="38260733" w14:textId="77777777" w:rsidR="00BA088B" w:rsidRDefault="00000000">
            <w:pPr>
              <w:spacing w:after="0"/>
            </w:pPr>
            <w:r>
              <w:rPr>
                <w:sz w:val="18"/>
              </w:rPr>
              <w:t>System availability may be affected.</w:t>
            </w:r>
          </w:p>
        </w:tc>
      </w:tr>
    </w:tbl>
    <w:p w14:paraId="5C7B4183" w14:textId="77777777" w:rsidR="00BA088B" w:rsidRDefault="00000000">
      <w:r>
        <w:t>Important: The CVSS vector describes the assessed vulnerability characteristics. It should not be interpreted as a complete description of every stage of the broader 3CX supply-chain incident.</w:t>
      </w:r>
    </w:p>
    <w:p w14:paraId="7F8D1F2B" w14:textId="77777777" w:rsidR="00BA088B" w:rsidRDefault="00000000">
      <w:pPr>
        <w:pStyle w:val="Heading1"/>
      </w:pPr>
      <w:r>
        <w:t>3. Technical Description</w:t>
      </w:r>
    </w:p>
    <w:p w14:paraId="63F1B9FE" w14:textId="77777777" w:rsidR="00BA088B" w:rsidRDefault="00000000">
      <w:r>
        <w:t>The 3CX incident involved malicious code embedded in compromised application releases. Because the software was a legitimate business communication product, its distribution created a potential route for malicious activity to reach organisations that trusted the application.</w:t>
      </w:r>
    </w:p>
    <w:p w14:paraId="4B792B66" w14:textId="77777777" w:rsidR="00BA088B" w:rsidRDefault="00000000">
      <w:r>
        <w:t>The broader campaign demonstrated how software supply-chain compromises can undermine conventional security assumptions. Even when an organisation obtains software through an established distribution channel, a compromise affecting the software or its build and distribution process can introduce risk.</w:t>
      </w:r>
    </w:p>
    <w:p w14:paraId="0282D800" w14:textId="77777777" w:rsidR="00BA088B" w:rsidRDefault="00000000">
      <w:r>
        <w:t>Depending on the affected system and malicious components involved, consequences can include:</w:t>
      </w:r>
    </w:p>
    <w:p w14:paraId="70A539B6" w14:textId="77777777" w:rsidR="00BA088B" w:rsidRDefault="00000000">
      <w:pPr>
        <w:pStyle w:val="ListBullet"/>
      </w:pPr>
      <w:r>
        <w:t>Unauthorised execution of malicious code.</w:t>
      </w:r>
    </w:p>
    <w:p w14:paraId="0DA3E06D" w14:textId="77777777" w:rsidR="00BA088B" w:rsidRDefault="00000000">
      <w:pPr>
        <w:pStyle w:val="ListBullet"/>
      </w:pPr>
      <w:r>
        <w:t>Exposure of sensitive information.</w:t>
      </w:r>
    </w:p>
    <w:p w14:paraId="62E56FF7" w14:textId="77777777" w:rsidR="00BA088B" w:rsidRDefault="00000000">
      <w:pPr>
        <w:pStyle w:val="ListBullet"/>
      </w:pPr>
      <w:r>
        <w:t>Additional malicious components being introduced.</w:t>
      </w:r>
    </w:p>
    <w:p w14:paraId="170543AE" w14:textId="77777777" w:rsidR="00BA088B" w:rsidRDefault="00000000">
      <w:pPr>
        <w:pStyle w:val="ListBullet"/>
      </w:pPr>
      <w:r>
        <w:t>Unauthorised communication with external infrastructure.</w:t>
      </w:r>
    </w:p>
    <w:p w14:paraId="400221BC" w14:textId="77777777" w:rsidR="00BA088B" w:rsidRDefault="00000000">
      <w:pPr>
        <w:pStyle w:val="ListBullet"/>
      </w:pPr>
      <w:r>
        <w:t>Potential compromise of other systems within an organisation.</w:t>
      </w:r>
    </w:p>
    <w:p w14:paraId="2CD4F3A1" w14:textId="77777777" w:rsidR="00BA088B" w:rsidRDefault="00000000">
      <w:r>
        <w:t>The actual impact depends on the affected software version, the malicious components executed, the system's security controls, and the attacker's subsequent activity. This incident illustrates why application trust, software integrity, and vendor security practices are important components of cybersecurity.</w:t>
      </w:r>
    </w:p>
    <w:p w14:paraId="00932229" w14:textId="77777777" w:rsidR="00BA088B" w:rsidRDefault="00000000">
      <w:pPr>
        <w:pStyle w:val="Heading1"/>
      </w:pPr>
      <w:r>
        <w:t>4. Cyber Kill Chain Analysis</w:t>
      </w:r>
    </w:p>
    <w:p w14:paraId="27923AFD" w14:textId="77777777" w:rsidR="00BA088B" w:rsidRDefault="00000000">
      <w:r>
        <w:t>The Cyber Kill Chain is a framework used to analyse the stages of a cyberattack and identify opportunities for prevention, detection, and response. The following analysis applies the seven-stage framework to the 3CX supply-chain incident.</w:t>
      </w:r>
    </w:p>
    <w:p w14:paraId="2FEDC950" w14:textId="77777777" w:rsidR="00BA088B" w:rsidRDefault="00000000">
      <w:pPr>
        <w:pStyle w:val="Heading2"/>
      </w:pPr>
      <w:r>
        <w:t>4.1 Reconnaissance</w:t>
      </w:r>
    </w:p>
    <w:p w14:paraId="5050D964" w14:textId="77777777" w:rsidR="00BA088B" w:rsidRDefault="00000000">
      <w:r>
        <w:t>Attackers identify potential targets, software dependencies, and opportunities to compromise trusted software distribution channels. In a supply-chain attack, the objective may involve compromising a software provider or another component of the software delivery process rather than attacking every victim individually.</w:t>
      </w:r>
    </w:p>
    <w:p w14:paraId="48B0B2EC" w14:textId="77777777" w:rsidR="00BA088B" w:rsidRDefault="00000000">
      <w:r>
        <w:rPr>
          <w:b/>
        </w:rPr>
        <w:t>Defensive measures:</w:t>
      </w:r>
    </w:p>
    <w:p w14:paraId="3DCCE4F2" w14:textId="77777777" w:rsidR="00BA088B" w:rsidRDefault="00000000">
      <w:pPr>
        <w:pStyle w:val="ListBullet"/>
      </w:pPr>
      <w:r>
        <w:t>Maintain an inventory of approved applications and dependencies.</w:t>
      </w:r>
    </w:p>
    <w:p w14:paraId="7877F040" w14:textId="77777777" w:rsidR="00BA088B" w:rsidRDefault="00000000">
      <w:pPr>
        <w:pStyle w:val="ListBullet"/>
      </w:pPr>
      <w:r>
        <w:t>Assess software suppliers and their security practices.</w:t>
      </w:r>
    </w:p>
    <w:p w14:paraId="2C48CD60" w14:textId="77777777" w:rsidR="00BA088B" w:rsidRDefault="00000000">
      <w:pPr>
        <w:pStyle w:val="ListBullet"/>
      </w:pPr>
      <w:r>
        <w:t>Monitor relevant threat intelligence reports.</w:t>
      </w:r>
    </w:p>
    <w:p w14:paraId="7FFB94BE" w14:textId="77777777" w:rsidR="00BA088B" w:rsidRDefault="00000000">
      <w:pPr>
        <w:pStyle w:val="ListBullet"/>
      </w:pPr>
      <w:r>
        <w:t>Identify critical applications used throughout the organisation.</w:t>
      </w:r>
    </w:p>
    <w:p w14:paraId="7186380E" w14:textId="77777777" w:rsidR="00BA088B" w:rsidRDefault="00000000">
      <w:pPr>
        <w:pStyle w:val="Heading2"/>
      </w:pPr>
      <w:r>
        <w:t>4.2 Weaponisation</w:t>
      </w:r>
    </w:p>
    <w:p w14:paraId="452154D1" w14:textId="77777777" w:rsidR="00BA088B" w:rsidRDefault="00000000">
      <w:r>
        <w:t>Malicious code is incorporated into a compromised software distribution. This can allow attackers to exploit the trust users place in a legitimate application.</w:t>
      </w:r>
    </w:p>
    <w:p w14:paraId="2ABFA6C6" w14:textId="77777777" w:rsidR="00BA088B" w:rsidRDefault="00000000">
      <w:r>
        <w:rPr>
          <w:b/>
        </w:rPr>
        <w:lastRenderedPageBreak/>
        <w:t>Defensive measures:</w:t>
      </w:r>
    </w:p>
    <w:p w14:paraId="156DD366" w14:textId="77777777" w:rsidR="00BA088B" w:rsidRDefault="00000000">
      <w:pPr>
        <w:pStyle w:val="ListBullet"/>
      </w:pPr>
      <w:r>
        <w:t>Protect source code repositories and build infrastructure.</w:t>
      </w:r>
    </w:p>
    <w:p w14:paraId="31539EE3" w14:textId="77777777" w:rsidR="00BA088B" w:rsidRDefault="00000000">
      <w:pPr>
        <w:pStyle w:val="ListBullet"/>
      </w:pPr>
      <w:r>
        <w:t>Secure software signing keys and release credentials.</w:t>
      </w:r>
    </w:p>
    <w:p w14:paraId="70033218" w14:textId="77777777" w:rsidR="00BA088B" w:rsidRDefault="00000000">
      <w:pPr>
        <w:pStyle w:val="ListBullet"/>
      </w:pPr>
      <w:r>
        <w:t>Introduce integrity checks into software release processes.</w:t>
      </w:r>
    </w:p>
    <w:p w14:paraId="45A5B56F" w14:textId="77777777" w:rsidR="00BA088B" w:rsidRDefault="00000000">
      <w:pPr>
        <w:pStyle w:val="ListBullet"/>
      </w:pPr>
      <w:r>
        <w:t>Apply software supply-chain security controls.</w:t>
      </w:r>
    </w:p>
    <w:p w14:paraId="012E40C4" w14:textId="77777777" w:rsidR="00BA088B" w:rsidRDefault="00000000">
      <w:pPr>
        <w:pStyle w:val="Heading2"/>
      </w:pPr>
      <w:r>
        <w:t>4.3 Delivery</w:t>
      </w:r>
    </w:p>
    <w:p w14:paraId="66773FB8" w14:textId="77777777" w:rsidR="00BA088B" w:rsidRDefault="00000000">
      <w:r>
        <w:t>The compromised application reaches intended victims through software distribution mechanisms. Because the application is legitimate software, users may not immediately recognise that an affected release presents a risk.</w:t>
      </w:r>
    </w:p>
    <w:p w14:paraId="07D46F9B" w14:textId="77777777" w:rsidR="00BA088B" w:rsidRDefault="00000000">
      <w:r>
        <w:rPr>
          <w:b/>
        </w:rPr>
        <w:t>Defensive measures:</w:t>
      </w:r>
    </w:p>
    <w:p w14:paraId="7BCA529D" w14:textId="77777777" w:rsidR="00BA088B" w:rsidRDefault="00000000">
      <w:pPr>
        <w:pStyle w:val="ListBullet"/>
      </w:pPr>
      <w:r>
        <w:t>Obtain software updates from verified sources.</w:t>
      </w:r>
    </w:p>
    <w:p w14:paraId="1BD051EA" w14:textId="77777777" w:rsidR="00BA088B" w:rsidRDefault="00000000">
      <w:pPr>
        <w:pStyle w:val="ListBullet"/>
      </w:pPr>
      <w:r>
        <w:t>Monitor vendor security announcements.</w:t>
      </w:r>
    </w:p>
    <w:p w14:paraId="21E341AC" w14:textId="77777777" w:rsidR="00BA088B" w:rsidRDefault="00000000">
      <w:pPr>
        <w:pStyle w:val="ListBullet"/>
      </w:pPr>
      <w:r>
        <w:t>Use application control and endpoint protection solutions.</w:t>
      </w:r>
    </w:p>
    <w:p w14:paraId="265B17C9" w14:textId="77777777" w:rsidR="00BA088B" w:rsidRDefault="00000000">
      <w:pPr>
        <w:pStyle w:val="ListBullet"/>
      </w:pPr>
      <w:r>
        <w:t>Verify software integrity where appropriate.</w:t>
      </w:r>
    </w:p>
    <w:p w14:paraId="0FAC4B9F" w14:textId="77777777" w:rsidR="00BA088B" w:rsidRDefault="00000000">
      <w:pPr>
        <w:pStyle w:val="Heading2"/>
      </w:pPr>
      <w:r>
        <w:t>4.4 Exploitation</w:t>
      </w:r>
    </w:p>
    <w:p w14:paraId="5FDDBED1" w14:textId="77777777" w:rsidR="00BA088B" w:rsidRDefault="00000000">
      <w:r>
        <w:t>When an affected application is executed, malicious components may initiate unauthorised activity on the system. The exact behaviour depends on the compromised release and the malicious components involved.</w:t>
      </w:r>
    </w:p>
    <w:p w14:paraId="58EE50A2" w14:textId="77777777" w:rsidR="00BA088B" w:rsidRDefault="00000000">
      <w:r>
        <w:rPr>
          <w:b/>
        </w:rPr>
        <w:t>Defensive measures:</w:t>
      </w:r>
    </w:p>
    <w:p w14:paraId="49984898" w14:textId="77777777" w:rsidR="00BA088B" w:rsidRDefault="00000000">
      <w:pPr>
        <w:pStyle w:val="ListBullet"/>
      </w:pPr>
      <w:r>
        <w:t>Install security updates and clean replacement releases.</w:t>
      </w:r>
    </w:p>
    <w:p w14:paraId="7225BEB7" w14:textId="77777777" w:rsidR="00BA088B" w:rsidRDefault="00000000">
      <w:pPr>
        <w:pStyle w:val="ListBullet"/>
      </w:pPr>
      <w:r>
        <w:t>Use endpoint detection and response (EDR) tools.</w:t>
      </w:r>
    </w:p>
    <w:p w14:paraId="2D1267F8" w14:textId="77777777" w:rsidR="00BA088B" w:rsidRDefault="00000000">
      <w:pPr>
        <w:pStyle w:val="ListBullet"/>
      </w:pPr>
      <w:r>
        <w:t>Monitor suspicious application behaviour.</w:t>
      </w:r>
    </w:p>
    <w:p w14:paraId="362B67BE" w14:textId="77777777" w:rsidR="00BA088B" w:rsidRDefault="00000000">
      <w:pPr>
        <w:pStyle w:val="ListBullet"/>
      </w:pPr>
      <w:r>
        <w:t>Investigate unusual processes and network activity.</w:t>
      </w:r>
    </w:p>
    <w:p w14:paraId="3A37A4E9" w14:textId="77777777" w:rsidR="00BA088B" w:rsidRDefault="00000000">
      <w:pPr>
        <w:pStyle w:val="Heading2"/>
      </w:pPr>
      <w:r>
        <w:t>4.5 Installation</w:t>
      </w:r>
    </w:p>
    <w:p w14:paraId="03BE6407" w14:textId="77777777" w:rsidR="00BA088B" w:rsidRDefault="00000000">
      <w:r>
        <w:t>Following successful execution, malicious components may attempt to establish additional access or introduce further components. The presence of compromised software does not mean every affected installation experienced identical activity.</w:t>
      </w:r>
    </w:p>
    <w:p w14:paraId="3A100ACE" w14:textId="77777777" w:rsidR="00BA088B" w:rsidRDefault="00000000">
      <w:r>
        <w:rPr>
          <w:b/>
        </w:rPr>
        <w:t>Defensive measures:</w:t>
      </w:r>
    </w:p>
    <w:p w14:paraId="147B4566" w14:textId="77777777" w:rsidR="00BA088B" w:rsidRDefault="00000000">
      <w:pPr>
        <w:pStyle w:val="ListBullet"/>
      </w:pPr>
      <w:r>
        <w:t>Inspect endpoints for suspicious files and processes.</w:t>
      </w:r>
    </w:p>
    <w:p w14:paraId="5822153F" w14:textId="77777777" w:rsidR="00BA088B" w:rsidRDefault="00000000">
      <w:pPr>
        <w:pStyle w:val="ListBullet"/>
      </w:pPr>
      <w:r>
        <w:t>Review persistence mechanisms and unauthorised system changes.</w:t>
      </w:r>
    </w:p>
    <w:p w14:paraId="2E95FEC2" w14:textId="77777777" w:rsidR="00BA088B" w:rsidRDefault="00000000">
      <w:pPr>
        <w:pStyle w:val="ListBullet"/>
      </w:pPr>
      <w:r>
        <w:t>Isolate potentially compromised systems.</w:t>
      </w:r>
    </w:p>
    <w:p w14:paraId="4B5B2F65" w14:textId="77777777" w:rsidR="00BA088B" w:rsidRDefault="00000000">
      <w:pPr>
        <w:pStyle w:val="ListBullet"/>
      </w:pPr>
      <w:r>
        <w:t>Rebuild systems when their integrity cannot be trusted.</w:t>
      </w:r>
    </w:p>
    <w:p w14:paraId="04360425" w14:textId="77777777" w:rsidR="00BA088B" w:rsidRDefault="00000000">
      <w:pPr>
        <w:pStyle w:val="Heading2"/>
      </w:pPr>
      <w:r>
        <w:t>4.6 Command and Control</w:t>
      </w:r>
    </w:p>
    <w:p w14:paraId="2749B9BD" w14:textId="77777777" w:rsidR="00BA088B" w:rsidRDefault="00000000">
      <w:r>
        <w:t>Malicious components may communicate with attacker-controlled infrastructure to receive instructions or transmit information. Security teams can investigate unusual outbound connections and compare observed activity with threat intelligence.</w:t>
      </w:r>
    </w:p>
    <w:p w14:paraId="52674746" w14:textId="77777777" w:rsidR="00BA088B" w:rsidRDefault="00000000">
      <w:r>
        <w:rPr>
          <w:b/>
        </w:rPr>
        <w:t>Defensive measures:</w:t>
      </w:r>
    </w:p>
    <w:p w14:paraId="5F262A6F" w14:textId="77777777" w:rsidR="00BA088B" w:rsidRDefault="00000000">
      <w:pPr>
        <w:pStyle w:val="ListBullet"/>
      </w:pPr>
      <w:r>
        <w:t>Monitor outbound network connections.</w:t>
      </w:r>
    </w:p>
    <w:p w14:paraId="5636D4A4" w14:textId="77777777" w:rsidR="00BA088B" w:rsidRDefault="00000000">
      <w:pPr>
        <w:pStyle w:val="ListBullet"/>
      </w:pPr>
      <w:r>
        <w:t>Investigate communications with suspicious domains and IP addresses.</w:t>
      </w:r>
    </w:p>
    <w:p w14:paraId="10887C23" w14:textId="77777777" w:rsidR="00BA088B" w:rsidRDefault="00000000">
      <w:pPr>
        <w:pStyle w:val="ListBullet"/>
      </w:pPr>
      <w:r>
        <w:t>Apply appropriate egress filtering.</w:t>
      </w:r>
    </w:p>
    <w:p w14:paraId="5F0EF50C" w14:textId="77777777" w:rsidR="00BA088B" w:rsidRDefault="00000000">
      <w:pPr>
        <w:pStyle w:val="ListBullet"/>
      </w:pPr>
      <w:r>
        <w:t>Use network detection and endpoint monitoring tools.</w:t>
      </w:r>
    </w:p>
    <w:p w14:paraId="5BDBBF40" w14:textId="77777777" w:rsidR="00BA088B" w:rsidRDefault="00000000">
      <w:pPr>
        <w:pStyle w:val="Heading2"/>
      </w:pPr>
      <w:r>
        <w:lastRenderedPageBreak/>
        <w:t>4.7 Actions on Objectives</w:t>
      </w:r>
    </w:p>
    <w:p w14:paraId="1844D7B0" w14:textId="77777777" w:rsidR="00BA088B" w:rsidRDefault="00000000">
      <w:r>
        <w:t>Depending on the attacker's goals and the level of compromise, malicious activity may involve collecting information, accessing sensitive data, or attempting to compromise additional systems.</w:t>
      </w:r>
    </w:p>
    <w:p w14:paraId="241341D2" w14:textId="77777777" w:rsidR="00BA088B" w:rsidRDefault="00000000">
      <w:r>
        <w:rPr>
          <w:b/>
        </w:rPr>
        <w:t>Defensive measures:</w:t>
      </w:r>
    </w:p>
    <w:p w14:paraId="11D0E8B0" w14:textId="77777777" w:rsidR="00BA088B" w:rsidRDefault="00000000">
      <w:pPr>
        <w:pStyle w:val="ListBullet"/>
      </w:pPr>
      <w:r>
        <w:t>Determine whether sensitive information was accessed.</w:t>
      </w:r>
    </w:p>
    <w:p w14:paraId="167B61C9" w14:textId="77777777" w:rsidR="00BA088B" w:rsidRDefault="00000000">
      <w:pPr>
        <w:pStyle w:val="ListBullet"/>
      </w:pPr>
      <w:r>
        <w:t>Review authentication and endpoint activity.</w:t>
      </w:r>
    </w:p>
    <w:p w14:paraId="16631831" w14:textId="77777777" w:rsidR="00BA088B" w:rsidRDefault="00000000">
      <w:pPr>
        <w:pStyle w:val="ListBullet"/>
      </w:pPr>
      <w:r>
        <w:t>Investigate possible lateral movement.</w:t>
      </w:r>
    </w:p>
    <w:p w14:paraId="72A3BDCE" w14:textId="77777777" w:rsidR="00BA088B" w:rsidRDefault="00000000">
      <w:pPr>
        <w:pStyle w:val="ListBullet"/>
      </w:pPr>
      <w:r>
        <w:t>Restore affected systems to a trusted state.</w:t>
      </w:r>
    </w:p>
    <w:p w14:paraId="0EB575E9" w14:textId="77777777" w:rsidR="00BA088B" w:rsidRDefault="00000000">
      <w:pPr>
        <w:pStyle w:val="ListBullet"/>
      </w:pPr>
      <w:r>
        <w:t>Report and document the incident according to applicable requirements.</w:t>
      </w:r>
    </w:p>
    <w:p w14:paraId="627918AD" w14:textId="77777777" w:rsidR="00BA088B" w:rsidRDefault="00000000">
      <w:r>
        <w:t>Analysis: The Cyber Kill Chain helps security teams identify defensive opportunities throughout an attack. However, it is a general analytical framework; the stages above should not be interpreted as proof that every stage occurred on every affected endpoint.</w:t>
      </w:r>
    </w:p>
    <w:p w14:paraId="5AB4850E" w14:textId="77777777" w:rsidR="00BA088B" w:rsidRDefault="00000000">
      <w:pPr>
        <w:pStyle w:val="Heading1"/>
      </w:pPr>
      <w:r>
        <w:t>5. Cybersecurity Experts' Response</w:t>
      </w:r>
    </w:p>
    <w:p w14:paraId="5A614C9E" w14:textId="77777777" w:rsidR="00BA088B" w:rsidRDefault="00000000">
      <w:pPr>
        <w:pStyle w:val="Heading2"/>
      </w:pPr>
      <w:r>
        <w:t>5.1 Public Security Alerts</w:t>
      </w:r>
    </w:p>
    <w:p w14:paraId="61C51DC4" w14:textId="77777777" w:rsidR="00BA088B" w:rsidRDefault="00000000">
      <w:r>
        <w:t>Security researchers identified suspicious activity associated with affected 3CX DesktopApp releases. Public warnings helped organisations recognise the risk and take protective action.</w:t>
      </w:r>
    </w:p>
    <w:p w14:paraId="6213D645" w14:textId="77777777" w:rsidR="00BA088B" w:rsidRDefault="00000000">
      <w:pPr>
        <w:pStyle w:val="Heading2"/>
      </w:pPr>
      <w:r>
        <w:t>5.2 Disabling Affected Releases</w:t>
      </w:r>
    </w:p>
    <w:p w14:paraId="2E100EC0" w14:textId="77777777" w:rsidR="00BA088B" w:rsidRDefault="00000000">
      <w:r>
        <w:t>Organisations were advised to stop using compromised versions and follow the vendor's security guidance. This was important because continued execution of compromised software could expose systems to additional malicious activity.</w:t>
      </w:r>
    </w:p>
    <w:p w14:paraId="3912B4FE" w14:textId="77777777" w:rsidR="00BA088B" w:rsidRDefault="00000000">
      <w:pPr>
        <w:pStyle w:val="Heading2"/>
      </w:pPr>
      <w:r>
        <w:t>5.3 Software Replacement</w:t>
      </w:r>
    </w:p>
    <w:p w14:paraId="1DB63490" w14:textId="77777777" w:rsidR="00BA088B" w:rsidRDefault="00000000">
      <w:r>
        <w:t>The vendor provided guidance on replacing affected software with trusted releases. Organisations needed to verify that the replacement came from an authentic source.</w:t>
      </w:r>
    </w:p>
    <w:p w14:paraId="720B4C4E" w14:textId="77777777" w:rsidR="00BA088B" w:rsidRDefault="00000000">
      <w:pPr>
        <w:pStyle w:val="Heading2"/>
      </w:pPr>
      <w:r>
        <w:t>5.4 Incident Investigation</w:t>
      </w:r>
    </w:p>
    <w:p w14:paraId="367B3DEE" w14:textId="77777777" w:rsidR="00BA088B" w:rsidRDefault="00000000">
      <w:r>
        <w:t>Security teams investigated potentially affected endpoints by examining application execution history, suspicious files and processes, outbound network connections, endpoint detection alerts, and evidence of credential exposure or additional compromise.</w:t>
      </w:r>
    </w:p>
    <w:p w14:paraId="31039506" w14:textId="77777777" w:rsidR="00BA088B" w:rsidRDefault="00000000">
      <w:pPr>
        <w:pStyle w:val="Heading2"/>
      </w:pPr>
      <w:r>
        <w:t>5.5 Containment and Recovery</w:t>
      </w:r>
    </w:p>
    <w:p w14:paraId="7178DE8B" w14:textId="77777777" w:rsidR="00BA088B" w:rsidRDefault="00000000">
      <w:r>
        <w:t>Where compromise was suspected, incident responders could isolate affected endpoints, remove malicious components, assess potential data exposure, and rebuild systems when necessary.</w:t>
      </w:r>
    </w:p>
    <w:p w14:paraId="44FE72C2" w14:textId="77777777" w:rsidR="00BA088B" w:rsidRDefault="00000000">
      <w:pPr>
        <w:pStyle w:val="Heading2"/>
      </w:pPr>
      <w:r>
        <w:t>5.6 Threat Intelligence Sharing</w:t>
      </w:r>
    </w:p>
    <w:p w14:paraId="7085447B" w14:textId="77777777" w:rsidR="00BA088B" w:rsidRDefault="00000000">
      <w:r>
        <w:t>Security researchers shared technical findings and indicators of compromise to help organisations identify suspicious activity and strengthen their defences.</w:t>
      </w:r>
    </w:p>
    <w:p w14:paraId="43A111E1" w14:textId="77777777" w:rsidR="00BA088B" w:rsidRDefault="00000000">
      <w:r>
        <w:rPr>
          <w:b/>
        </w:rPr>
        <w:t xml:space="preserve">Key lesson: </w:t>
      </w:r>
      <w:r>
        <w:t>Effective incident response requires more than replacing compromised software. Organisations must also investigate whether malicious activity occurred before the software was removed.</w:t>
      </w:r>
    </w:p>
    <w:p w14:paraId="1537AD7F" w14:textId="77777777" w:rsidR="00BA088B" w:rsidRDefault="00000000">
      <w:pPr>
        <w:pStyle w:val="Heading1"/>
      </w:pPr>
      <w:r>
        <w:t>6. Patch and Remediation</w:t>
      </w:r>
    </w:p>
    <w:p w14:paraId="1407A2ED" w14:textId="77777777" w:rsidR="00BA088B" w:rsidRDefault="00000000">
      <w:r>
        <w:t>Supply-chain compromises require a remediation approach that addresses both the compromised application and the possibility that a system has already been affected.</w:t>
      </w:r>
    </w:p>
    <w:p w14:paraId="04022402" w14:textId="77777777" w:rsidR="00BA088B" w:rsidRDefault="00000000">
      <w:r>
        <w:rPr>
          <w:b/>
        </w:rPr>
        <w:lastRenderedPageBreak/>
        <w:t xml:space="preserve">Step 1: Identify affected installations. </w:t>
      </w:r>
      <w:r>
        <w:t>Determine whether affected versions of the 3CX DesktopApp were installed or executed within the organisation.</w:t>
      </w:r>
    </w:p>
    <w:p w14:paraId="612C2642" w14:textId="77777777" w:rsidR="00BA088B" w:rsidRDefault="00000000">
      <w:r>
        <w:rPr>
          <w:b/>
        </w:rPr>
        <w:t xml:space="preserve">Step 2: Stop using compromised releases. </w:t>
      </w:r>
      <w:r>
        <w:t>Follow the vendor's security instructions regarding affected versions.</w:t>
      </w:r>
    </w:p>
    <w:p w14:paraId="75C4A164" w14:textId="77777777" w:rsidR="00BA088B" w:rsidRDefault="00000000">
      <w:r>
        <w:rPr>
          <w:b/>
        </w:rPr>
        <w:t xml:space="preserve">Step 3: Obtain a clean replacement. </w:t>
      </w:r>
      <w:r>
        <w:t>Install a trusted replacement release from an official distribution channel. Verify the applicable release and recovery instructions against the vendor's security advisory.</w:t>
      </w:r>
    </w:p>
    <w:p w14:paraId="13707D5B" w14:textId="77777777" w:rsidR="00BA088B" w:rsidRDefault="00000000">
      <w:r>
        <w:rPr>
          <w:b/>
        </w:rPr>
        <w:t xml:space="preserve">Step 4: Investigate potentially compromised systems. </w:t>
      </w:r>
      <w:r>
        <w:t>Review endpoint telemetry, suspicious processes, files, network activity, and available security logs.</w:t>
      </w:r>
    </w:p>
    <w:p w14:paraId="5D85C1A1" w14:textId="77777777" w:rsidR="00BA088B" w:rsidRDefault="00000000">
      <w:r>
        <w:rPr>
          <w:b/>
        </w:rPr>
        <w:t xml:space="preserve">Step 5: Assess possible credential exposure. </w:t>
      </w:r>
      <w:r>
        <w:t>Determine whether credentials or sensitive information may have been exposed. Reset credentials and revoke sessions when warranted by the investigation.</w:t>
      </w:r>
    </w:p>
    <w:p w14:paraId="6F6238D1" w14:textId="77777777" w:rsidR="00BA088B" w:rsidRDefault="00000000">
      <w:r>
        <w:rPr>
          <w:b/>
        </w:rPr>
        <w:t xml:space="preserve">Step 6: Restore system integrity. </w:t>
      </w:r>
      <w:r>
        <w:t>Remove unauthorised changes and rebuild affected systems where necessary. Confirm that security controls are functioning correctly before returning systems to normal operation.</w:t>
      </w:r>
    </w:p>
    <w:p w14:paraId="262AA961" w14:textId="77777777" w:rsidR="00BA088B" w:rsidRDefault="00000000">
      <w:r>
        <w:rPr>
          <w:b/>
        </w:rPr>
        <w:t xml:space="preserve">Step 7: Monitor for further activity. </w:t>
      </w:r>
      <w:r>
        <w:t>Continue monitoring for suspicious connections, unauthorised access, and other indicators associated with the incident.</w:t>
      </w:r>
    </w:p>
    <w:p w14:paraId="4DB0C707" w14:textId="77777777" w:rsidR="00BA088B" w:rsidRDefault="00000000">
      <w:pPr>
        <w:pStyle w:val="Heading2"/>
      </w:pPr>
      <w:r>
        <w:t>Important Note on Patching</w:t>
      </w:r>
    </w:p>
    <w:p w14:paraId="11D03AC0" w14:textId="77777777" w:rsidR="00BA088B" w:rsidRDefault="00000000">
      <w:r>
        <w:t>CVE-2023-29059 is associated with a software supply-chain compromise rather than a conventional programming flaw resolved through a simple fixed-version comparison. Remediation should be based on the vendor's official security guidance, the specific releases affected, and an assessment of whether compromise occurred. A clean replacement may address the software distribution problem, but it does not automatically reverse malicious activity that may already have taken place.</w:t>
      </w:r>
    </w:p>
    <w:p w14:paraId="7C6A9E1B" w14:textId="77777777" w:rsidR="00BA088B" w:rsidRDefault="00000000">
      <w:pPr>
        <w:pStyle w:val="Heading1"/>
      </w:pPr>
      <w:r>
        <w:t>7. Security Recommendations</w:t>
      </w:r>
    </w:p>
    <w:tbl>
      <w:tblPr>
        <w:tblStyle w:val="TableGrid"/>
        <w:tblW w:w="0" w:type="auto"/>
        <w:tblLook w:val="04A0" w:firstRow="1" w:lastRow="0" w:firstColumn="1" w:lastColumn="0" w:noHBand="0" w:noVBand="1"/>
      </w:tblPr>
      <w:tblGrid>
        <w:gridCol w:w="4896"/>
        <w:gridCol w:w="4896"/>
      </w:tblGrid>
      <w:tr w:rsidR="00BA088B" w14:paraId="38F9F692" w14:textId="77777777">
        <w:tc>
          <w:tcPr>
            <w:tcW w:w="4896" w:type="dxa"/>
            <w:shd w:val="clear" w:color="auto" w:fill="17365D"/>
          </w:tcPr>
          <w:p w14:paraId="21406127" w14:textId="77777777" w:rsidR="00BA088B" w:rsidRDefault="00000000">
            <w:pPr>
              <w:spacing w:after="0"/>
            </w:pPr>
            <w:r>
              <w:rPr>
                <w:b/>
                <w:color w:val="FFFFFF"/>
                <w:sz w:val="18"/>
              </w:rPr>
              <w:t>Recommendation</w:t>
            </w:r>
          </w:p>
        </w:tc>
        <w:tc>
          <w:tcPr>
            <w:tcW w:w="4896" w:type="dxa"/>
            <w:shd w:val="clear" w:color="auto" w:fill="17365D"/>
          </w:tcPr>
          <w:p w14:paraId="3DDBEC03" w14:textId="77777777" w:rsidR="00BA088B" w:rsidRDefault="00000000">
            <w:pPr>
              <w:spacing w:after="0"/>
            </w:pPr>
            <w:r>
              <w:rPr>
                <w:b/>
                <w:color w:val="FFFFFF"/>
                <w:sz w:val="18"/>
              </w:rPr>
              <w:t>Security benefit</w:t>
            </w:r>
          </w:p>
        </w:tc>
      </w:tr>
      <w:tr w:rsidR="00BA088B" w14:paraId="262A9693" w14:textId="77777777">
        <w:tc>
          <w:tcPr>
            <w:tcW w:w="4896" w:type="dxa"/>
          </w:tcPr>
          <w:p w14:paraId="687523D1" w14:textId="77777777" w:rsidR="00BA088B" w:rsidRDefault="00000000">
            <w:pPr>
              <w:spacing w:after="0"/>
            </w:pPr>
            <w:r>
              <w:rPr>
                <w:b/>
                <w:sz w:val="18"/>
              </w:rPr>
              <w:t>Software inventory management</w:t>
            </w:r>
          </w:p>
        </w:tc>
        <w:tc>
          <w:tcPr>
            <w:tcW w:w="4896" w:type="dxa"/>
          </w:tcPr>
          <w:p w14:paraId="70EBEE87" w14:textId="77777777" w:rsidR="00BA088B" w:rsidRDefault="00000000">
            <w:pPr>
              <w:spacing w:after="0"/>
            </w:pPr>
            <w:r>
              <w:rPr>
                <w:sz w:val="18"/>
              </w:rPr>
              <w:t>Helps identify affected applications and versions.</w:t>
            </w:r>
          </w:p>
        </w:tc>
      </w:tr>
      <w:tr w:rsidR="00BA088B" w14:paraId="528FCB89" w14:textId="77777777">
        <w:tc>
          <w:tcPr>
            <w:tcW w:w="4896" w:type="dxa"/>
          </w:tcPr>
          <w:p w14:paraId="4ADF3DAC" w14:textId="77777777" w:rsidR="00BA088B" w:rsidRDefault="00000000">
            <w:pPr>
              <w:spacing w:after="0"/>
            </w:pPr>
            <w:r>
              <w:rPr>
                <w:b/>
                <w:sz w:val="18"/>
              </w:rPr>
              <w:t>Vendor security monitoring</w:t>
            </w:r>
          </w:p>
        </w:tc>
        <w:tc>
          <w:tcPr>
            <w:tcW w:w="4896" w:type="dxa"/>
          </w:tcPr>
          <w:p w14:paraId="714DD921" w14:textId="77777777" w:rsidR="00BA088B" w:rsidRDefault="00000000">
            <w:pPr>
              <w:spacing w:after="0"/>
            </w:pPr>
            <w:r>
              <w:rPr>
                <w:sz w:val="18"/>
              </w:rPr>
              <w:t>Enables faster responses to newly disclosed incidents.</w:t>
            </w:r>
          </w:p>
        </w:tc>
      </w:tr>
      <w:tr w:rsidR="00BA088B" w14:paraId="6D8DFD35" w14:textId="77777777">
        <w:tc>
          <w:tcPr>
            <w:tcW w:w="4896" w:type="dxa"/>
          </w:tcPr>
          <w:p w14:paraId="71802D0B" w14:textId="77777777" w:rsidR="00BA088B" w:rsidRDefault="00000000">
            <w:pPr>
              <w:spacing w:after="0"/>
            </w:pPr>
            <w:r>
              <w:rPr>
                <w:b/>
                <w:sz w:val="18"/>
              </w:rPr>
              <w:t>Secure software distribution</w:t>
            </w:r>
          </w:p>
        </w:tc>
        <w:tc>
          <w:tcPr>
            <w:tcW w:w="4896" w:type="dxa"/>
          </w:tcPr>
          <w:p w14:paraId="5D4CFCE0" w14:textId="77777777" w:rsidR="00BA088B" w:rsidRDefault="00000000">
            <w:pPr>
              <w:spacing w:after="0"/>
            </w:pPr>
            <w:r>
              <w:rPr>
                <w:sz w:val="18"/>
              </w:rPr>
              <w:t>Reduces the risk of installing unauthorised or compromised releases.</w:t>
            </w:r>
          </w:p>
        </w:tc>
      </w:tr>
      <w:tr w:rsidR="00BA088B" w14:paraId="4149D7B6" w14:textId="77777777">
        <w:tc>
          <w:tcPr>
            <w:tcW w:w="4896" w:type="dxa"/>
          </w:tcPr>
          <w:p w14:paraId="7B37C04E" w14:textId="77777777" w:rsidR="00BA088B" w:rsidRDefault="00000000">
            <w:pPr>
              <w:spacing w:after="0"/>
            </w:pPr>
            <w:r>
              <w:rPr>
                <w:b/>
                <w:sz w:val="18"/>
              </w:rPr>
              <w:t>Software integrity verification</w:t>
            </w:r>
          </w:p>
        </w:tc>
        <w:tc>
          <w:tcPr>
            <w:tcW w:w="4896" w:type="dxa"/>
          </w:tcPr>
          <w:p w14:paraId="24D95976" w14:textId="77777777" w:rsidR="00BA088B" w:rsidRDefault="00000000">
            <w:pPr>
              <w:spacing w:after="0"/>
            </w:pPr>
            <w:r>
              <w:rPr>
                <w:sz w:val="18"/>
              </w:rPr>
              <w:t>Helps identify unexpected changes to software.</w:t>
            </w:r>
          </w:p>
        </w:tc>
      </w:tr>
      <w:tr w:rsidR="00BA088B" w14:paraId="0229E7EB" w14:textId="77777777">
        <w:tc>
          <w:tcPr>
            <w:tcW w:w="4896" w:type="dxa"/>
          </w:tcPr>
          <w:p w14:paraId="48E544C6" w14:textId="77777777" w:rsidR="00BA088B" w:rsidRDefault="00000000">
            <w:pPr>
              <w:spacing w:after="0"/>
            </w:pPr>
            <w:r>
              <w:rPr>
                <w:b/>
                <w:sz w:val="18"/>
              </w:rPr>
              <w:t>Endpoint Detection and Response (EDR)</w:t>
            </w:r>
          </w:p>
        </w:tc>
        <w:tc>
          <w:tcPr>
            <w:tcW w:w="4896" w:type="dxa"/>
          </w:tcPr>
          <w:p w14:paraId="1E8C29BD" w14:textId="77777777" w:rsidR="00BA088B" w:rsidRDefault="00000000">
            <w:pPr>
              <w:spacing w:after="0"/>
            </w:pPr>
            <w:r>
              <w:rPr>
                <w:sz w:val="18"/>
              </w:rPr>
              <w:t>Helps detect suspicious application behaviour.</w:t>
            </w:r>
          </w:p>
        </w:tc>
      </w:tr>
      <w:tr w:rsidR="00BA088B" w14:paraId="04B9C992" w14:textId="77777777">
        <w:tc>
          <w:tcPr>
            <w:tcW w:w="4896" w:type="dxa"/>
          </w:tcPr>
          <w:p w14:paraId="1CB2D4F3" w14:textId="77777777" w:rsidR="00BA088B" w:rsidRDefault="00000000">
            <w:pPr>
              <w:spacing w:after="0"/>
            </w:pPr>
            <w:r>
              <w:rPr>
                <w:b/>
                <w:sz w:val="18"/>
              </w:rPr>
              <w:t>Network monitoring</w:t>
            </w:r>
          </w:p>
        </w:tc>
        <w:tc>
          <w:tcPr>
            <w:tcW w:w="4896" w:type="dxa"/>
          </w:tcPr>
          <w:p w14:paraId="13A03910" w14:textId="77777777" w:rsidR="00BA088B" w:rsidRDefault="00000000">
            <w:pPr>
              <w:spacing w:after="0"/>
            </w:pPr>
            <w:r>
              <w:rPr>
                <w:sz w:val="18"/>
              </w:rPr>
              <w:t>Helps identify unusual external communications.</w:t>
            </w:r>
          </w:p>
        </w:tc>
      </w:tr>
      <w:tr w:rsidR="00BA088B" w14:paraId="462E5645" w14:textId="77777777">
        <w:tc>
          <w:tcPr>
            <w:tcW w:w="4896" w:type="dxa"/>
          </w:tcPr>
          <w:p w14:paraId="6676A6B3" w14:textId="77777777" w:rsidR="00BA088B" w:rsidRDefault="00000000">
            <w:pPr>
              <w:spacing w:after="0"/>
            </w:pPr>
            <w:r>
              <w:rPr>
                <w:b/>
                <w:sz w:val="18"/>
              </w:rPr>
              <w:t>Least-privilege access</w:t>
            </w:r>
          </w:p>
        </w:tc>
        <w:tc>
          <w:tcPr>
            <w:tcW w:w="4896" w:type="dxa"/>
          </w:tcPr>
          <w:p w14:paraId="70E617DC" w14:textId="77777777" w:rsidR="00BA088B" w:rsidRDefault="00000000">
            <w:pPr>
              <w:spacing w:after="0"/>
            </w:pPr>
            <w:r>
              <w:rPr>
                <w:sz w:val="18"/>
              </w:rPr>
              <w:t>Limits unnecessary permissions and reduces potential impact.</w:t>
            </w:r>
          </w:p>
        </w:tc>
      </w:tr>
      <w:tr w:rsidR="00BA088B" w14:paraId="62316DA1" w14:textId="77777777">
        <w:tc>
          <w:tcPr>
            <w:tcW w:w="4896" w:type="dxa"/>
          </w:tcPr>
          <w:p w14:paraId="7AB07EF0" w14:textId="77777777" w:rsidR="00BA088B" w:rsidRDefault="00000000">
            <w:pPr>
              <w:spacing w:after="0"/>
            </w:pPr>
            <w:r>
              <w:rPr>
                <w:b/>
                <w:sz w:val="18"/>
              </w:rPr>
              <w:t>Incident response planning</w:t>
            </w:r>
          </w:p>
        </w:tc>
        <w:tc>
          <w:tcPr>
            <w:tcW w:w="4896" w:type="dxa"/>
          </w:tcPr>
          <w:p w14:paraId="6002B047" w14:textId="77777777" w:rsidR="00BA088B" w:rsidRDefault="00000000">
            <w:pPr>
              <w:spacing w:after="0"/>
            </w:pPr>
            <w:r>
              <w:rPr>
                <w:sz w:val="18"/>
              </w:rPr>
              <w:t>Improves containment, investigation, and recovery.</w:t>
            </w:r>
          </w:p>
        </w:tc>
      </w:tr>
      <w:tr w:rsidR="00BA088B" w14:paraId="5350EFC3" w14:textId="77777777">
        <w:tc>
          <w:tcPr>
            <w:tcW w:w="4896" w:type="dxa"/>
          </w:tcPr>
          <w:p w14:paraId="1D47B187" w14:textId="77777777" w:rsidR="00BA088B" w:rsidRDefault="00000000">
            <w:pPr>
              <w:spacing w:after="0"/>
            </w:pPr>
            <w:r>
              <w:rPr>
                <w:b/>
                <w:sz w:val="18"/>
              </w:rPr>
              <w:t>Credential protection</w:t>
            </w:r>
          </w:p>
        </w:tc>
        <w:tc>
          <w:tcPr>
            <w:tcW w:w="4896" w:type="dxa"/>
          </w:tcPr>
          <w:p w14:paraId="62723B11" w14:textId="77777777" w:rsidR="00BA088B" w:rsidRDefault="00000000">
            <w:pPr>
              <w:spacing w:after="0"/>
            </w:pPr>
            <w:r>
              <w:rPr>
                <w:sz w:val="18"/>
              </w:rPr>
              <w:t>Helps reduce the consequences of potential credential exposure.</w:t>
            </w:r>
          </w:p>
        </w:tc>
      </w:tr>
      <w:tr w:rsidR="00BA088B" w14:paraId="78E45D10" w14:textId="77777777">
        <w:tc>
          <w:tcPr>
            <w:tcW w:w="4896" w:type="dxa"/>
          </w:tcPr>
          <w:p w14:paraId="630AFDF4" w14:textId="77777777" w:rsidR="00BA088B" w:rsidRDefault="00000000">
            <w:pPr>
              <w:spacing w:after="0"/>
            </w:pPr>
            <w:r>
              <w:rPr>
                <w:b/>
                <w:sz w:val="18"/>
              </w:rPr>
              <w:t>Regular security assessments</w:t>
            </w:r>
          </w:p>
        </w:tc>
        <w:tc>
          <w:tcPr>
            <w:tcW w:w="4896" w:type="dxa"/>
          </w:tcPr>
          <w:p w14:paraId="37BD6BFB" w14:textId="77777777" w:rsidR="00BA088B" w:rsidRDefault="00000000">
            <w:pPr>
              <w:spacing w:after="0"/>
            </w:pPr>
            <w:r>
              <w:rPr>
                <w:sz w:val="18"/>
              </w:rPr>
              <w:t>Helps identify weaknesses in applications and operational processes.</w:t>
            </w:r>
          </w:p>
        </w:tc>
      </w:tr>
    </w:tbl>
    <w:p w14:paraId="6BD329B1" w14:textId="77777777" w:rsidR="00BA088B" w:rsidRDefault="00000000">
      <w:r>
        <w:t>Organisations should adopt a layered security approach because no single control can eliminate all software supply-chain risks.</w:t>
      </w:r>
    </w:p>
    <w:p w14:paraId="1EF3674F" w14:textId="77777777" w:rsidR="00BA088B" w:rsidRDefault="00000000">
      <w:pPr>
        <w:pStyle w:val="Heading1"/>
      </w:pPr>
      <w:r>
        <w:t>8. Conclusion</w:t>
      </w:r>
    </w:p>
    <w:p w14:paraId="7ACF0CD9" w14:textId="77777777" w:rsidR="00BA088B" w:rsidRDefault="00000000">
      <w:r>
        <w:t>CVE-2023-29059 and the broader 3CX DesktopApp incident demonstrate how compromised software can undermine trust in legitimate applications and expose organisations to cybersecurity threats. The incident highlights the importance of software supply-chain security, application integrity verification, endpoint monitoring, and timely incident response.</w:t>
      </w:r>
    </w:p>
    <w:p w14:paraId="742CE826" w14:textId="77777777" w:rsidR="00BA088B" w:rsidRDefault="00000000">
      <w:r>
        <w:lastRenderedPageBreak/>
        <w:t>Analysing the incident through the Cyber Kill Chain provides a structured way to understand potential attack progression and identify opportunities for defence. The key lesson is that cybersecurity does not end with installing trusted software. Organisations must also verify software integrity, monitor application behaviour, investigate suspicious activity, and maintain effective recovery procedures. A strong security posture requires collaboration between software vendors, security researchers, system administrators, and incident response teams.</w:t>
      </w:r>
    </w:p>
    <w:p w14:paraId="79D2FBCD" w14:textId="77777777" w:rsidR="00BA088B" w:rsidRDefault="00000000">
      <w:pPr>
        <w:pStyle w:val="Heading1"/>
      </w:pPr>
      <w:r>
        <w:t>9. References</w:t>
      </w:r>
    </w:p>
    <w:p w14:paraId="2E12ED5F" w14:textId="77777777" w:rsidR="00BA088B" w:rsidRDefault="00000000">
      <w:pPr>
        <w:pStyle w:val="ListNumber"/>
      </w:pPr>
      <w:r>
        <w:rPr>
          <w:b/>
        </w:rPr>
        <w:t xml:space="preserve">National Vulnerability Database (NVD): CVE-2023-29059: </w:t>
      </w:r>
      <w:r>
        <w:t>https://nvd.nist.gov/vuln/detail/CVE-2023-29059</w:t>
      </w:r>
    </w:p>
    <w:p w14:paraId="27291FC4" w14:textId="77777777" w:rsidR="00BA088B" w:rsidRDefault="00000000">
      <w:pPr>
        <w:pStyle w:val="ListNumber"/>
      </w:pPr>
      <w:r>
        <w:rPr>
          <w:b/>
        </w:rPr>
        <w:t xml:space="preserve">3CX: Official website and security announcements: </w:t>
      </w:r>
      <w:r>
        <w:t>https://www.3cx.com/</w:t>
      </w:r>
    </w:p>
    <w:p w14:paraId="6FB47C44" w14:textId="77777777" w:rsidR="00BA088B" w:rsidRDefault="00000000">
      <w:pPr>
        <w:pStyle w:val="ListNumber"/>
      </w:pPr>
      <w:r>
        <w:rPr>
          <w:b/>
        </w:rPr>
        <w:t xml:space="preserve">CrowdStrike: Analysis of the 3CX DesktopApp supply-chain incident: </w:t>
      </w:r>
      <w:r>
        <w:t>https://www.crowdstrike.com/blog/crowdstrike-detects-and-prevents-active-intrusion-campaign-targeting-3cxdesktopapp-customers/</w:t>
      </w:r>
    </w:p>
    <w:sectPr w:rsidR="00BA088B"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2B913" w14:textId="77777777" w:rsidR="007B0E72" w:rsidRDefault="007B0E72">
      <w:pPr>
        <w:spacing w:after="0" w:line="240" w:lineRule="auto"/>
      </w:pPr>
      <w:r>
        <w:separator/>
      </w:r>
    </w:p>
  </w:endnote>
  <w:endnote w:type="continuationSeparator" w:id="0">
    <w:p w14:paraId="71388587" w14:textId="77777777" w:rsidR="007B0E72" w:rsidRDefault="007B0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588C" w14:textId="77777777" w:rsidR="00BA088B" w:rsidRDefault="00000000">
    <w:pPr>
      <w:pStyle w:val="Footer"/>
      <w:jc w:val="center"/>
    </w:pPr>
    <w:r>
      <w:t xml:space="preserve">CVE-2023-29059 Security Research </w:t>
    </w:r>
    <w:proofErr w:type="gramStart"/>
    <w:r>
      <w:t>Report  |</w:t>
    </w:r>
    <w:proofErr w:type="gramEnd"/>
    <w:r>
      <w:t xml:space="preserve">  Page </w:t>
    </w:r>
    <w:r>
      <w:fldChar w:fldCharType="begin"/>
    </w:r>
    <w:r>
      <w:instrText>PAGE</w:instrText>
    </w:r>
    <w:r>
      <w:fldChar w:fldCharType="separate"/>
    </w:r>
    <w:r w:rsidR="00A577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7BE88" w14:textId="77777777" w:rsidR="007B0E72" w:rsidRDefault="007B0E72">
      <w:pPr>
        <w:spacing w:after="0" w:line="240" w:lineRule="auto"/>
      </w:pPr>
      <w:r>
        <w:separator/>
      </w:r>
    </w:p>
  </w:footnote>
  <w:footnote w:type="continuationSeparator" w:id="0">
    <w:p w14:paraId="3672A16D" w14:textId="77777777" w:rsidR="007B0E72" w:rsidRDefault="007B0E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752973">
    <w:abstractNumId w:val="8"/>
  </w:num>
  <w:num w:numId="2" w16cid:durableId="1156874018">
    <w:abstractNumId w:val="6"/>
  </w:num>
  <w:num w:numId="3" w16cid:durableId="887449323">
    <w:abstractNumId w:val="5"/>
  </w:num>
  <w:num w:numId="4" w16cid:durableId="1613703805">
    <w:abstractNumId w:val="4"/>
  </w:num>
  <w:num w:numId="5" w16cid:durableId="1853449742">
    <w:abstractNumId w:val="7"/>
  </w:num>
  <w:num w:numId="6" w16cid:durableId="2053262192">
    <w:abstractNumId w:val="3"/>
  </w:num>
  <w:num w:numId="7" w16cid:durableId="79064519">
    <w:abstractNumId w:val="2"/>
  </w:num>
  <w:num w:numId="8" w16cid:durableId="1211114226">
    <w:abstractNumId w:val="1"/>
  </w:num>
  <w:num w:numId="9" w16cid:durableId="1253583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417"/>
    <w:rsid w:val="00326F90"/>
    <w:rsid w:val="007B0E72"/>
    <w:rsid w:val="00A57760"/>
    <w:rsid w:val="00AA1D8D"/>
    <w:rsid w:val="00B47730"/>
    <w:rsid w:val="00BA08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A097A9"/>
  <w14:defaultImageDpi w14:val="300"/>
  <w15:docId w15:val="{1A8B1C40-24A3-4B9E-96F9-C4156E758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2073</Words>
  <Characters>11821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Tomiloba Adejoro</cp:lastModifiedBy>
  <cp:revision>2</cp:revision>
  <dcterms:created xsi:type="dcterms:W3CDTF">2013-12-23T23:15:00Z</dcterms:created>
  <dcterms:modified xsi:type="dcterms:W3CDTF">2026-10-21T19:43:00Z</dcterms:modified>
  <cp:category/>
</cp:coreProperties>
</file>