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ahoma" w:hAnsi="Tahoma" w:cs="Tahoma"/>
          <w:sz w:val="22"/>
          <w:szCs w:val="22"/>
        </w:rPr>
        <w:id w:val="-416169699"/>
        <w:docPartObj>
          <w:docPartGallery w:val="autotext"/>
        </w:docPartObj>
      </w:sdtPr>
      <w:sdtEndPr>
        <w:rPr>
          <w:rFonts w:hint="default" w:ascii="Tahoma" w:hAnsi="Tahoma" w:cs="Tahoma"/>
          <w:sz w:val="22"/>
          <w:szCs w:val="22"/>
        </w:rPr>
      </w:sdtEndPr>
      <w:sdtContent>
        <w:p>
          <w:pPr>
            <w:spacing w:line="360" w:lineRule="auto"/>
            <w:jc w:val="both"/>
            <w:rPr>
              <w:rFonts w:hint="default" w:ascii="Tahoma" w:hAnsi="Tahoma" w:cs="Tahoma"/>
              <w:b/>
              <w:sz w:val="22"/>
              <w:szCs w:val="22"/>
              <w:u w:val="single"/>
              <w:lang w:val="en-US"/>
            </w:rPr>
          </w:pPr>
          <w:bookmarkStart w:id="0" w:name="_GoBack"/>
          <w:bookmarkEnd w:id="0"/>
          <w:r>
            <w:rPr>
              <w:rFonts w:hint="default" w:ascii="Tahoma" w:hAnsi="Tahoma" w:cs="Tahoma"/>
              <w:b/>
              <w:sz w:val="22"/>
              <w:szCs w:val="22"/>
              <w:u w:val="single"/>
              <w:lang w:val="en-US"/>
            </w:rPr>
            <w:drawing>
              <wp:anchor distT="0" distB="0" distL="114300" distR="114300" simplePos="0" relativeHeight="251660288" behindDoc="1" locked="0" layoutInCell="1" allowOverlap="1">
                <wp:simplePos x="0" y="0"/>
                <wp:positionH relativeFrom="column">
                  <wp:posOffset>-1529080</wp:posOffset>
                </wp:positionH>
                <wp:positionV relativeFrom="paragraph">
                  <wp:posOffset>76835</wp:posOffset>
                </wp:positionV>
                <wp:extent cx="8677910" cy="1151890"/>
                <wp:effectExtent l="0" t="0" r="8890" b="10160"/>
                <wp:wrapNone/>
                <wp:docPr id="33" name="Picture 33" descr="Free-Business-Postcard-Templat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Free-Business-Postcard-Template-Example"/>
                        <pic:cNvPicPr>
                          <a:picLocks noChangeAspect="1"/>
                        </pic:cNvPicPr>
                      </pic:nvPicPr>
                      <pic:blipFill>
                        <a:blip r:embed="rId8"/>
                        <a:stretch>
                          <a:fillRect/>
                        </a:stretch>
                      </pic:blipFill>
                      <pic:spPr>
                        <a:xfrm>
                          <a:off x="0" y="0"/>
                          <a:ext cx="8677910" cy="1151890"/>
                        </a:xfrm>
                        <a:prstGeom prst="rect">
                          <a:avLst/>
                        </a:prstGeom>
                      </pic:spPr>
                    </pic:pic>
                  </a:graphicData>
                </a:graphic>
              </wp:anchor>
            </w:drawing>
          </w:r>
        </w:p>
        <w:p>
          <w:pPr>
            <w:pStyle w:val="2"/>
            <w:bidi w:val="0"/>
            <w:spacing w:line="360" w:lineRule="auto"/>
            <w:jc w:val="both"/>
            <w:rPr>
              <w:rFonts w:hint="default" w:ascii="Tahoma" w:hAnsi="Tahoma" w:cs="Tahoma"/>
              <w:sz w:val="22"/>
              <w:szCs w:val="22"/>
              <w:lang w:val="en-US"/>
            </w:rPr>
          </w:pPr>
          <w:r>
            <w:rPr>
              <w:rFonts w:hint="default" w:ascii="Tahoma" w:hAnsi="Tahoma" w:cs="Tahoma"/>
              <w:sz w:val="22"/>
              <w:szCs w:val="22"/>
              <w:lang w:val="en-US"/>
            </w:rPr>
            <w:t>ECONOMIC ANALYSIS OF THE UK ROAD TRANSPORT FUEL MARKET</w:t>
          </w: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b/>
              <w:sz w:val="22"/>
              <w:szCs w:val="22"/>
              <w:u w:val="single"/>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br w:type="page"/>
          </w:r>
        </w:p>
      </w:sdtContent>
    </w:sdt>
    <w:p>
      <w:pPr>
        <w:spacing w:line="360" w:lineRule="auto"/>
        <w:jc w:val="both"/>
        <w:rPr>
          <w:rFonts w:hint="default" w:ascii="Tahoma" w:hAnsi="Tahoma" w:cs="Tahoma"/>
          <w:sz w:val="22"/>
          <w:szCs w:val="22"/>
          <w:u w:val="single"/>
        </w:rPr>
      </w:pPr>
      <w:r>
        <w:rPr>
          <w:rFonts w:hint="default" w:ascii="Tahoma" w:hAnsi="Tahoma" w:cs="Tahoma"/>
          <w:sz w:val="22"/>
          <w:szCs w:val="22"/>
          <w:u w:val="single"/>
        </w:rPr>
        <w:t>Contents page</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Page 1: Cover page</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Page 2: Contents page</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3: </w:t>
      </w:r>
      <w:r>
        <w:rPr>
          <w:rFonts w:hint="default" w:ascii="Tahoma" w:hAnsi="Tahoma" w:cs="Tahoma"/>
          <w:sz w:val="22"/>
          <w:szCs w:val="22"/>
          <w:lang w:val="en-US"/>
        </w:rPr>
        <w:t>Contents page continues</w:t>
      </w:r>
    </w:p>
    <w:p>
      <w:pPr>
        <w:spacing w:line="360" w:lineRule="auto"/>
        <w:jc w:val="both"/>
        <w:rPr>
          <w:rFonts w:hint="default" w:ascii="Tahoma" w:hAnsi="Tahoma" w:cs="Tahoma"/>
          <w:sz w:val="22"/>
          <w:szCs w:val="22"/>
          <w:lang w:val="en-US"/>
        </w:rPr>
      </w:pPr>
    </w:p>
    <w:p>
      <w:pPr>
        <w:spacing w:line="360" w:lineRule="auto"/>
        <w:jc w:val="both"/>
        <w:rPr>
          <w:rFonts w:hint="default" w:ascii="Tahoma" w:hAnsi="Tahoma" w:cs="Tahoma"/>
          <w:sz w:val="22"/>
          <w:szCs w:val="22"/>
        </w:rPr>
      </w:pPr>
      <w:r>
        <w:rPr>
          <w:rFonts w:hint="default" w:ascii="Tahoma" w:hAnsi="Tahoma" w:cs="Tahoma"/>
          <w:sz w:val="22"/>
          <w:szCs w:val="22"/>
          <w:lang w:val="en-US"/>
        </w:rPr>
        <w:t xml:space="preserve">Page 4: </w:t>
      </w:r>
      <w:r>
        <w:rPr>
          <w:rFonts w:hint="default" w:ascii="Tahoma" w:hAnsi="Tahoma" w:cs="Tahoma"/>
          <w:sz w:val="22"/>
          <w:szCs w:val="22"/>
        </w:rPr>
        <w:t>Section 1- introduction</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 xml:space="preserve">Page </w:t>
      </w:r>
      <w:r>
        <w:rPr>
          <w:rFonts w:hint="default" w:ascii="Tahoma" w:hAnsi="Tahoma" w:cs="Tahoma"/>
          <w:sz w:val="22"/>
          <w:szCs w:val="22"/>
          <w:lang w:val="en-US"/>
        </w:rPr>
        <w:t>5</w:t>
      </w:r>
      <w:r>
        <w:rPr>
          <w:rFonts w:hint="default" w:ascii="Tahoma" w:hAnsi="Tahoma" w:cs="Tahoma"/>
          <w:sz w:val="22"/>
          <w:szCs w:val="22"/>
        </w:rPr>
        <w:t xml:space="preserve">: Section 2- Analysis of the UK </w:t>
      </w:r>
      <w:r>
        <w:rPr>
          <w:rFonts w:hint="default" w:ascii="Tahoma" w:hAnsi="Tahoma" w:cs="Tahoma"/>
          <w:sz w:val="22"/>
          <w:szCs w:val="22"/>
          <w:lang w:val="en-US"/>
        </w:rPr>
        <w:t>Road Transport</w:t>
      </w:r>
      <w:r>
        <w:rPr>
          <w:rFonts w:hint="default" w:ascii="Tahoma" w:hAnsi="Tahoma" w:cs="Tahoma"/>
          <w:sz w:val="22"/>
          <w:szCs w:val="22"/>
        </w:rPr>
        <w:t xml:space="preserve"> </w:t>
      </w:r>
      <w:r>
        <w:rPr>
          <w:rFonts w:hint="default" w:ascii="Tahoma" w:hAnsi="Tahoma" w:cs="Tahoma"/>
          <w:sz w:val="22"/>
          <w:szCs w:val="22"/>
          <w:lang w:val="en-US"/>
        </w:rPr>
        <w:t>Fuel M</w:t>
      </w:r>
      <w:r>
        <w:rPr>
          <w:rFonts w:hint="default" w:ascii="Tahoma" w:hAnsi="Tahoma" w:cs="Tahoma"/>
          <w:sz w:val="22"/>
          <w:szCs w:val="22"/>
        </w:rPr>
        <w:t xml:space="preserve">arket </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 xml:space="preserve">Page </w:t>
      </w:r>
      <w:r>
        <w:rPr>
          <w:rFonts w:hint="default" w:ascii="Tahoma" w:hAnsi="Tahoma" w:cs="Tahoma"/>
          <w:sz w:val="22"/>
          <w:szCs w:val="22"/>
          <w:lang w:val="en-US"/>
        </w:rPr>
        <w:t>6</w:t>
      </w:r>
      <w:r>
        <w:rPr>
          <w:rFonts w:hint="default" w:ascii="Tahoma" w:hAnsi="Tahoma" w:cs="Tahoma"/>
          <w:sz w:val="22"/>
          <w:szCs w:val="22"/>
        </w:rPr>
        <w:t xml:space="preserve">: Section </w:t>
      </w:r>
      <w:r>
        <w:rPr>
          <w:rFonts w:hint="default" w:ascii="Tahoma" w:hAnsi="Tahoma" w:cs="Tahoma"/>
          <w:sz w:val="22"/>
          <w:szCs w:val="22"/>
          <w:lang w:val="en-US"/>
        </w:rPr>
        <w:t>3</w:t>
      </w:r>
      <w:r>
        <w:rPr>
          <w:rFonts w:hint="default" w:ascii="Tahoma" w:hAnsi="Tahoma" w:cs="Tahoma"/>
          <w:sz w:val="22"/>
          <w:szCs w:val="22"/>
        </w:rPr>
        <w:t xml:space="preserve">- </w:t>
      </w:r>
      <w:r>
        <w:rPr>
          <w:rFonts w:hint="default" w:ascii="Tahoma" w:hAnsi="Tahoma" w:cs="Tahoma"/>
          <w:sz w:val="22"/>
          <w:szCs w:val="22"/>
          <w:lang w:val="en-US"/>
        </w:rPr>
        <w:t>Demand for and Supply</w:t>
      </w:r>
      <w:r>
        <w:rPr>
          <w:rFonts w:hint="default" w:ascii="Tahoma" w:hAnsi="Tahoma" w:cs="Tahoma"/>
          <w:sz w:val="22"/>
          <w:szCs w:val="22"/>
        </w:rPr>
        <w:t xml:space="preserve"> of the UK </w:t>
      </w:r>
      <w:r>
        <w:rPr>
          <w:rFonts w:hint="default" w:ascii="Tahoma" w:hAnsi="Tahoma" w:cs="Tahoma"/>
          <w:sz w:val="22"/>
          <w:szCs w:val="22"/>
          <w:lang w:val="en-US"/>
        </w:rPr>
        <w:t>Road Transport Fuel</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7</w:t>
      </w:r>
      <w:r>
        <w:rPr>
          <w:rFonts w:hint="default" w:ascii="Tahoma" w:hAnsi="Tahoma" w:cs="Tahoma"/>
          <w:sz w:val="22"/>
          <w:szCs w:val="22"/>
        </w:rPr>
        <w:t xml:space="preserve">: Section 3- Demand </w:t>
      </w:r>
      <w:r>
        <w:rPr>
          <w:rFonts w:hint="default" w:ascii="Tahoma" w:hAnsi="Tahoma" w:cs="Tahoma"/>
          <w:sz w:val="22"/>
          <w:szCs w:val="22"/>
          <w:lang w:val="en-US"/>
        </w:rPr>
        <w:t>for Road Transport Fuel</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8</w:t>
      </w:r>
      <w:r>
        <w:rPr>
          <w:rFonts w:hint="default" w:ascii="Tahoma" w:hAnsi="Tahoma" w:cs="Tahoma"/>
          <w:sz w:val="22"/>
          <w:szCs w:val="22"/>
        </w:rPr>
        <w:t xml:space="preserve">: Section 3- </w:t>
      </w:r>
      <w:r>
        <w:rPr>
          <w:rFonts w:hint="default" w:ascii="Tahoma" w:hAnsi="Tahoma" w:cs="Tahoma"/>
          <w:sz w:val="22"/>
          <w:szCs w:val="22"/>
          <w:lang w:val="en-US"/>
        </w:rPr>
        <w:t>S</w:t>
      </w:r>
      <w:r>
        <w:rPr>
          <w:rFonts w:hint="default" w:ascii="Tahoma" w:hAnsi="Tahoma" w:cs="Tahoma"/>
          <w:sz w:val="22"/>
          <w:szCs w:val="22"/>
        </w:rPr>
        <w:t xml:space="preserve">upply </w:t>
      </w:r>
      <w:r>
        <w:rPr>
          <w:rFonts w:hint="default" w:ascii="Tahoma" w:hAnsi="Tahoma" w:cs="Tahoma"/>
          <w:sz w:val="22"/>
          <w:szCs w:val="22"/>
          <w:lang w:val="en-US"/>
        </w:rPr>
        <w:t>of Road Transport Fuel</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 xml:space="preserve">Page </w:t>
      </w:r>
      <w:r>
        <w:rPr>
          <w:rFonts w:hint="default" w:ascii="Tahoma" w:hAnsi="Tahoma" w:cs="Tahoma"/>
          <w:sz w:val="22"/>
          <w:szCs w:val="22"/>
          <w:lang w:val="en-US"/>
        </w:rPr>
        <w:t>9</w:t>
      </w:r>
      <w:r>
        <w:rPr>
          <w:rFonts w:hint="default" w:ascii="Tahoma" w:hAnsi="Tahoma" w:cs="Tahoma"/>
          <w:sz w:val="22"/>
          <w:szCs w:val="22"/>
        </w:rPr>
        <w:t xml:space="preserve">: Section 4- Analysis of </w:t>
      </w:r>
      <w:r>
        <w:rPr>
          <w:rFonts w:hint="default" w:ascii="Tahoma" w:hAnsi="Tahoma" w:cs="Tahoma"/>
          <w:sz w:val="22"/>
          <w:szCs w:val="22"/>
          <w:lang w:val="en-US"/>
        </w:rPr>
        <w:t>E</w:t>
      </w:r>
      <w:r>
        <w:rPr>
          <w:rFonts w:hint="default" w:ascii="Tahoma" w:hAnsi="Tahoma" w:cs="Tahoma"/>
          <w:sz w:val="22"/>
          <w:szCs w:val="22"/>
        </w:rPr>
        <w:t>lasticity</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10</w:t>
      </w:r>
      <w:r>
        <w:rPr>
          <w:rFonts w:hint="default" w:ascii="Tahoma" w:hAnsi="Tahoma" w:cs="Tahoma"/>
          <w:sz w:val="22"/>
          <w:szCs w:val="22"/>
        </w:rPr>
        <w:t xml:space="preserve">: Section </w:t>
      </w:r>
      <w:r>
        <w:rPr>
          <w:rFonts w:hint="default" w:ascii="Tahoma" w:hAnsi="Tahoma" w:cs="Tahoma"/>
          <w:sz w:val="22"/>
          <w:szCs w:val="22"/>
          <w:lang w:val="en-US"/>
        </w:rPr>
        <w:t>4</w:t>
      </w:r>
      <w:r>
        <w:rPr>
          <w:rFonts w:hint="default" w:ascii="Tahoma" w:hAnsi="Tahoma" w:cs="Tahoma"/>
          <w:sz w:val="22"/>
          <w:szCs w:val="22"/>
        </w:rPr>
        <w:t xml:space="preserve">- </w:t>
      </w:r>
      <w:r>
        <w:rPr>
          <w:rFonts w:hint="default" w:ascii="Tahoma" w:hAnsi="Tahoma" w:cs="Tahoma"/>
          <w:sz w:val="22"/>
          <w:szCs w:val="22"/>
          <w:lang w:val="en-US"/>
        </w:rPr>
        <w:t>Fuel Tax Elasticity</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Page 1</w:t>
      </w:r>
      <w:r>
        <w:rPr>
          <w:rFonts w:hint="default" w:ascii="Tahoma" w:hAnsi="Tahoma" w:cs="Tahoma"/>
          <w:sz w:val="22"/>
          <w:szCs w:val="22"/>
          <w:lang w:val="en-US"/>
        </w:rPr>
        <w:t>1</w:t>
      </w:r>
      <w:r>
        <w:rPr>
          <w:rFonts w:hint="default" w:ascii="Tahoma" w:hAnsi="Tahoma" w:cs="Tahoma"/>
          <w:sz w:val="22"/>
          <w:szCs w:val="22"/>
        </w:rPr>
        <w:t xml:space="preserve">: Section </w:t>
      </w:r>
      <w:r>
        <w:rPr>
          <w:rFonts w:hint="default" w:ascii="Tahoma" w:hAnsi="Tahoma" w:cs="Tahoma"/>
          <w:sz w:val="22"/>
          <w:szCs w:val="22"/>
          <w:lang w:val="en-US"/>
        </w:rPr>
        <w:t>4</w:t>
      </w:r>
      <w:r>
        <w:rPr>
          <w:rFonts w:hint="default" w:ascii="Tahoma" w:hAnsi="Tahoma" w:cs="Tahoma"/>
          <w:sz w:val="22"/>
          <w:szCs w:val="22"/>
        </w:rPr>
        <w:t xml:space="preserve">- </w:t>
      </w:r>
      <w:r>
        <w:rPr>
          <w:rFonts w:hint="default" w:ascii="Tahoma" w:hAnsi="Tahoma" w:cs="Tahoma"/>
          <w:sz w:val="22"/>
          <w:szCs w:val="22"/>
          <w:lang w:val="en-US"/>
        </w:rPr>
        <w:t>Fuel Tax Elasticity continued</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Page 1</w:t>
      </w:r>
      <w:r>
        <w:rPr>
          <w:rFonts w:hint="default" w:ascii="Tahoma" w:hAnsi="Tahoma" w:cs="Tahoma"/>
          <w:sz w:val="22"/>
          <w:szCs w:val="22"/>
          <w:lang w:val="en-US"/>
        </w:rPr>
        <w:t>2</w:t>
      </w:r>
      <w:r>
        <w:rPr>
          <w:rFonts w:hint="default" w:ascii="Tahoma" w:hAnsi="Tahoma" w:cs="Tahoma"/>
          <w:sz w:val="22"/>
          <w:szCs w:val="22"/>
        </w:rPr>
        <w:t xml:space="preserve">: Section </w:t>
      </w:r>
      <w:r>
        <w:rPr>
          <w:rFonts w:hint="default" w:ascii="Tahoma" w:hAnsi="Tahoma" w:cs="Tahoma"/>
          <w:sz w:val="22"/>
          <w:szCs w:val="22"/>
          <w:lang w:val="en-US"/>
        </w:rPr>
        <w:t>4</w:t>
      </w:r>
      <w:r>
        <w:rPr>
          <w:rFonts w:hint="default" w:ascii="Tahoma" w:hAnsi="Tahoma" w:cs="Tahoma"/>
          <w:sz w:val="22"/>
          <w:szCs w:val="22"/>
        </w:rPr>
        <w:t xml:space="preserve">- </w:t>
      </w:r>
      <w:r>
        <w:rPr>
          <w:rFonts w:hint="default" w:ascii="Tahoma" w:hAnsi="Tahoma" w:cs="Tahoma"/>
          <w:sz w:val="22"/>
          <w:szCs w:val="22"/>
          <w:lang w:val="en-US"/>
        </w:rPr>
        <w:t>Diesel Fuel Usage and Diesel Demand</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Page 1</w:t>
      </w:r>
      <w:r>
        <w:rPr>
          <w:rFonts w:hint="default" w:ascii="Tahoma" w:hAnsi="Tahoma" w:cs="Tahoma"/>
          <w:sz w:val="22"/>
          <w:szCs w:val="22"/>
          <w:lang w:val="en-US"/>
        </w:rPr>
        <w:t>3</w:t>
      </w:r>
      <w:r>
        <w:rPr>
          <w:rFonts w:hint="default" w:ascii="Tahoma" w:hAnsi="Tahoma" w:cs="Tahoma"/>
          <w:sz w:val="22"/>
          <w:szCs w:val="22"/>
        </w:rPr>
        <w:t xml:space="preserve">: Section </w:t>
      </w:r>
      <w:r>
        <w:rPr>
          <w:rFonts w:hint="default" w:ascii="Tahoma" w:hAnsi="Tahoma" w:cs="Tahoma"/>
          <w:sz w:val="22"/>
          <w:szCs w:val="22"/>
          <w:lang w:val="en-US"/>
        </w:rPr>
        <w:t>5</w:t>
      </w:r>
      <w:r>
        <w:rPr>
          <w:rFonts w:hint="default" w:ascii="Tahoma" w:hAnsi="Tahoma" w:cs="Tahoma"/>
          <w:sz w:val="22"/>
          <w:szCs w:val="22"/>
        </w:rPr>
        <w:t>- Evidence based analysis of structure, conduct and performance issues</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Page 1</w:t>
      </w:r>
      <w:r>
        <w:rPr>
          <w:rFonts w:hint="default" w:ascii="Tahoma" w:hAnsi="Tahoma" w:cs="Tahoma"/>
          <w:sz w:val="22"/>
          <w:szCs w:val="22"/>
          <w:lang w:val="en-US"/>
        </w:rPr>
        <w:t xml:space="preserve">4: </w:t>
      </w:r>
      <w:r>
        <w:rPr>
          <w:rFonts w:hint="default" w:ascii="Tahoma" w:hAnsi="Tahoma" w:cs="Tahoma"/>
          <w:sz w:val="22"/>
          <w:szCs w:val="22"/>
        </w:rPr>
        <w:t xml:space="preserve">Section </w:t>
      </w:r>
      <w:r>
        <w:rPr>
          <w:rFonts w:hint="default" w:ascii="Tahoma" w:hAnsi="Tahoma" w:cs="Tahoma"/>
          <w:sz w:val="22"/>
          <w:szCs w:val="22"/>
          <w:lang w:val="en-US"/>
        </w:rPr>
        <w:t>5</w:t>
      </w:r>
      <w:r>
        <w:rPr>
          <w:rFonts w:hint="default" w:ascii="Tahoma" w:hAnsi="Tahoma" w:cs="Tahoma"/>
          <w:sz w:val="22"/>
          <w:szCs w:val="22"/>
        </w:rPr>
        <w:t>- Evidence based analysis of structure, conduct and performance issues</w:t>
      </w:r>
      <w:r>
        <w:rPr>
          <w:rFonts w:hint="default" w:ascii="Tahoma" w:hAnsi="Tahoma" w:cs="Tahoma"/>
          <w:sz w:val="22"/>
          <w:szCs w:val="22"/>
          <w:lang w:val="en-US"/>
        </w:rPr>
        <w:t xml:space="preserve"> continued</w:t>
      </w:r>
    </w:p>
    <w:p>
      <w:pPr>
        <w:spacing w:line="360" w:lineRule="auto"/>
        <w:jc w:val="both"/>
        <w:rPr>
          <w:rFonts w:hint="default" w:ascii="Tahoma" w:hAnsi="Tahoma" w:cs="Tahoma"/>
          <w:sz w:val="22"/>
          <w:szCs w:val="22"/>
          <w:lang w:val="en-US"/>
        </w:rPr>
      </w:pPr>
    </w:p>
    <w:p>
      <w:pPr>
        <w:spacing w:line="360" w:lineRule="auto"/>
        <w:jc w:val="both"/>
        <w:rPr>
          <w:rFonts w:hint="default" w:ascii="Tahoma" w:hAnsi="Tahoma" w:cs="Tahoma"/>
          <w:sz w:val="22"/>
          <w:szCs w:val="22"/>
          <w:lang w:val="en-US"/>
        </w:rPr>
      </w:pPr>
      <w:r>
        <w:rPr>
          <w:rFonts w:hint="default" w:ascii="Tahoma" w:hAnsi="Tahoma" w:cs="Tahoma"/>
          <w:sz w:val="22"/>
          <w:szCs w:val="22"/>
        </w:rPr>
        <w:t>Page 1</w:t>
      </w:r>
      <w:r>
        <w:rPr>
          <w:rFonts w:hint="default" w:ascii="Tahoma" w:hAnsi="Tahoma" w:cs="Tahoma"/>
          <w:sz w:val="22"/>
          <w:szCs w:val="22"/>
          <w:lang w:val="en-US"/>
        </w:rPr>
        <w:t xml:space="preserve">5: </w:t>
      </w:r>
      <w:r>
        <w:rPr>
          <w:rFonts w:hint="default" w:ascii="Tahoma" w:hAnsi="Tahoma" w:cs="Tahoma"/>
          <w:sz w:val="22"/>
          <w:szCs w:val="22"/>
        </w:rPr>
        <w:t xml:space="preserve">Section </w:t>
      </w:r>
      <w:r>
        <w:rPr>
          <w:rFonts w:hint="default" w:ascii="Tahoma" w:hAnsi="Tahoma" w:cs="Tahoma"/>
          <w:sz w:val="22"/>
          <w:szCs w:val="22"/>
          <w:lang w:val="en-US"/>
        </w:rPr>
        <w:t>5</w:t>
      </w:r>
      <w:r>
        <w:rPr>
          <w:rFonts w:hint="default" w:ascii="Tahoma" w:hAnsi="Tahoma" w:cs="Tahoma"/>
          <w:sz w:val="22"/>
          <w:szCs w:val="22"/>
        </w:rPr>
        <w:t>- Evidence based analysis of structure, conduct and performance issues</w:t>
      </w:r>
      <w:r>
        <w:rPr>
          <w:rFonts w:hint="default" w:ascii="Tahoma" w:hAnsi="Tahoma" w:cs="Tahoma"/>
          <w:sz w:val="22"/>
          <w:szCs w:val="22"/>
          <w:lang w:val="en-US"/>
        </w:rPr>
        <w:t xml:space="preserve"> continued</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Page 1</w:t>
      </w:r>
      <w:r>
        <w:rPr>
          <w:rFonts w:hint="default" w:ascii="Tahoma" w:hAnsi="Tahoma" w:cs="Tahoma"/>
          <w:sz w:val="22"/>
          <w:szCs w:val="22"/>
          <w:lang w:val="en-US"/>
        </w:rPr>
        <w:t xml:space="preserve">6: </w:t>
      </w:r>
      <w:r>
        <w:rPr>
          <w:rFonts w:hint="default" w:ascii="Tahoma" w:hAnsi="Tahoma" w:cs="Tahoma"/>
          <w:sz w:val="22"/>
          <w:szCs w:val="22"/>
        </w:rPr>
        <w:t xml:space="preserve">Section </w:t>
      </w:r>
      <w:r>
        <w:rPr>
          <w:rFonts w:hint="default" w:ascii="Tahoma" w:hAnsi="Tahoma" w:cs="Tahoma"/>
          <w:sz w:val="22"/>
          <w:szCs w:val="22"/>
          <w:lang w:val="en-US"/>
        </w:rPr>
        <w:t>5</w:t>
      </w:r>
      <w:r>
        <w:rPr>
          <w:rFonts w:hint="default" w:ascii="Tahoma" w:hAnsi="Tahoma" w:cs="Tahoma"/>
          <w:sz w:val="22"/>
          <w:szCs w:val="22"/>
        </w:rPr>
        <w:t>- Evidence based analysis of structure, conduct and performance issues</w:t>
      </w:r>
      <w:r>
        <w:rPr>
          <w:rFonts w:hint="default" w:ascii="Tahoma" w:hAnsi="Tahoma" w:cs="Tahoma"/>
          <w:sz w:val="22"/>
          <w:szCs w:val="22"/>
          <w:lang w:val="en-US"/>
        </w:rPr>
        <w:t xml:space="preserve"> continued</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lang w:val="en-US"/>
        </w:rPr>
        <w:t>Page 17: Section 6-</w:t>
      </w:r>
      <w:r>
        <w:rPr>
          <w:rFonts w:hint="default" w:ascii="Tahoma" w:hAnsi="Tahoma" w:cs="Tahoma"/>
          <w:sz w:val="22"/>
          <w:szCs w:val="22"/>
        </w:rPr>
        <w:t>Conclusion of relevant findings</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Page 1</w:t>
      </w:r>
      <w:r>
        <w:rPr>
          <w:rFonts w:hint="default" w:ascii="Tahoma" w:hAnsi="Tahoma" w:cs="Tahoma"/>
          <w:sz w:val="22"/>
          <w:szCs w:val="22"/>
          <w:lang w:val="en-US"/>
        </w:rPr>
        <w:t>8</w:t>
      </w:r>
      <w:r>
        <w:rPr>
          <w:rFonts w:hint="default" w:ascii="Tahoma" w:hAnsi="Tahoma" w:cs="Tahoma"/>
          <w:sz w:val="22"/>
          <w:szCs w:val="22"/>
        </w:rPr>
        <w:t>: References</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u w:val="single"/>
        </w:rPr>
      </w:pPr>
      <w:r>
        <w:rPr>
          <w:rFonts w:hint="default" w:ascii="Tahoma" w:hAnsi="Tahoma" w:cs="Tahoma"/>
          <w:sz w:val="22"/>
          <w:szCs w:val="22"/>
          <w:u w:val="single"/>
        </w:rPr>
        <w:t>Contents of Diagrams</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 xml:space="preserve">Page </w:t>
      </w:r>
      <w:r>
        <w:rPr>
          <w:rFonts w:hint="default" w:ascii="Tahoma" w:hAnsi="Tahoma" w:cs="Tahoma"/>
          <w:sz w:val="22"/>
          <w:szCs w:val="22"/>
          <w:lang w:val="en-US"/>
        </w:rPr>
        <w:t>5</w:t>
      </w:r>
      <w:r>
        <w:rPr>
          <w:rFonts w:hint="default" w:ascii="Tahoma" w:hAnsi="Tahoma" w:cs="Tahoma"/>
          <w:sz w:val="22"/>
          <w:szCs w:val="22"/>
        </w:rPr>
        <w:t xml:space="preserve">: Diagram 1- UK </w:t>
      </w:r>
      <w:r>
        <w:rPr>
          <w:rFonts w:hint="default" w:ascii="Tahoma" w:hAnsi="Tahoma" w:cs="Tahoma"/>
          <w:sz w:val="22"/>
          <w:szCs w:val="22"/>
          <w:lang w:val="en-US"/>
        </w:rPr>
        <w:t>Road Transport Fuel</w:t>
      </w:r>
      <w:r>
        <w:rPr>
          <w:rFonts w:hint="default" w:ascii="Tahoma" w:hAnsi="Tahoma" w:cs="Tahoma"/>
          <w:sz w:val="22"/>
          <w:szCs w:val="22"/>
        </w:rPr>
        <w:t xml:space="preserve"> market</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7</w:t>
      </w:r>
      <w:r>
        <w:rPr>
          <w:rFonts w:hint="default" w:ascii="Tahoma" w:hAnsi="Tahoma" w:cs="Tahoma"/>
          <w:sz w:val="22"/>
          <w:szCs w:val="22"/>
        </w:rPr>
        <w:t xml:space="preserve">: Diagram 2- </w:t>
      </w:r>
      <w:r>
        <w:rPr>
          <w:rFonts w:hint="default" w:ascii="Tahoma" w:hAnsi="Tahoma" w:cs="Tahoma"/>
          <w:sz w:val="22"/>
          <w:szCs w:val="22"/>
          <w:lang w:val="en-US"/>
        </w:rPr>
        <w:t>Road Transport Fuel</w:t>
      </w:r>
      <w:r>
        <w:rPr>
          <w:rFonts w:hint="default" w:ascii="Tahoma" w:hAnsi="Tahoma" w:cs="Tahoma"/>
          <w:sz w:val="22"/>
          <w:szCs w:val="22"/>
        </w:rPr>
        <w:t xml:space="preserve"> </w:t>
      </w:r>
      <w:r>
        <w:rPr>
          <w:rFonts w:hint="default" w:ascii="Tahoma" w:hAnsi="Tahoma" w:cs="Tahoma"/>
          <w:sz w:val="22"/>
          <w:szCs w:val="22"/>
          <w:lang w:val="en-US"/>
        </w:rPr>
        <w:t>consumption</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7</w:t>
      </w:r>
      <w:r>
        <w:rPr>
          <w:rFonts w:hint="default" w:ascii="Tahoma" w:hAnsi="Tahoma" w:cs="Tahoma"/>
          <w:sz w:val="22"/>
          <w:szCs w:val="22"/>
        </w:rPr>
        <w:t xml:space="preserve">: Diagram 3- </w:t>
      </w:r>
      <w:r>
        <w:rPr>
          <w:rFonts w:hint="default" w:ascii="Tahoma" w:hAnsi="Tahoma" w:cs="Tahoma"/>
          <w:sz w:val="22"/>
          <w:szCs w:val="22"/>
          <w:lang w:val="en-US"/>
        </w:rPr>
        <w:t>Road Transport Fuel</w:t>
      </w:r>
      <w:r>
        <w:rPr>
          <w:rFonts w:hint="default" w:ascii="Tahoma" w:hAnsi="Tahoma" w:cs="Tahoma"/>
          <w:sz w:val="22"/>
          <w:szCs w:val="22"/>
        </w:rPr>
        <w:t xml:space="preserve"> </w:t>
      </w:r>
      <w:r>
        <w:rPr>
          <w:rFonts w:hint="default" w:ascii="Tahoma" w:hAnsi="Tahoma" w:cs="Tahoma"/>
          <w:sz w:val="22"/>
          <w:szCs w:val="22"/>
          <w:lang w:val="en-US"/>
        </w:rPr>
        <w:t>consumption by uses</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7</w:t>
      </w:r>
      <w:r>
        <w:rPr>
          <w:rFonts w:hint="default" w:ascii="Tahoma" w:hAnsi="Tahoma" w:cs="Tahoma"/>
          <w:sz w:val="22"/>
          <w:szCs w:val="22"/>
        </w:rPr>
        <w:t xml:space="preserve">: Diagram 4- </w:t>
      </w:r>
      <w:r>
        <w:rPr>
          <w:rFonts w:hint="default" w:ascii="Tahoma" w:hAnsi="Tahoma" w:cs="Tahoma"/>
          <w:sz w:val="22"/>
          <w:szCs w:val="22"/>
          <w:lang w:val="en-US"/>
        </w:rPr>
        <w:t>Road Transport Fuel</w:t>
      </w:r>
      <w:r>
        <w:rPr>
          <w:rFonts w:hint="default" w:ascii="Tahoma" w:hAnsi="Tahoma" w:cs="Tahoma"/>
          <w:sz w:val="22"/>
          <w:szCs w:val="22"/>
        </w:rPr>
        <w:t xml:space="preserve"> </w:t>
      </w:r>
      <w:r>
        <w:rPr>
          <w:rFonts w:hint="default" w:ascii="Tahoma" w:hAnsi="Tahoma" w:cs="Tahoma"/>
          <w:sz w:val="22"/>
          <w:szCs w:val="22"/>
          <w:lang w:val="en-US"/>
        </w:rPr>
        <w:t>consumption by mode of transport</w:t>
      </w:r>
    </w:p>
    <w:p>
      <w:pPr>
        <w:spacing w:line="360" w:lineRule="auto"/>
        <w:jc w:val="both"/>
        <w:rPr>
          <w:rFonts w:hint="default" w:ascii="Tahoma" w:hAnsi="Tahoma" w:cs="Tahoma"/>
          <w:sz w:val="22"/>
          <w:szCs w:val="22"/>
        </w:rPr>
      </w:pPr>
      <w:r>
        <w:rPr>
          <w:rFonts w:hint="default" w:ascii="Tahoma" w:hAnsi="Tahoma" w:cs="Tahoma"/>
          <w:sz w:val="22"/>
          <w:szCs w:val="22"/>
        </w:rPr>
        <w:t xml:space="preserve"> </w:t>
      </w: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8</w:t>
      </w:r>
      <w:r>
        <w:rPr>
          <w:rFonts w:hint="default" w:ascii="Tahoma" w:hAnsi="Tahoma" w:cs="Tahoma"/>
          <w:sz w:val="22"/>
          <w:szCs w:val="22"/>
        </w:rPr>
        <w:t xml:space="preserve">: Diagram 5- </w:t>
      </w:r>
      <w:r>
        <w:rPr>
          <w:rFonts w:hint="default" w:ascii="Tahoma" w:hAnsi="Tahoma" w:cs="Tahoma"/>
          <w:sz w:val="22"/>
          <w:szCs w:val="22"/>
          <w:lang w:val="en-US"/>
        </w:rPr>
        <w:t>Petroleum Supply Sources</w:t>
      </w:r>
    </w:p>
    <w:p>
      <w:pPr>
        <w:spacing w:line="360" w:lineRule="auto"/>
        <w:jc w:val="both"/>
        <w:rPr>
          <w:rFonts w:hint="default" w:ascii="Tahoma" w:hAnsi="Tahoma" w:cs="Tahoma"/>
          <w:sz w:val="22"/>
          <w:szCs w:val="22"/>
          <w:lang w:val="en-US"/>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10</w:t>
      </w:r>
      <w:r>
        <w:rPr>
          <w:rFonts w:hint="default" w:ascii="Tahoma" w:hAnsi="Tahoma" w:cs="Tahoma"/>
          <w:sz w:val="22"/>
          <w:szCs w:val="22"/>
        </w:rPr>
        <w:t>: Diagram 6- D</w:t>
      </w:r>
      <w:r>
        <w:rPr>
          <w:rFonts w:hint="default" w:ascii="Tahoma" w:hAnsi="Tahoma" w:cs="Tahoma"/>
          <w:sz w:val="22"/>
          <w:szCs w:val="22"/>
          <w:lang w:val="en-US"/>
        </w:rPr>
        <w:t>iesel price, demand, fuel duty and VAT</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12</w:t>
      </w:r>
      <w:r>
        <w:rPr>
          <w:rFonts w:hint="default" w:ascii="Tahoma" w:hAnsi="Tahoma" w:cs="Tahoma"/>
          <w:sz w:val="22"/>
          <w:szCs w:val="22"/>
        </w:rPr>
        <w:t xml:space="preserve">: Diagram 7- </w:t>
      </w:r>
      <w:r>
        <w:rPr>
          <w:rFonts w:hint="default" w:ascii="Tahoma" w:hAnsi="Tahoma" w:cs="Tahoma"/>
          <w:sz w:val="22"/>
          <w:szCs w:val="22"/>
          <w:lang w:val="en-US"/>
        </w:rPr>
        <w:t>Relationship between Diesel fuel usage and diesel demand</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12</w:t>
      </w:r>
      <w:r>
        <w:rPr>
          <w:rFonts w:hint="default" w:ascii="Tahoma" w:hAnsi="Tahoma" w:cs="Tahoma"/>
          <w:sz w:val="22"/>
          <w:szCs w:val="22"/>
        </w:rPr>
        <w:t xml:space="preserve">: Diagram 8- </w:t>
      </w:r>
      <w:r>
        <w:rPr>
          <w:rFonts w:hint="default" w:ascii="Tahoma" w:hAnsi="Tahoma" w:cs="Tahoma"/>
          <w:sz w:val="22"/>
          <w:szCs w:val="22"/>
          <w:lang w:val="en-US"/>
        </w:rPr>
        <w:t>comparison of petrol and diesel efficiency</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Page </w:t>
      </w:r>
      <w:r>
        <w:rPr>
          <w:rFonts w:hint="default" w:ascii="Tahoma" w:hAnsi="Tahoma" w:cs="Tahoma"/>
          <w:sz w:val="22"/>
          <w:szCs w:val="22"/>
          <w:lang w:val="en-US"/>
        </w:rPr>
        <w:t xml:space="preserve">16: </w:t>
      </w:r>
      <w:r>
        <w:rPr>
          <w:rFonts w:hint="default" w:ascii="Tahoma" w:hAnsi="Tahoma" w:cs="Tahoma"/>
          <w:sz w:val="22"/>
          <w:szCs w:val="22"/>
        </w:rPr>
        <w:t xml:space="preserve">Diagram 9: </w:t>
      </w:r>
      <w:r>
        <w:rPr>
          <w:rFonts w:hint="default" w:ascii="Tahoma" w:hAnsi="Tahoma" w:cs="Tahoma"/>
          <w:sz w:val="22"/>
          <w:szCs w:val="22"/>
          <w:lang w:val="en-US"/>
        </w:rPr>
        <w:t>Turnover of leading companies within the UK Road transport fuel</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u w:val="single"/>
          <w:lang w:val="en-GB"/>
        </w:rPr>
      </w:pPr>
      <w:r>
        <w:rPr>
          <w:rFonts w:hint="default" w:ascii="Tahoma" w:hAnsi="Tahoma" w:cs="Tahoma"/>
          <w:sz w:val="22"/>
          <w:szCs w:val="22"/>
          <w:u w:val="single"/>
          <w:lang w:val="en-GB"/>
        </w:rPr>
        <w:t>Content of Tables</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 xml:space="preserve">Page </w:t>
      </w:r>
      <w:r>
        <w:rPr>
          <w:rFonts w:hint="default" w:ascii="Tahoma" w:hAnsi="Tahoma" w:cs="Tahoma"/>
          <w:sz w:val="22"/>
          <w:szCs w:val="22"/>
          <w:lang w:val="en-US"/>
        </w:rPr>
        <w:t>10</w:t>
      </w:r>
      <w:r>
        <w:rPr>
          <w:rFonts w:hint="default" w:ascii="Tahoma" w:hAnsi="Tahoma" w:cs="Tahoma"/>
          <w:sz w:val="22"/>
          <w:szCs w:val="22"/>
        </w:rPr>
        <w:t xml:space="preserve">: Table 1- </w:t>
      </w:r>
      <w:r>
        <w:rPr>
          <w:rFonts w:hint="default" w:ascii="Tahoma" w:hAnsi="Tahoma" w:cs="Tahoma"/>
          <w:sz w:val="22"/>
          <w:szCs w:val="22"/>
          <w:lang w:val="en-US"/>
        </w:rPr>
        <w:t xml:space="preserve">Price </w:t>
      </w:r>
      <w:r>
        <w:rPr>
          <w:rFonts w:hint="default" w:ascii="Tahoma" w:hAnsi="Tahoma" w:cs="Tahoma"/>
          <w:sz w:val="22"/>
          <w:szCs w:val="22"/>
        </w:rPr>
        <w:t xml:space="preserve">Elasticity of the UK </w:t>
      </w:r>
      <w:r>
        <w:rPr>
          <w:rFonts w:hint="default" w:ascii="Tahoma" w:hAnsi="Tahoma" w:cs="Tahoma"/>
          <w:sz w:val="22"/>
          <w:szCs w:val="22"/>
          <w:lang w:val="en-US"/>
        </w:rPr>
        <w:t>Road Transport Fuel</w:t>
      </w:r>
      <w:r>
        <w:rPr>
          <w:rFonts w:hint="default" w:ascii="Tahoma" w:hAnsi="Tahoma" w:cs="Tahoma"/>
          <w:sz w:val="22"/>
          <w:szCs w:val="22"/>
        </w:rPr>
        <w:t xml:space="preserve"> market</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t>Page 1</w:t>
      </w:r>
      <w:r>
        <w:rPr>
          <w:rFonts w:hint="default" w:ascii="Tahoma" w:hAnsi="Tahoma" w:cs="Tahoma"/>
          <w:sz w:val="22"/>
          <w:szCs w:val="22"/>
          <w:lang w:val="en-US"/>
        </w:rPr>
        <w:t>0</w:t>
      </w:r>
      <w:r>
        <w:rPr>
          <w:rFonts w:hint="default" w:ascii="Tahoma" w:hAnsi="Tahoma" w:cs="Tahoma"/>
          <w:sz w:val="22"/>
          <w:szCs w:val="22"/>
        </w:rPr>
        <w:t xml:space="preserve">: Table 2- </w:t>
      </w:r>
      <w:r>
        <w:rPr>
          <w:rFonts w:hint="default" w:ascii="Tahoma" w:hAnsi="Tahoma" w:cs="Tahoma"/>
          <w:sz w:val="22"/>
          <w:szCs w:val="22"/>
          <w:lang w:val="en-US"/>
        </w:rPr>
        <w:t xml:space="preserve">Fuel Tax Elasticity </w:t>
      </w:r>
      <w:r>
        <w:rPr>
          <w:rFonts w:hint="default" w:ascii="Tahoma" w:hAnsi="Tahoma" w:cs="Tahoma"/>
          <w:sz w:val="22"/>
          <w:szCs w:val="22"/>
        </w:rPr>
        <w:t xml:space="preserve">UK </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lang w:val="en-US"/>
        </w:rPr>
        <w:t>Page 14: Table 3- UK Fuel Retail Market Concentration</w:t>
      </w:r>
    </w:p>
    <w:p>
      <w:pPr>
        <w:spacing w:line="360" w:lineRule="auto"/>
        <w:jc w:val="both"/>
        <w:rPr>
          <w:rFonts w:hint="default" w:ascii="Tahoma" w:hAnsi="Tahoma" w:cs="Tahoma"/>
          <w:sz w:val="22"/>
          <w:szCs w:val="22"/>
          <w:lang w:val="en-US"/>
        </w:rPr>
      </w:pPr>
    </w:p>
    <w:p>
      <w:pPr>
        <w:spacing w:line="360" w:lineRule="auto"/>
        <w:jc w:val="both"/>
        <w:rPr>
          <w:rFonts w:hint="default" w:ascii="Tahoma" w:hAnsi="Tahoma" w:cs="Tahoma"/>
          <w:sz w:val="22"/>
          <w:szCs w:val="22"/>
        </w:rPr>
      </w:pPr>
      <w:r>
        <w:rPr>
          <w:rFonts w:hint="default" w:ascii="Tahoma" w:hAnsi="Tahoma" w:cs="Tahoma"/>
          <w:sz w:val="22"/>
          <w:szCs w:val="22"/>
          <w:lang w:val="en-US"/>
        </w:rPr>
        <w:t>Page 15: Table 4: UK Fuel Producer Market Share</w:t>
      </w:r>
      <w:r>
        <w:rPr>
          <w:rFonts w:hint="default" w:ascii="Tahoma" w:hAnsi="Tahoma" w:cs="Tahoma"/>
          <w:sz w:val="22"/>
          <w:szCs w:val="22"/>
        </w:rPr>
        <w:br w:type="page"/>
      </w:r>
    </w:p>
    <w:p>
      <w:pPr>
        <w:spacing w:line="360" w:lineRule="auto"/>
        <w:jc w:val="both"/>
        <w:rPr>
          <w:rFonts w:hint="default" w:ascii="Tahoma" w:hAnsi="Tahoma" w:cs="Tahoma"/>
          <w:b/>
          <w:bCs/>
          <w:sz w:val="22"/>
          <w:szCs w:val="22"/>
        </w:rPr>
      </w:pPr>
      <w:r>
        <w:rPr>
          <w:rFonts w:hint="default" w:ascii="Tahoma" w:hAnsi="Tahoma" w:cs="Tahoma"/>
          <w:b/>
          <w:bCs/>
          <w:sz w:val="22"/>
          <w:szCs w:val="22"/>
          <w:u w:val="single"/>
        </w:rPr>
        <w:t>SECTION 1- INTRODUCTION</w:t>
      </w:r>
    </w:p>
    <w:p>
      <w:pPr>
        <w:numPr>
          <w:ilvl w:val="0"/>
          <w:numId w:val="0"/>
        </w:numPr>
        <w:spacing w:line="360" w:lineRule="auto"/>
        <w:jc w:val="both"/>
        <w:rPr>
          <w:rFonts w:hint="default" w:ascii="Tahoma" w:hAnsi="Tahoma" w:cs="Tahoma"/>
          <w:sz w:val="22"/>
          <w:szCs w:val="22"/>
        </w:rPr>
      </w:pPr>
      <w:r>
        <w:rPr>
          <w:rFonts w:hint="default" w:ascii="Tahoma" w:hAnsi="Tahoma" w:cs="Tahoma"/>
          <w:sz w:val="22"/>
          <w:szCs w:val="22"/>
        </w:rPr>
        <w:t xml:space="preserve">This report is an economic market analysis of the UK </w:t>
      </w:r>
      <w:r>
        <w:rPr>
          <w:rFonts w:hint="default" w:ascii="Tahoma" w:hAnsi="Tahoma" w:cs="Tahoma"/>
          <w:sz w:val="22"/>
          <w:szCs w:val="22"/>
          <w:lang w:val="en-US"/>
        </w:rPr>
        <w:t>Road Transport Fuel</w:t>
      </w:r>
      <w:r>
        <w:rPr>
          <w:rFonts w:hint="default" w:ascii="Tahoma" w:hAnsi="Tahoma" w:cs="Tahoma"/>
          <w:sz w:val="22"/>
          <w:szCs w:val="22"/>
        </w:rPr>
        <w:t xml:space="preserve"> market and aims to supply the client who wants to understand factors affecting the pricing strategy of the UK road transport fuel market</w:t>
      </w:r>
      <w:r>
        <w:rPr>
          <w:rFonts w:hint="default" w:ascii="Tahoma" w:hAnsi="Tahoma" w:cs="Tahoma"/>
          <w:sz w:val="22"/>
          <w:szCs w:val="22"/>
          <w:lang w:val="en-US"/>
        </w:rPr>
        <w:t xml:space="preserve"> </w:t>
      </w:r>
      <w:r>
        <w:rPr>
          <w:rFonts w:hint="default" w:ascii="Tahoma" w:hAnsi="Tahoma" w:cs="Tahoma"/>
          <w:sz w:val="22"/>
          <w:szCs w:val="22"/>
        </w:rPr>
        <w:t xml:space="preserve">with an overview of the market by analysing relevant real data from various sources and interpreting the evidence. The report reviews key issues integral to the sector, drawing upon economic theories and models. </w:t>
      </w:r>
    </w:p>
    <w:p>
      <w:pPr>
        <w:numPr>
          <w:ilvl w:val="0"/>
          <w:numId w:val="0"/>
        </w:numPr>
        <w:spacing w:line="360" w:lineRule="auto"/>
        <w:jc w:val="both"/>
        <w:rPr>
          <w:rFonts w:hint="default" w:ascii="Tahoma" w:hAnsi="Tahoma" w:cs="Tahoma"/>
          <w:sz w:val="22"/>
          <w:szCs w:val="22"/>
        </w:rPr>
      </w:pPr>
      <w:r>
        <w:rPr>
          <w:rFonts w:hint="default" w:ascii="Tahoma" w:hAnsi="Tahoma" w:cs="Tahoma"/>
          <w:sz w:val="22"/>
          <w:szCs w:val="22"/>
          <w:lang w:val="en-US"/>
        </w:rPr>
        <w:t>The report provides a</w:t>
      </w:r>
      <w:r>
        <w:rPr>
          <w:rFonts w:hint="default" w:ascii="Tahoma" w:hAnsi="Tahoma" w:cs="Tahoma"/>
          <w:sz w:val="22"/>
          <w:szCs w:val="22"/>
        </w:rPr>
        <w:t xml:space="preserve"> market description</w:t>
      </w:r>
      <w:r>
        <w:rPr>
          <w:rFonts w:hint="default" w:ascii="Tahoma" w:hAnsi="Tahoma" w:cs="Tahoma"/>
          <w:sz w:val="22"/>
          <w:szCs w:val="22"/>
          <w:lang w:val="en-US"/>
        </w:rPr>
        <w:t xml:space="preserve"> and </w:t>
      </w:r>
      <w:r>
        <w:rPr>
          <w:rFonts w:hint="default" w:ascii="Tahoma" w:hAnsi="Tahoma" w:cs="Tahoma"/>
          <w:sz w:val="22"/>
          <w:szCs w:val="22"/>
        </w:rPr>
        <w:t xml:space="preserve">analysis of price and quantity trends </w:t>
      </w:r>
      <w:r>
        <w:rPr>
          <w:rFonts w:hint="default" w:ascii="Tahoma" w:hAnsi="Tahoma" w:cs="Tahoma"/>
          <w:sz w:val="22"/>
          <w:szCs w:val="22"/>
          <w:lang w:val="en-US"/>
        </w:rPr>
        <w:t xml:space="preserve">of road transport fuel </w:t>
      </w:r>
      <w:r>
        <w:rPr>
          <w:rFonts w:hint="default" w:ascii="Tahoma" w:hAnsi="Tahoma" w:cs="Tahoma"/>
          <w:sz w:val="22"/>
          <w:szCs w:val="22"/>
        </w:rPr>
        <w:t>over tim</w:t>
      </w:r>
      <w:r>
        <w:rPr>
          <w:rFonts w:hint="default" w:ascii="Tahoma" w:hAnsi="Tahoma" w:cs="Tahoma"/>
          <w:sz w:val="22"/>
          <w:szCs w:val="22"/>
          <w:lang w:val="en-US"/>
        </w:rPr>
        <w:t xml:space="preserve">e. It also include </w:t>
      </w:r>
      <w:r>
        <w:rPr>
          <w:rFonts w:hint="default" w:ascii="Tahoma" w:hAnsi="Tahoma" w:cs="Tahoma"/>
          <w:sz w:val="22"/>
          <w:szCs w:val="22"/>
        </w:rPr>
        <w:t xml:space="preserve">an analysis of factors affecting demand and supply of road transport fuels in the UK, </w:t>
      </w:r>
      <w:r>
        <w:rPr>
          <w:rFonts w:hint="default" w:ascii="Tahoma" w:hAnsi="Tahoma" w:cs="Tahoma"/>
          <w:sz w:val="22"/>
          <w:szCs w:val="22"/>
          <w:lang w:val="en-US"/>
        </w:rPr>
        <w:t>especially during the</w:t>
      </w:r>
      <w:r>
        <w:rPr>
          <w:rFonts w:hint="default" w:ascii="Tahoma" w:hAnsi="Tahoma" w:cs="Tahoma"/>
          <w:sz w:val="22"/>
          <w:szCs w:val="22"/>
        </w:rPr>
        <w:t xml:space="preserve"> COVID-19 </w:t>
      </w:r>
      <w:r>
        <w:rPr>
          <w:rFonts w:hint="default" w:ascii="Tahoma" w:hAnsi="Tahoma" w:cs="Tahoma"/>
          <w:sz w:val="22"/>
          <w:szCs w:val="22"/>
          <w:lang w:val="en-US"/>
        </w:rPr>
        <w:t xml:space="preserve">prevalence </w:t>
      </w:r>
      <w:r>
        <w:rPr>
          <w:rFonts w:hint="default" w:ascii="Tahoma" w:hAnsi="Tahoma" w:cs="Tahoma"/>
          <w:sz w:val="22"/>
          <w:szCs w:val="22"/>
        </w:rPr>
        <w:t>and fuel shortage crisis in 202</w:t>
      </w:r>
      <w:r>
        <w:rPr>
          <w:rFonts w:hint="default" w:ascii="Tahoma" w:hAnsi="Tahoma" w:cs="Tahoma"/>
          <w:sz w:val="22"/>
          <w:szCs w:val="22"/>
          <w:lang w:val="en-US"/>
        </w:rPr>
        <w:t>1.</w:t>
      </w:r>
      <w:r>
        <w:rPr>
          <w:rFonts w:hint="default" w:ascii="Tahoma" w:hAnsi="Tahoma" w:cs="Tahoma"/>
          <w:sz w:val="22"/>
          <w:szCs w:val="22"/>
        </w:rPr>
        <w:t xml:space="preserve"> </w:t>
      </w:r>
      <w:r>
        <w:rPr>
          <w:rFonts w:hint="default" w:ascii="Tahoma" w:hAnsi="Tahoma" w:cs="Tahoma"/>
          <w:sz w:val="22"/>
          <w:szCs w:val="22"/>
          <w:lang w:val="en-US"/>
        </w:rPr>
        <w:t>We create a section for</w:t>
      </w:r>
      <w:r>
        <w:rPr>
          <w:rFonts w:hint="default" w:ascii="Tahoma" w:hAnsi="Tahoma" w:cs="Tahoma"/>
          <w:sz w:val="22"/>
          <w:szCs w:val="22"/>
        </w:rPr>
        <w:t xml:space="preserve"> discussion of the value of price elasticity of demand for different road transport fuels and the implications of this on pricing strategy in the market and government tax strategy.</w:t>
      </w:r>
    </w:p>
    <w:p>
      <w:pPr>
        <w:spacing w:line="360" w:lineRule="auto"/>
        <w:jc w:val="both"/>
        <w:rPr>
          <w:rFonts w:hint="default" w:ascii="Tahoma" w:hAnsi="Tahoma" w:cs="Tahoma"/>
          <w:sz w:val="22"/>
          <w:szCs w:val="22"/>
        </w:rPr>
      </w:pPr>
      <w:r>
        <w:rPr>
          <w:rFonts w:hint="default" w:ascii="Tahoma" w:hAnsi="Tahoma" w:cs="Tahoma"/>
          <w:sz w:val="22"/>
          <w:szCs w:val="22"/>
        </w:rPr>
        <w:t xml:space="preserve">The report will then specifically review data for the UK road transport fuels market and make references to the elasticity of </w:t>
      </w:r>
      <w:r>
        <w:rPr>
          <w:rFonts w:hint="default" w:ascii="Tahoma" w:hAnsi="Tahoma" w:cs="Tahoma"/>
          <w:sz w:val="22"/>
          <w:szCs w:val="22"/>
          <w:lang w:val="en-US"/>
        </w:rPr>
        <w:t>road transport</w:t>
      </w:r>
      <w:r>
        <w:rPr>
          <w:rFonts w:hint="default" w:ascii="Tahoma" w:hAnsi="Tahoma" w:cs="Tahoma"/>
          <w:sz w:val="22"/>
          <w:szCs w:val="22"/>
        </w:rPr>
        <w:t xml:space="preserve"> </w:t>
      </w:r>
      <w:r>
        <w:rPr>
          <w:rFonts w:hint="default" w:ascii="Tahoma" w:hAnsi="Tahoma" w:cs="Tahoma"/>
          <w:sz w:val="22"/>
          <w:szCs w:val="22"/>
          <w:lang w:val="en-US"/>
        </w:rPr>
        <w:t>fuels</w:t>
      </w:r>
      <w:r>
        <w:rPr>
          <w:rFonts w:hint="default" w:ascii="Tahoma" w:hAnsi="Tahoma" w:cs="Tahoma"/>
          <w:sz w:val="22"/>
          <w:szCs w:val="22"/>
        </w:rPr>
        <w:t xml:space="preserve"> reviewing past economic movements. It will identify </w:t>
      </w:r>
      <w:r>
        <w:rPr>
          <w:rFonts w:hint="default" w:ascii="Tahoma" w:hAnsi="Tahoma" w:cs="Tahoma"/>
          <w:sz w:val="22"/>
          <w:szCs w:val="22"/>
          <w:lang w:val="en-US"/>
        </w:rPr>
        <w:t>relationship</w:t>
      </w:r>
      <w:r>
        <w:rPr>
          <w:rFonts w:hint="default" w:ascii="Tahoma" w:hAnsi="Tahoma" w:cs="Tahoma"/>
          <w:sz w:val="22"/>
          <w:szCs w:val="22"/>
        </w:rPr>
        <w:t xml:space="preserve"> </w:t>
      </w:r>
      <w:r>
        <w:rPr>
          <w:rFonts w:hint="default" w:ascii="Tahoma" w:hAnsi="Tahoma" w:cs="Tahoma"/>
          <w:sz w:val="22"/>
          <w:szCs w:val="22"/>
          <w:lang w:val="en-US"/>
        </w:rPr>
        <w:t>between</w:t>
      </w:r>
      <w:r>
        <w:rPr>
          <w:rFonts w:hint="default" w:ascii="Tahoma" w:hAnsi="Tahoma" w:cs="Tahoma"/>
          <w:sz w:val="22"/>
          <w:szCs w:val="22"/>
        </w:rPr>
        <w:t xml:space="preserve"> </w:t>
      </w:r>
      <w:r>
        <w:rPr>
          <w:rFonts w:hint="default" w:ascii="Tahoma" w:hAnsi="Tahoma" w:cs="Tahoma"/>
          <w:sz w:val="22"/>
          <w:szCs w:val="22"/>
          <w:lang w:val="en-US"/>
        </w:rPr>
        <w:t>demand</w:t>
      </w:r>
      <w:r>
        <w:rPr>
          <w:rFonts w:hint="default" w:ascii="Tahoma" w:hAnsi="Tahoma" w:cs="Tahoma"/>
          <w:sz w:val="22"/>
          <w:szCs w:val="22"/>
        </w:rPr>
        <w:t xml:space="preserve"> and government tax. It will go on to consider the supply chain and how components impact the market concluding with an analysis of the market structure, conduct and performance.</w:t>
      </w:r>
    </w:p>
    <w:p>
      <w:pPr>
        <w:numPr>
          <w:ilvl w:val="0"/>
          <w:numId w:val="0"/>
        </w:numPr>
        <w:spacing w:line="360" w:lineRule="auto"/>
        <w:jc w:val="both"/>
        <w:rPr>
          <w:rFonts w:hint="default" w:ascii="Tahoma" w:hAnsi="Tahoma" w:cs="Tahoma"/>
          <w:sz w:val="22"/>
          <w:szCs w:val="22"/>
          <w:lang w:val="en-US"/>
        </w:rPr>
      </w:pPr>
      <w:r>
        <w:rPr>
          <w:rFonts w:hint="default" w:ascii="Tahoma" w:hAnsi="Tahoma" w:cs="Tahoma"/>
          <w:sz w:val="22"/>
          <w:szCs w:val="22"/>
        </w:rPr>
        <w:t xml:space="preserve">A final summary </w:t>
      </w:r>
      <w:r>
        <w:rPr>
          <w:rFonts w:hint="default" w:ascii="Tahoma" w:hAnsi="Tahoma" w:cs="Tahoma"/>
          <w:sz w:val="22"/>
          <w:szCs w:val="22"/>
          <w:lang w:val="en-US"/>
        </w:rPr>
        <w:t xml:space="preserve">of </w:t>
      </w:r>
      <w:r>
        <w:rPr>
          <w:rFonts w:hint="default" w:ascii="Tahoma" w:hAnsi="Tahoma" w:cs="Tahoma"/>
          <w:sz w:val="22"/>
          <w:szCs w:val="22"/>
        </w:rPr>
        <w:t xml:space="preserve">the main issues found affect fuel pricing strategy in the future </w:t>
      </w:r>
      <w:r>
        <w:rPr>
          <w:rFonts w:hint="default" w:ascii="Tahoma" w:hAnsi="Tahoma" w:cs="Tahoma"/>
          <w:sz w:val="22"/>
          <w:szCs w:val="22"/>
          <w:lang w:val="en-US"/>
        </w:rPr>
        <w:t>especially</w:t>
      </w:r>
      <w:r>
        <w:rPr>
          <w:rFonts w:hint="default" w:ascii="Tahoma" w:hAnsi="Tahoma" w:cs="Tahoma"/>
          <w:sz w:val="22"/>
          <w:szCs w:val="22"/>
        </w:rPr>
        <w:t xml:space="preserve"> the long run effects of Covid-19 and fuel shortage crisis 2021</w:t>
      </w:r>
      <w:r>
        <w:rPr>
          <w:rFonts w:hint="default" w:ascii="Tahoma" w:hAnsi="Tahoma" w:cs="Tahoma"/>
          <w:sz w:val="22"/>
          <w:szCs w:val="22"/>
          <w:lang w:val="en-US"/>
        </w:rPr>
        <w:t>.</w:t>
      </w: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p>
    <w:p>
      <w:pPr>
        <w:spacing w:line="360" w:lineRule="auto"/>
        <w:jc w:val="both"/>
        <w:rPr>
          <w:rFonts w:hint="default" w:ascii="Tahoma" w:hAnsi="Tahoma" w:cs="Tahoma"/>
          <w:b/>
          <w:bCs/>
          <w:sz w:val="22"/>
          <w:szCs w:val="22"/>
          <w:u w:val="none"/>
        </w:rPr>
      </w:pPr>
      <w:r>
        <w:rPr>
          <w:rFonts w:hint="default" w:ascii="Tahoma" w:hAnsi="Tahoma" w:cs="Tahoma"/>
          <w:b/>
          <w:bCs/>
          <w:sz w:val="22"/>
          <w:szCs w:val="22"/>
          <w:u w:val="none"/>
        </w:rPr>
        <w:t>SECTION 2- ANALYSIS OF THE UK ROAD TRANSPORT FUEL MARKET</w:t>
      </w:r>
    </w:p>
    <w:p>
      <w:pPr>
        <w:bidi w:val="0"/>
        <w:spacing w:line="360" w:lineRule="auto"/>
        <w:jc w:val="both"/>
        <w:rPr>
          <w:rFonts w:hint="default" w:ascii="Tahoma" w:hAnsi="Tahoma" w:cs="Tahoma"/>
          <w:b w:val="0"/>
          <w:bCs w:val="0"/>
          <w:sz w:val="22"/>
          <w:szCs w:val="22"/>
          <w:lang w:val="en-US"/>
        </w:rPr>
      </w:pPr>
      <w:r>
        <w:rPr>
          <w:rFonts w:hint="default" w:ascii="Tahoma" w:hAnsi="Tahoma" w:cs="Tahoma"/>
          <w:b w:val="0"/>
          <w:bCs w:val="0"/>
          <w:sz w:val="22"/>
          <w:szCs w:val="22"/>
          <w:lang w:val="en-US"/>
        </w:rPr>
        <w:t xml:space="preserve">UK Road transport fuels consist of petrol often refers to as Motor Spirit, Diesel and LPG. Petrol fuel is in two categories: leaded and unleaded petrol. The leaded petrol was phased out in 1999 following the health risk associated with its use, though it was still in use in another variant as four-star until 2005. Diesel exists in two forms as well: the red and the white diesel. The use of red diesel is said to be discountinued from April 2022 for some uses and places (out-law news 2022). </w:t>
      </w:r>
    </w:p>
    <w:p>
      <w:pPr>
        <w:bidi w:val="0"/>
        <w:spacing w:line="360" w:lineRule="auto"/>
        <w:jc w:val="both"/>
        <w:rPr>
          <w:rFonts w:hint="default" w:ascii="Tahoma" w:hAnsi="Tahoma" w:cs="Tahoma"/>
          <w:b w:val="0"/>
          <w:bCs w:val="0"/>
          <w:sz w:val="22"/>
          <w:szCs w:val="22"/>
          <w:lang w:val="en-US"/>
        </w:rPr>
      </w:pPr>
      <w:r>
        <w:rPr>
          <w:rFonts w:hint="default" w:ascii="Tahoma" w:hAnsi="Tahoma" w:cs="Tahoma"/>
          <w:b w:val="0"/>
          <w:bCs w:val="0"/>
          <w:sz w:val="22"/>
          <w:szCs w:val="22"/>
          <w:lang w:val="en-US"/>
        </w:rPr>
        <w:t>Excise notice 75 (2021) which replaces that of 2019 as a result of UK leaving the European Union gives guidelines on the type of fuel that can be legally used in different types of road vehicle in the UK. The guideline advises that only duty-paid fuel can used in road vehicle except for some exempted producers who can use limited amounts of fuel even if duty has not been paid. It is said to be illegal to use red diesel, kerosene etc in road vehicle.</w:t>
      </w:r>
    </w:p>
    <w:p>
      <w:pPr>
        <w:bidi w:val="0"/>
        <w:spacing w:line="360" w:lineRule="auto"/>
        <w:jc w:val="both"/>
        <w:rPr>
          <w:rFonts w:hint="default" w:ascii="Tahoma" w:hAnsi="Tahoma" w:cs="Tahoma"/>
          <w:b/>
          <w:bCs/>
          <w:sz w:val="22"/>
          <w:szCs w:val="22"/>
          <w:lang w:val="en-US"/>
        </w:rPr>
      </w:pPr>
      <w:r>
        <w:drawing>
          <wp:anchor distT="0" distB="0" distL="114300" distR="114300" simplePos="0" relativeHeight="251668480" behindDoc="0" locked="0" layoutInCell="1" allowOverlap="1">
            <wp:simplePos x="0" y="0"/>
            <wp:positionH relativeFrom="column">
              <wp:posOffset>1396365</wp:posOffset>
            </wp:positionH>
            <wp:positionV relativeFrom="paragraph">
              <wp:posOffset>183515</wp:posOffset>
            </wp:positionV>
            <wp:extent cx="2916555" cy="1869440"/>
            <wp:effectExtent l="4445" t="4445" r="12700" b="12065"/>
            <wp:wrapNone/>
            <wp:docPr id="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center"/>
        <w:rPr>
          <w:rFonts w:hint="default" w:ascii="Tahoma" w:hAnsi="Tahoma" w:cs="Tahoma"/>
          <w:b w:val="0"/>
          <w:bCs w:val="0"/>
          <w:sz w:val="15"/>
          <w:szCs w:val="15"/>
          <w:lang w:val="en-US"/>
        </w:rPr>
      </w:pPr>
    </w:p>
    <w:p>
      <w:pPr>
        <w:bidi w:val="0"/>
        <w:spacing w:line="360" w:lineRule="auto"/>
        <w:jc w:val="center"/>
        <w:rPr>
          <w:rFonts w:hint="default" w:ascii="Tahoma" w:hAnsi="Tahoma" w:cs="Tahoma"/>
          <w:b w:val="0"/>
          <w:bCs w:val="0"/>
          <w:sz w:val="15"/>
          <w:szCs w:val="15"/>
          <w:lang w:val="en-US"/>
        </w:rPr>
      </w:pPr>
      <w:r>
        <w:rPr>
          <w:rFonts w:hint="default" w:ascii="Tahoma" w:hAnsi="Tahoma" w:cs="Tahoma"/>
          <w:b w:val="0"/>
          <w:bCs w:val="0"/>
          <w:sz w:val="15"/>
          <w:szCs w:val="15"/>
          <w:lang w:val="en-US"/>
        </w:rPr>
        <w:t>Dagram 1 - Source: Table ENV0101, Department for Transport Statistics</w:t>
      </w: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p>
    <w:p>
      <w:pPr>
        <w:bidi w:val="0"/>
        <w:spacing w:line="360" w:lineRule="auto"/>
        <w:jc w:val="both"/>
        <w:rPr>
          <w:rFonts w:hint="default" w:ascii="Tahoma" w:hAnsi="Tahoma" w:cs="Tahoma"/>
          <w:b/>
          <w:bCs/>
          <w:sz w:val="22"/>
          <w:szCs w:val="22"/>
          <w:lang w:val="en-US"/>
        </w:rPr>
      </w:pPr>
      <w:r>
        <w:rPr>
          <w:rFonts w:hint="default" w:ascii="Tahoma" w:hAnsi="Tahoma" w:cs="Tahoma"/>
          <w:b/>
          <w:bCs/>
          <w:sz w:val="22"/>
          <w:szCs w:val="22"/>
          <w:lang w:val="en-US"/>
        </w:rPr>
        <w:t>SECTION 3 - DEMAND FOR AND SUPPLY OF ROAD TRANSPORT FUEL</w:t>
      </w:r>
    </w:p>
    <w:p>
      <w:pPr>
        <w:bidi w:val="0"/>
        <w:spacing w:line="360" w:lineRule="auto"/>
        <w:jc w:val="both"/>
        <w:rPr>
          <w:rFonts w:hint="default" w:ascii="Tahoma" w:hAnsi="Tahoma" w:cs="Tahoma"/>
          <w:b/>
          <w:bCs/>
          <w:sz w:val="22"/>
          <w:szCs w:val="22"/>
          <w:lang w:val="en-US"/>
        </w:rPr>
      </w:pPr>
      <w:r>
        <w:rPr>
          <w:rFonts w:hint="default" w:ascii="Tahoma" w:hAnsi="Tahoma" w:cs="Tahoma"/>
          <w:b/>
          <w:bCs/>
          <w:sz w:val="22"/>
          <w:szCs w:val="22"/>
          <w:lang w:val="en-US"/>
        </w:rPr>
        <w:t xml:space="preserve">DEMAND FOR ROAD FUEL </w:t>
      </w:r>
    </w:p>
    <w:p>
      <w:pPr>
        <w:bidi w:val="0"/>
        <w:spacing w:line="360" w:lineRule="auto"/>
        <w:jc w:val="both"/>
        <w:rPr>
          <w:rFonts w:hint="default" w:ascii="Tahoma" w:hAnsi="Tahoma" w:cs="Tahoma"/>
          <w:b w:val="0"/>
          <w:bCs w:val="0"/>
          <w:sz w:val="22"/>
          <w:szCs w:val="22"/>
          <w:lang w:val="en-US"/>
        </w:rPr>
      </w:pPr>
      <w:r>
        <w:rPr>
          <w:rFonts w:hint="default" w:ascii="Tahoma" w:hAnsi="Tahoma" w:cs="Tahoma"/>
          <w:b w:val="0"/>
          <w:bCs w:val="0"/>
          <w:sz w:val="22"/>
          <w:szCs w:val="22"/>
          <w:lang w:val="en-US"/>
        </w:rPr>
        <w:t xml:space="preserve">UK road transport relies heavily on Petrol and Diesel as more than half of oil demand for transport goes into it. About 99% of the energy need for road transport in the UK relies on petrol and diesel. </w:t>
      </w:r>
      <w:r>
        <w:rPr>
          <w:rFonts w:hint="default" w:ascii="Tahoma" w:hAnsi="Tahoma" w:cs="Tahoma"/>
          <w:sz w:val="22"/>
          <w:szCs w:val="22"/>
          <w:lang w:val="en-US"/>
        </w:rPr>
        <w:t xml:space="preserve">Road transport accounts for more than 70% of the total transport fuel consumption. </w:t>
      </w:r>
      <w:r>
        <w:rPr>
          <w:rFonts w:hint="default" w:ascii="Tahoma" w:hAnsi="Tahoma" w:cs="Tahoma"/>
          <w:b w:val="0"/>
          <w:bCs w:val="0"/>
          <w:sz w:val="22"/>
          <w:szCs w:val="22"/>
          <w:lang w:val="en-US"/>
        </w:rPr>
        <w:t xml:space="preserve">Historically, UK used to consume </w:t>
      </w:r>
      <w:r>
        <w:rPr>
          <w:rFonts w:hint="default" w:ascii="Tahoma" w:hAnsi="Tahoma" w:cs="Tahoma"/>
          <w:b w:val="0"/>
          <w:bCs w:val="0"/>
          <w:sz w:val="22"/>
          <w:szCs w:val="22"/>
        </w:rPr>
        <w:t xml:space="preserve">petrol </w:t>
      </w:r>
      <w:r>
        <w:rPr>
          <w:rFonts w:hint="default" w:ascii="Tahoma" w:hAnsi="Tahoma" w:cs="Tahoma"/>
          <w:b w:val="0"/>
          <w:bCs w:val="0"/>
          <w:sz w:val="22"/>
          <w:szCs w:val="22"/>
          <w:lang w:val="en-US"/>
        </w:rPr>
        <w:t xml:space="preserve">more than they consume diesel until the end of 2004 when the marginal rate of substitution for petrol begins to fall in relation to demand for diesel. For the past 20 years now, the demand for petrol has continuously declined each year since 2000, whereas demand for diesel has increased </w:t>
      </w:r>
      <w:r>
        <w:rPr>
          <w:rFonts w:hint="default" w:ascii="Tahoma" w:hAnsi="Tahoma" w:cs="Tahoma"/>
          <w:b w:val="0"/>
          <w:bCs w:val="0"/>
          <w:sz w:val="22"/>
          <w:szCs w:val="22"/>
        </w:rPr>
        <w:t>since</w:t>
      </w:r>
      <w:r>
        <w:rPr>
          <w:rFonts w:hint="default" w:ascii="Tahoma" w:hAnsi="Tahoma" w:cs="Tahoma"/>
          <w:b w:val="0"/>
          <w:bCs w:val="0"/>
          <w:sz w:val="22"/>
          <w:szCs w:val="22"/>
          <w:lang w:val="en-US"/>
        </w:rPr>
        <w:t xml:space="preserve"> the same period. In other words, </w:t>
      </w:r>
      <w:r>
        <w:rPr>
          <w:rFonts w:hint="default" w:ascii="Tahoma" w:hAnsi="Tahoma" w:cs="Tahoma"/>
          <w:b w:val="0"/>
          <w:bCs w:val="0"/>
          <w:sz w:val="22"/>
          <w:szCs w:val="22"/>
        </w:rPr>
        <w:t>the proportion of diesel need rises steadily year on year while that of petrol reduces consistently</w:t>
      </w:r>
      <w:r>
        <w:rPr>
          <w:rFonts w:hint="default" w:ascii="Tahoma" w:hAnsi="Tahoma" w:cs="Tahoma"/>
          <w:b w:val="0"/>
          <w:bCs w:val="0"/>
          <w:sz w:val="22"/>
          <w:szCs w:val="22"/>
          <w:lang w:val="en-US"/>
        </w:rPr>
        <w:t>; that of LPG remains unsignificantly low</w:t>
      </w:r>
      <w:r>
        <w:rPr>
          <w:rFonts w:hint="default" w:ascii="Tahoma" w:hAnsi="Tahoma" w:cs="Tahoma"/>
          <w:b w:val="0"/>
          <w:bCs w:val="0"/>
          <w:sz w:val="22"/>
          <w:szCs w:val="22"/>
        </w:rPr>
        <w:t xml:space="preserve">. </w:t>
      </w:r>
      <w:r>
        <w:rPr>
          <w:rFonts w:hint="default" w:ascii="Tahoma" w:hAnsi="Tahoma" w:cs="Tahoma"/>
          <w:b w:val="0"/>
          <w:bCs w:val="0"/>
          <w:sz w:val="22"/>
          <w:szCs w:val="22"/>
          <w:lang w:val="en-US"/>
        </w:rPr>
        <w:t xml:space="preserve">According to the UK special feature report on road fuel consumption and the UK motor vehicle fleet (2021), the number of diesel-powered vehicles have nearly tripled between 2001 and 2018, primarily because of an increase in the number of diesel-powered cars and LGVs. ‘In the same period the number of petrol vehicles has decreased by 14 per cent.’  </w:t>
      </w:r>
    </w:p>
    <w:p>
      <w:pPr>
        <w:bidi w:val="0"/>
        <w:spacing w:line="360" w:lineRule="auto"/>
        <w:jc w:val="both"/>
        <w:rPr>
          <w:rFonts w:hint="default" w:ascii="Tahoma" w:hAnsi="Tahoma" w:cs="Tahoma"/>
          <w:b w:val="0"/>
          <w:bCs w:val="0"/>
          <w:sz w:val="22"/>
          <w:szCs w:val="22"/>
          <w:lang w:val="en-US"/>
        </w:rPr>
      </w:pPr>
    </w:p>
    <w:p>
      <w:pPr>
        <w:bidi w:val="0"/>
        <w:spacing w:line="360" w:lineRule="auto"/>
        <w:jc w:val="both"/>
        <w:rPr>
          <w:rFonts w:hint="default" w:ascii="Tahoma" w:hAnsi="Tahoma" w:cs="Tahoma"/>
          <w:sz w:val="22"/>
          <w:szCs w:val="22"/>
          <w:lang w:val="en-US"/>
        </w:rPr>
      </w:pPr>
      <w:r>
        <w:rPr>
          <w:rFonts w:hint="default" w:ascii="Tahoma" w:hAnsi="Tahoma" w:cs="Tahoma"/>
          <w:b w:val="0"/>
          <w:bCs w:val="0"/>
          <w:sz w:val="22"/>
          <w:szCs w:val="22"/>
          <w:lang w:val="en-US"/>
        </w:rPr>
        <w:t xml:space="preserve">About two-third of road transport fuel consumption is accounted for, by Diesel since 2014. According to the special feature report (2021), this is partly a result of slowing growth in the diesel vehicle fleet following sharp drops in new registrations due to changes to vehicle taxation as well as increased efficiencies of diesel vehicles. For the first since 2009, diesel consumption falls in 2018 and 2019 depicting a reversal of the trend of growth with a continuous fall in demand for petrol following the new UK government green policy mandating the supply of only biofuel.  The demand for diesel falls further with a heavy drop in 2020 (but not as impacted as the demand for petrol). </w:t>
      </w:r>
      <w:r>
        <w:rPr>
          <w:rFonts w:hint="default" w:ascii="Tahoma" w:hAnsi="Tahoma" w:cs="Tahoma"/>
          <w:sz w:val="22"/>
          <w:szCs w:val="22"/>
          <w:lang w:val="en-US"/>
        </w:rPr>
        <w:t>Duke</w:t>
      </w:r>
      <w:r>
        <w:rPr>
          <w:rFonts w:hint="default" w:ascii="Tahoma" w:hAnsi="Tahoma" w:cs="Tahoma"/>
          <w:sz w:val="22"/>
          <w:szCs w:val="22"/>
        </w:rPr>
        <w:t xml:space="preserve"> annual report (20</w:t>
      </w:r>
      <w:r>
        <w:rPr>
          <w:rFonts w:hint="default" w:ascii="Tahoma" w:hAnsi="Tahoma" w:cs="Tahoma"/>
          <w:sz w:val="22"/>
          <w:szCs w:val="22"/>
          <w:lang w:val="en-US"/>
        </w:rPr>
        <w:t>21</w:t>
      </w:r>
      <w:r>
        <w:rPr>
          <w:rFonts w:hint="default" w:ascii="Tahoma" w:hAnsi="Tahoma" w:cs="Tahoma"/>
          <w:sz w:val="22"/>
          <w:szCs w:val="22"/>
        </w:rPr>
        <w:t>) claim</w:t>
      </w:r>
      <w:r>
        <w:rPr>
          <w:rFonts w:hint="default" w:ascii="Tahoma" w:hAnsi="Tahoma" w:cs="Tahoma"/>
          <w:sz w:val="22"/>
          <w:szCs w:val="22"/>
          <w:lang w:val="en-US"/>
        </w:rPr>
        <w:t>s this a result of</w:t>
      </w:r>
      <w:r>
        <w:rPr>
          <w:rFonts w:hint="default" w:ascii="Tahoma" w:hAnsi="Tahoma" w:cs="Tahoma"/>
          <w:sz w:val="22"/>
          <w:szCs w:val="22"/>
        </w:rPr>
        <w:t xml:space="preserve">  lockdown  and other  restrictions  put  in place  to  curb  the spread of  Covid-19  </w:t>
      </w:r>
      <w:r>
        <w:rPr>
          <w:rFonts w:hint="default" w:ascii="Tahoma" w:hAnsi="Tahoma" w:cs="Tahoma"/>
          <w:sz w:val="22"/>
          <w:szCs w:val="22"/>
          <w:lang w:val="en-US"/>
        </w:rPr>
        <w:t xml:space="preserve">which </w:t>
      </w:r>
      <w:r>
        <w:rPr>
          <w:rFonts w:hint="default" w:ascii="Tahoma" w:hAnsi="Tahoma" w:cs="Tahoma"/>
          <w:sz w:val="22"/>
          <w:szCs w:val="22"/>
        </w:rPr>
        <w:t>reduce</w:t>
      </w:r>
      <w:r>
        <w:rPr>
          <w:rFonts w:hint="default" w:ascii="Tahoma" w:hAnsi="Tahoma" w:cs="Tahoma"/>
          <w:sz w:val="22"/>
          <w:szCs w:val="22"/>
          <w:lang w:val="en-US"/>
        </w:rPr>
        <w:t>s</w:t>
      </w:r>
      <w:r>
        <w:rPr>
          <w:rFonts w:hint="default" w:ascii="Tahoma" w:hAnsi="Tahoma" w:cs="Tahoma"/>
          <w:sz w:val="22"/>
          <w:szCs w:val="22"/>
        </w:rPr>
        <w:t xml:space="preserve"> demand substantially.  </w:t>
      </w:r>
      <w:r>
        <w:rPr>
          <w:rFonts w:hint="default" w:ascii="Tahoma" w:hAnsi="Tahoma" w:cs="Tahoma"/>
          <w:sz w:val="22"/>
          <w:szCs w:val="22"/>
          <w:lang w:val="en-US"/>
        </w:rPr>
        <w:t xml:space="preserve">It further reports that during the period of restricted movement, commercial fleets which use diesel  were allowed to continue to operate. According to the report, </w:t>
      </w:r>
      <w:r>
        <w:rPr>
          <w:rFonts w:hint="default" w:ascii="Tahoma" w:hAnsi="Tahoma" w:cs="Tahoma"/>
          <w:sz w:val="22"/>
          <w:szCs w:val="22"/>
        </w:rPr>
        <w:t>Overall  demand  for  petroleum  products  in  2020 was  the lowest since 1962  at  52.1  million tonnes  (see  DUKES  Table  Crude oil  and petroleum:  Production,  imports  and exports).</w:t>
      </w:r>
      <w:r>
        <w:rPr>
          <w:rFonts w:hint="default" w:ascii="Tahoma" w:hAnsi="Tahoma" w:cs="Tahoma"/>
          <w:sz w:val="22"/>
          <w:szCs w:val="22"/>
          <w:lang w:val="en-US"/>
        </w:rPr>
        <w:t xml:space="preserve"> </w:t>
      </w:r>
      <w:r>
        <w:rPr>
          <w:rFonts w:hint="default" w:ascii="Tahoma" w:hAnsi="Tahoma" w:cs="Tahoma"/>
          <w:sz w:val="22"/>
          <w:szCs w:val="22"/>
        </w:rPr>
        <w:t xml:space="preserve">As  </w:t>
      </w:r>
      <w:r>
        <w:rPr>
          <w:rFonts w:hint="default" w:ascii="Tahoma" w:hAnsi="Tahoma" w:cs="Tahoma"/>
          <w:sz w:val="22"/>
          <w:szCs w:val="22"/>
          <w:lang w:val="en-US"/>
        </w:rPr>
        <w:t xml:space="preserve">we moved on in </w:t>
      </w:r>
      <w:r>
        <w:rPr>
          <w:rFonts w:hint="default" w:ascii="Tahoma" w:hAnsi="Tahoma" w:cs="Tahoma"/>
          <w:sz w:val="22"/>
          <w:szCs w:val="22"/>
        </w:rPr>
        <w:t xml:space="preserve">2020 and  </w:t>
      </w:r>
      <w:r>
        <w:rPr>
          <w:rFonts w:hint="default" w:ascii="Tahoma" w:hAnsi="Tahoma" w:cs="Tahoma"/>
          <w:sz w:val="22"/>
          <w:szCs w:val="22"/>
          <w:lang w:val="en-US"/>
        </w:rPr>
        <w:t xml:space="preserve">as </w:t>
      </w:r>
      <w:r>
        <w:rPr>
          <w:rFonts w:hint="default" w:ascii="Tahoma" w:hAnsi="Tahoma" w:cs="Tahoma"/>
          <w:sz w:val="22"/>
          <w:szCs w:val="22"/>
        </w:rPr>
        <w:t xml:space="preserve">restrictions  were  lifted  demand  </w:t>
      </w:r>
      <w:r>
        <w:rPr>
          <w:rFonts w:hint="default" w:ascii="Tahoma" w:hAnsi="Tahoma" w:cs="Tahoma"/>
          <w:sz w:val="22"/>
          <w:szCs w:val="22"/>
          <w:lang w:val="en-US"/>
        </w:rPr>
        <w:t>began to move up</w:t>
      </w:r>
      <w:r>
        <w:rPr>
          <w:rFonts w:hint="default" w:ascii="Tahoma" w:hAnsi="Tahoma" w:cs="Tahoma"/>
          <w:sz w:val="22"/>
          <w:szCs w:val="22"/>
        </w:rPr>
        <w:t xml:space="preserve">,  reaching  near  normal  levels (for  quarterly  data see  Energy  Trends  Table  3.4). </w:t>
      </w:r>
      <w:r>
        <w:rPr>
          <w:rFonts w:hint="default" w:ascii="Tahoma" w:hAnsi="Tahoma" w:cs="Tahoma"/>
          <w:sz w:val="22"/>
          <w:szCs w:val="22"/>
          <w:lang w:val="en-US"/>
        </w:rPr>
        <w:t xml:space="preserve">‘by the end of </w:t>
      </w:r>
      <w:r>
        <w:rPr>
          <w:rFonts w:hint="default" w:ascii="Tahoma" w:hAnsi="Tahoma" w:cs="Tahoma"/>
          <w:sz w:val="22"/>
          <w:szCs w:val="22"/>
        </w:rPr>
        <w:t xml:space="preserve">quarter 3 2021 demand </w:t>
      </w:r>
      <w:r>
        <w:rPr>
          <w:rFonts w:hint="default" w:ascii="Tahoma" w:hAnsi="Tahoma" w:cs="Tahoma"/>
          <w:sz w:val="22"/>
          <w:szCs w:val="22"/>
          <w:lang w:val="en-US"/>
        </w:rPr>
        <w:t xml:space="preserve">has </w:t>
      </w:r>
      <w:r>
        <w:rPr>
          <w:rFonts w:hint="default" w:ascii="Tahoma" w:hAnsi="Tahoma" w:cs="Tahoma"/>
          <w:sz w:val="22"/>
          <w:szCs w:val="22"/>
        </w:rPr>
        <w:t>increased by 13 per cent compared to the same period in the previous year</w:t>
      </w:r>
      <w:r>
        <w:rPr>
          <w:rFonts w:hint="default" w:ascii="Tahoma" w:hAnsi="Tahoma" w:cs="Tahoma"/>
          <w:sz w:val="22"/>
          <w:szCs w:val="22"/>
          <w:lang w:val="en-US"/>
        </w:rPr>
        <w:t>’. The UK fuel shortage crisis of 2021 saw a surge in demand for fuel in the third quarter of 2021. According to the UK minister of transport, Grant Shapps, in The Times of India, “there are enough fuel within the country but there are no enough drivers to carry fuel trucks from storage points to gas stations.” This was attributed to the coronavirus pandemic, an aging workforce and the exodus of foreign workers following Britain’s Brexit.</w:t>
      </w: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r>
        <w:rPr>
          <w:rFonts w:hint="default" w:ascii="Tahoma" w:hAnsi="Tahoma" w:cs="Tahoma"/>
          <w:sz w:val="22"/>
          <w:szCs w:val="22"/>
        </w:rPr>
        <w:drawing>
          <wp:anchor distT="0" distB="0" distL="114300" distR="114300" simplePos="0" relativeHeight="251662336" behindDoc="0" locked="0" layoutInCell="1" allowOverlap="1">
            <wp:simplePos x="0" y="0"/>
            <wp:positionH relativeFrom="column">
              <wp:posOffset>442595</wp:posOffset>
            </wp:positionH>
            <wp:positionV relativeFrom="paragraph">
              <wp:posOffset>116205</wp:posOffset>
            </wp:positionV>
            <wp:extent cx="5321935" cy="2540000"/>
            <wp:effectExtent l="0" t="0" r="12065" b="12700"/>
            <wp:wrapNone/>
            <wp:docPr id="10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15"/>
          <w:szCs w:val="15"/>
          <w:lang w:val="en-US"/>
        </w:rPr>
      </w:pPr>
    </w:p>
    <w:p>
      <w:pPr>
        <w:bidi w:val="0"/>
        <w:spacing w:line="360" w:lineRule="auto"/>
        <w:jc w:val="center"/>
        <w:rPr>
          <w:rFonts w:hint="default" w:ascii="Tahoma" w:hAnsi="Tahoma" w:cs="Tahoma"/>
          <w:sz w:val="22"/>
          <w:szCs w:val="22"/>
          <w:lang w:val="en-US"/>
        </w:rPr>
      </w:pPr>
      <w:r>
        <w:rPr>
          <w:rFonts w:hint="default" w:ascii="Tahoma" w:hAnsi="Tahoma" w:cs="Tahoma"/>
          <w:sz w:val="15"/>
          <w:szCs w:val="15"/>
          <w:lang w:val="en-US"/>
        </w:rPr>
        <w:t>Diagram 2 - Source:</w:t>
      </w:r>
      <w:r>
        <w:rPr>
          <w:rFonts w:hint="default" w:ascii="Tahoma" w:hAnsi="Tahoma" w:cs="Tahoma"/>
          <w:sz w:val="22"/>
          <w:szCs w:val="22"/>
          <w:lang w:val="en-US"/>
        </w:rPr>
        <w:t xml:space="preserve"> </w:t>
      </w:r>
      <w:r>
        <w:rPr>
          <w:rFonts w:hint="default" w:ascii="Tahoma" w:hAnsi="Tahoma" w:cs="Tahoma"/>
          <w:b w:val="0"/>
          <w:bCs w:val="0"/>
          <w:sz w:val="15"/>
          <w:szCs w:val="15"/>
          <w:lang w:val="en-US"/>
        </w:rPr>
        <w:t>Dagram 1 - Source: Table ENV0101, Department for Transport Statistics</w:t>
      </w:r>
    </w:p>
    <w:p>
      <w:pPr>
        <w:bidi w:val="0"/>
        <w:spacing w:line="360" w:lineRule="auto"/>
        <w:jc w:val="both"/>
        <w:rPr>
          <w:rFonts w:hint="default" w:ascii="Tahoma" w:hAnsi="Tahoma" w:cs="Tahoma"/>
          <w:sz w:val="22"/>
          <w:szCs w:val="22"/>
          <w:lang w:val="en-US"/>
        </w:rPr>
      </w:pPr>
      <w:r>
        <w:rPr>
          <w:rFonts w:hint="default" w:ascii="Tahoma" w:hAnsi="Tahoma" w:cs="Tahoma"/>
          <w:sz w:val="22"/>
          <w:szCs w:val="22"/>
          <w:lang w:val="en-US"/>
        </w:rPr>
        <w:t>Diagram 2: UK Road Transport Fuel Consumption</w:t>
      </w:r>
    </w:p>
    <w:p>
      <w:pPr>
        <w:bidi w:val="0"/>
        <w:spacing w:line="360" w:lineRule="auto"/>
        <w:jc w:val="both"/>
        <w:rPr>
          <w:rFonts w:hint="default" w:ascii="Tahoma" w:hAnsi="Tahoma" w:cs="Tahoma"/>
          <w:sz w:val="22"/>
          <w:szCs w:val="22"/>
          <w:lang w:val="en-US"/>
        </w:rPr>
      </w:pPr>
      <w:r>
        <w:rPr>
          <w:rFonts w:hint="default" w:ascii="Tahoma" w:hAnsi="Tahoma" w:cs="Tahoma"/>
          <w:sz w:val="22"/>
          <w:szCs w:val="22"/>
        </w:rPr>
        <w:drawing>
          <wp:anchor distT="0" distB="0" distL="114300" distR="114300" simplePos="0" relativeHeight="251661312" behindDoc="0" locked="0" layoutInCell="1" allowOverlap="1">
            <wp:simplePos x="0" y="0"/>
            <wp:positionH relativeFrom="column">
              <wp:posOffset>819785</wp:posOffset>
            </wp:positionH>
            <wp:positionV relativeFrom="paragraph">
              <wp:posOffset>203200</wp:posOffset>
            </wp:positionV>
            <wp:extent cx="4150360" cy="2731135"/>
            <wp:effectExtent l="4445" t="4445" r="17145" b="7620"/>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r>
        <w:rPr>
          <w:rFonts w:hint="default" w:ascii="Tahoma" w:hAnsi="Tahoma" w:cs="Tahoma"/>
          <w:sz w:val="22"/>
          <w:szCs w:val="22"/>
          <w:lang w:val="en-US"/>
        </w:rPr>
        <w:t>Diagram 3: Fuel Consumption by Uses</w:t>
      </w:r>
    </w:p>
    <w:p>
      <w:pPr>
        <w:bidi w:val="0"/>
        <w:spacing w:line="360" w:lineRule="auto"/>
        <w:jc w:val="both"/>
        <w:rPr>
          <w:rFonts w:hint="default" w:ascii="Tahoma" w:hAnsi="Tahoma" w:cs="Tahoma"/>
          <w:sz w:val="22"/>
          <w:szCs w:val="22"/>
          <w:lang w:val="en-US"/>
        </w:rPr>
      </w:pPr>
      <w:r>
        <w:rPr>
          <w:rFonts w:hint="default" w:ascii="Tahoma" w:hAnsi="Tahoma" w:cs="Tahoma"/>
          <w:sz w:val="22"/>
          <w:szCs w:val="22"/>
        </w:rPr>
        <w:drawing>
          <wp:anchor distT="0" distB="0" distL="114300" distR="114300" simplePos="0" relativeHeight="251663360" behindDoc="0" locked="0" layoutInCell="1" allowOverlap="1">
            <wp:simplePos x="0" y="0"/>
            <wp:positionH relativeFrom="column">
              <wp:posOffset>525780</wp:posOffset>
            </wp:positionH>
            <wp:positionV relativeFrom="paragraph">
              <wp:posOffset>44450</wp:posOffset>
            </wp:positionV>
            <wp:extent cx="4579620" cy="2743200"/>
            <wp:effectExtent l="4445" t="4445" r="6985" b="14605"/>
            <wp:wrapNone/>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p>
    <w:p>
      <w:pPr>
        <w:bidi w:val="0"/>
        <w:spacing w:line="360" w:lineRule="auto"/>
        <w:jc w:val="both"/>
        <w:rPr>
          <w:rFonts w:hint="default" w:ascii="Tahoma" w:hAnsi="Tahoma" w:cs="Tahoma"/>
          <w:sz w:val="22"/>
          <w:szCs w:val="22"/>
          <w:lang w:val="en-US"/>
        </w:rPr>
      </w:pPr>
      <w:r>
        <w:rPr>
          <w:rFonts w:hint="default" w:ascii="Tahoma" w:hAnsi="Tahoma" w:cs="Tahoma"/>
          <w:sz w:val="22"/>
          <w:szCs w:val="22"/>
          <w:lang w:val="en-US"/>
        </w:rPr>
        <w:t>Diagram 4. fuel consumption by mode of transport</w:t>
      </w:r>
    </w:p>
    <w:p>
      <w:pPr>
        <w:bidi w:val="0"/>
        <w:spacing w:line="360" w:lineRule="auto"/>
        <w:jc w:val="both"/>
        <w:rPr>
          <w:rFonts w:hint="default" w:ascii="Tahoma" w:hAnsi="Tahoma" w:cs="Tahoma"/>
          <w:b/>
          <w:bCs/>
          <w:sz w:val="22"/>
          <w:szCs w:val="22"/>
          <w:lang w:val="en-US"/>
        </w:rPr>
      </w:pPr>
      <w:r>
        <w:rPr>
          <w:rFonts w:hint="default" w:ascii="Tahoma" w:hAnsi="Tahoma" w:cs="Tahoma"/>
          <w:b/>
          <w:bCs/>
          <w:sz w:val="22"/>
          <w:szCs w:val="22"/>
          <w:lang w:val="en-US"/>
        </w:rPr>
        <w:t>SUPPLY OF ROAD TRANSPORT FUEL</w:t>
      </w:r>
    </w:p>
    <w:p>
      <w:pPr>
        <w:bidi w:val="0"/>
        <w:spacing w:line="360" w:lineRule="auto"/>
        <w:jc w:val="both"/>
        <w:rPr>
          <w:rFonts w:hint="default" w:ascii="Tahoma" w:hAnsi="Tahoma" w:cs="Tahoma"/>
          <w:sz w:val="22"/>
          <w:szCs w:val="22"/>
          <w:lang w:val="en-US"/>
        </w:rPr>
      </w:pPr>
      <w:r>
        <w:rPr>
          <w:rFonts w:hint="default" w:ascii="Tahoma" w:hAnsi="Tahoma" w:cs="Tahoma"/>
          <w:sz w:val="22"/>
          <w:szCs w:val="22"/>
          <w:lang w:val="en-US"/>
        </w:rPr>
        <w:t>The supply of road fuel in the Uk has often be met by both indegenous production and import. Top 10 oil and gas producers in the UK: Chysaor, total, bp, shell, spirit energy, ithaca energy, apache, cnooc international, exxonmobil, repsol sinopec resouces uk,  and premier oil (wood mckenzie, graphics.reuters.com/NORTHSEA-PRODUCTION) and licensed oil suppliers in the UK: Anthony Jenkins Fuel Oil Ltd, ASCO UK Limited, Boston Putford Offshore Safety Ltd, Calmac Ferries Ltd, Certas Energy Uk Ltd, Chystal Petroleum co. Ltd and 51 others (BEIS 2021) supply most of the oil consumed in the UK.</w:t>
      </w:r>
    </w:p>
    <w:p>
      <w:pPr>
        <w:bidi w:val="0"/>
        <w:spacing w:line="360" w:lineRule="auto"/>
        <w:jc w:val="both"/>
        <w:rPr>
          <w:rFonts w:hint="default" w:ascii="Tahoma" w:hAnsi="Tahoma" w:cs="Tahoma"/>
          <w:sz w:val="22"/>
          <w:szCs w:val="22"/>
          <w:lang w:val="en-US"/>
        </w:rPr>
      </w:pPr>
      <w:r>
        <w:rPr>
          <w:rFonts w:hint="default" w:ascii="Tahoma" w:hAnsi="Tahoma" w:cs="Tahoma"/>
          <w:sz w:val="22"/>
          <w:szCs w:val="22"/>
          <w:lang w:val="en-US"/>
        </w:rPr>
        <w:t xml:space="preserve">In early  2020, the low oil price caused by  excess  stocks,  and  an oil  price war  between Russia and Saudi  Arabia and owing to  the  collapse of  OPEC+  talks makes the UK had excess supply and low price fuel. </w:t>
      </w:r>
      <w:r>
        <w:rPr>
          <w:rFonts w:hint="default" w:ascii="Tahoma" w:hAnsi="Tahoma" w:cs="Tahoma"/>
          <w:sz w:val="22"/>
          <w:szCs w:val="22"/>
        </w:rPr>
        <w:t xml:space="preserve">Exports also increased in the same time period up by a quarter. </w:t>
      </w:r>
      <w:r>
        <w:rPr>
          <w:rFonts w:hint="default" w:ascii="Tahoma" w:hAnsi="Tahoma" w:cs="Tahoma"/>
          <w:sz w:val="22"/>
          <w:szCs w:val="22"/>
          <w:lang w:val="en-US"/>
        </w:rPr>
        <w:t xml:space="preserve">However, </w:t>
      </w:r>
      <w:r>
        <w:rPr>
          <w:rFonts w:hint="default" w:ascii="Tahoma" w:hAnsi="Tahoma" w:cs="Tahoma"/>
          <w:sz w:val="22"/>
          <w:szCs w:val="22"/>
        </w:rPr>
        <w:t>UK remains a net importer of petroleum products by 1.4 million tonnes</w:t>
      </w:r>
      <w:r>
        <w:rPr>
          <w:rFonts w:hint="default" w:ascii="Tahoma" w:hAnsi="Tahoma" w:cs="Tahoma"/>
          <w:sz w:val="22"/>
          <w:szCs w:val="22"/>
          <w:lang w:val="en-US"/>
        </w:rPr>
        <w:t xml:space="preserve"> - National Statistics publication Energy Trends produced by the Department for Business, Energy and Industrial Strategy (BEIS).</w:t>
      </w:r>
    </w:p>
    <w:p>
      <w:pPr>
        <w:spacing w:line="360" w:lineRule="auto"/>
        <w:jc w:val="both"/>
        <w:rPr>
          <w:rFonts w:hint="default" w:ascii="Tahoma" w:hAnsi="Tahoma" w:cs="Tahoma"/>
          <w:sz w:val="22"/>
          <w:szCs w:val="22"/>
          <w:lang w:val="en-US"/>
        </w:rPr>
      </w:pPr>
      <w:r>
        <w:rPr>
          <w:rFonts w:hint="default" w:ascii="Tahoma" w:hAnsi="Tahoma" w:cs="Tahoma"/>
          <w:sz w:val="22"/>
          <w:szCs w:val="22"/>
        </w:rPr>
        <w:drawing>
          <wp:inline distT="0" distB="0" distL="114300" distR="114300">
            <wp:extent cx="635" cy="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635" cy="0"/>
                    </a:xfrm>
                    <a:prstGeom prst="rect">
                      <a:avLst/>
                    </a:prstGeom>
                    <a:noFill/>
                    <a:ln>
                      <a:noFill/>
                    </a:ln>
                  </pic:spPr>
                </pic:pic>
              </a:graphicData>
            </a:graphic>
          </wp:inline>
        </w:drawing>
      </w:r>
      <w:r>
        <w:rPr>
          <w:rFonts w:hint="default" w:ascii="Tahoma" w:hAnsi="Tahoma" w:cs="Tahoma"/>
          <w:sz w:val="22"/>
          <w:szCs w:val="22"/>
        </w:rPr>
        <w:drawing>
          <wp:inline distT="0" distB="0" distL="114300" distR="114300">
            <wp:extent cx="635" cy="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635" cy="0"/>
                    </a:xfrm>
                    <a:prstGeom prst="rect">
                      <a:avLst/>
                    </a:prstGeom>
                    <a:noFill/>
                    <a:ln>
                      <a:noFill/>
                    </a:ln>
                  </pic:spPr>
                </pic:pic>
              </a:graphicData>
            </a:graphic>
          </wp:inline>
        </w:drawing>
      </w:r>
      <w:r>
        <w:rPr>
          <w:rFonts w:hint="default" w:ascii="Tahoma" w:hAnsi="Tahoma" w:cs="Tahoma"/>
          <w:sz w:val="22"/>
          <w:szCs w:val="22"/>
        </w:rPr>
        <w:drawing>
          <wp:inline distT="0" distB="0" distL="114300" distR="114300">
            <wp:extent cx="635" cy="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635" cy="0"/>
                    </a:xfrm>
                    <a:prstGeom prst="rect">
                      <a:avLst/>
                    </a:prstGeom>
                    <a:noFill/>
                    <a:ln>
                      <a:noFill/>
                    </a:ln>
                  </pic:spPr>
                </pic:pic>
              </a:graphicData>
            </a:graphic>
          </wp:inline>
        </w:drawing>
      </w:r>
      <w:r>
        <w:rPr>
          <w:rFonts w:hint="default" w:ascii="Tahoma" w:hAnsi="Tahoma" w:cs="Tahoma"/>
          <w:sz w:val="22"/>
          <w:szCs w:val="22"/>
          <w:lang w:val="en-US"/>
        </w:rPr>
        <w:t>The UK has always ensure that the demands for road fuel are always met. Most of its supplies are from indigenous production which though decreased year on year. UK import increases consistently from 2006 until 2021 and at the same time, the export increases.according to the Office for National Statistics, this is a result of the decline in North Sea Oil and Gas production, reduction in the use of fossil fuel (transition to renewable energy), government policy aimed at reducing energy consumption and decline in in UK manufacturing, especially in energy-intensive industries.</w:t>
      </w:r>
    </w:p>
    <w:p>
      <w:pPr>
        <w:spacing w:line="360" w:lineRule="auto"/>
        <w:jc w:val="both"/>
        <w:rPr>
          <w:rFonts w:hint="default" w:ascii="Tahoma" w:hAnsi="Tahoma" w:cs="Tahoma"/>
          <w:sz w:val="22"/>
          <w:szCs w:val="22"/>
        </w:rPr>
      </w:pPr>
      <w:r>
        <w:rPr>
          <w:rFonts w:hint="default" w:ascii="Tahoma" w:hAnsi="Tahoma" w:cs="Tahoma"/>
          <w:sz w:val="22"/>
          <w:szCs w:val="22"/>
        </w:rPr>
        <w:drawing>
          <wp:anchor distT="0" distB="0" distL="114300" distR="114300" simplePos="0" relativeHeight="251664384" behindDoc="0" locked="0" layoutInCell="1" allowOverlap="1">
            <wp:simplePos x="0" y="0"/>
            <wp:positionH relativeFrom="column">
              <wp:posOffset>491490</wp:posOffset>
            </wp:positionH>
            <wp:positionV relativeFrom="paragraph">
              <wp:posOffset>36830</wp:posOffset>
            </wp:positionV>
            <wp:extent cx="4572000" cy="2743200"/>
            <wp:effectExtent l="4445" t="4445" r="14605" b="14605"/>
            <wp:wrapNone/>
            <wp:docPr id="1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lang w:val="en-US"/>
        </w:rPr>
      </w:pPr>
      <w:r>
        <w:rPr>
          <w:rFonts w:hint="default" w:ascii="Tahoma" w:hAnsi="Tahoma" w:cs="Tahoma"/>
          <w:sz w:val="22"/>
          <w:szCs w:val="22"/>
          <w:lang w:val="en-US"/>
        </w:rPr>
        <w:t>Diagram 5: UK Petroleum Supply Sources</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b/>
          <w:bCs/>
          <w:sz w:val="22"/>
          <w:szCs w:val="22"/>
          <w:u w:val="single"/>
        </w:rPr>
        <w:t xml:space="preserve">SECTION FOUR- ANALYSIS OF ELASTICITY WITH SPECIFIC RELATION TO THE UK </w:t>
      </w:r>
      <w:r>
        <w:rPr>
          <w:rFonts w:hint="default" w:ascii="Tahoma" w:hAnsi="Tahoma" w:cs="Tahoma"/>
          <w:b/>
          <w:bCs/>
          <w:sz w:val="22"/>
          <w:szCs w:val="22"/>
          <w:u w:val="single"/>
          <w:lang w:val="en-US"/>
        </w:rPr>
        <w:t>ROAD TRANSPORT FUEL</w:t>
      </w:r>
      <w:r>
        <w:rPr>
          <w:rFonts w:hint="default" w:ascii="Tahoma" w:hAnsi="Tahoma" w:cs="Tahoma"/>
          <w:b/>
          <w:bCs/>
          <w:sz w:val="22"/>
          <w:szCs w:val="22"/>
          <w:u w:val="single"/>
        </w:rPr>
        <w:t xml:space="preserve"> MARKET</w:t>
      </w:r>
    </w:p>
    <w:p>
      <w:pPr>
        <w:spacing w:line="360" w:lineRule="auto"/>
        <w:jc w:val="both"/>
        <w:rPr>
          <w:rFonts w:hint="default" w:ascii="Tahoma" w:hAnsi="Tahoma" w:cs="Tahoma"/>
          <w:sz w:val="22"/>
          <w:szCs w:val="22"/>
        </w:rPr>
      </w:pPr>
      <w:r>
        <w:rPr>
          <w:rFonts w:hint="default" w:ascii="Tahoma" w:hAnsi="Tahoma" w:cs="Tahoma"/>
          <w:sz w:val="22"/>
          <w:szCs w:val="22"/>
        </w:rPr>
        <w:t xml:space="preserve">It is crucial to understand </w:t>
      </w:r>
      <w:r>
        <w:rPr>
          <w:rFonts w:hint="default" w:ascii="Tahoma" w:hAnsi="Tahoma" w:cs="Tahoma"/>
          <w:sz w:val="22"/>
          <w:szCs w:val="22"/>
          <w:lang w:val="en-US"/>
        </w:rPr>
        <w:t xml:space="preserve">the interaction between fuel prices and consumer behaviour in responses to their changes. Fuel prices, holding some other factors constant could make a consumer buys more or less of fuel. </w:t>
      </w:r>
      <w:r>
        <w:rPr>
          <w:rFonts w:hint="default" w:ascii="Tahoma" w:hAnsi="Tahoma" w:cs="Tahoma"/>
          <w:sz w:val="22"/>
          <w:szCs w:val="22"/>
        </w:rPr>
        <w:t>Understanding the price elasticity of demand (PEoD) enable us to predict consumer response</w:t>
      </w:r>
      <w:r>
        <w:rPr>
          <w:rFonts w:hint="default" w:ascii="Tahoma" w:hAnsi="Tahoma" w:cs="Tahoma"/>
          <w:sz w:val="22"/>
          <w:szCs w:val="22"/>
          <w:lang w:val="en-US"/>
        </w:rPr>
        <w:t xml:space="preserve"> and help companies develop a good pricing strategy and influence government taxation strategy</w:t>
      </w:r>
      <w:r>
        <w:rPr>
          <w:rFonts w:hint="default" w:ascii="Tahoma" w:hAnsi="Tahoma" w:cs="Tahoma"/>
          <w:sz w:val="22"/>
          <w:szCs w:val="22"/>
        </w:rPr>
        <w:t>. The following equation allows us to work this out.</w:t>
      </w:r>
    </w:p>
    <w:p>
      <w:pPr>
        <w:spacing w:line="360" w:lineRule="auto"/>
        <w:jc w:val="both"/>
        <w:rPr>
          <w:rFonts w:hint="default" w:ascii="Tahoma" w:hAnsi="Tahoma" w:cs="Tahoma"/>
          <w:sz w:val="22"/>
          <w:szCs w:val="22"/>
          <w:lang w:val="en-US"/>
        </w:rPr>
      </w:pPr>
      <w:r>
        <w:rPr>
          <w:rFonts w:hint="default" w:ascii="Tahoma" w:hAnsi="Tahoma" w:cs="Tahoma"/>
          <w:sz w:val="22"/>
          <w:szCs w:val="22"/>
        </w:rPr>
        <w:t>PE</w:t>
      </w:r>
      <w:r>
        <w:rPr>
          <w:rFonts w:hint="default" w:ascii="Tahoma" w:hAnsi="Tahoma" w:cs="Tahoma"/>
          <w:sz w:val="22"/>
          <w:szCs w:val="22"/>
          <w:vertAlign w:val="subscript"/>
        </w:rPr>
        <w:t>o</w:t>
      </w:r>
      <w:r>
        <w:rPr>
          <w:rFonts w:hint="default" w:ascii="Tahoma" w:hAnsi="Tahoma" w:cs="Tahoma"/>
          <w:sz w:val="22"/>
          <w:szCs w:val="22"/>
        </w:rPr>
        <w:t>D= Proportionate (or percentage) change in quantity demanded</w:t>
      </w:r>
      <w:r>
        <w:rPr>
          <w:rFonts w:hint="default" w:ascii="Tahoma" w:hAnsi="Tahoma" w:cs="Tahoma"/>
          <w:sz w:val="22"/>
          <w:szCs w:val="22"/>
          <w:lang w:val="en-US"/>
        </w:rPr>
        <w:t>/</w:t>
      </w:r>
    </w:p>
    <w:p>
      <w:pPr>
        <w:spacing w:line="360" w:lineRule="auto"/>
        <w:jc w:val="both"/>
        <w:rPr>
          <w:rFonts w:hint="default" w:ascii="Tahoma" w:hAnsi="Tahoma" w:cs="Tahoma"/>
          <w:sz w:val="22"/>
          <w:szCs w:val="22"/>
          <w:lang w:val="en-US"/>
        </w:rPr>
      </w:pPr>
      <w:r>
        <w:rPr>
          <w:rFonts w:hint="default" w:ascii="Tahoma" w:hAnsi="Tahoma" w:cs="Tahoma"/>
          <w:sz w:val="22"/>
          <w:szCs w:val="22"/>
        </w:rPr>
        <w:t>Proportionate (or percentage) change in price</w:t>
      </w:r>
      <w:r>
        <w:rPr>
          <w:rFonts w:hint="default" w:ascii="Tahoma" w:hAnsi="Tahoma" w:cs="Tahoma"/>
          <w:sz w:val="22"/>
          <w:szCs w:val="22"/>
          <w:lang w:val="en-US"/>
        </w:rPr>
        <w:t>.</w:t>
      </w:r>
    </w:p>
    <w:p>
      <w:pPr>
        <w:spacing w:line="360" w:lineRule="auto"/>
        <w:jc w:val="both"/>
        <w:rPr>
          <w:rFonts w:hint="default" w:ascii="Tahoma" w:hAnsi="Tahoma" w:cs="Tahoma"/>
          <w:sz w:val="22"/>
          <w:szCs w:val="22"/>
          <w:lang w:val="en-US"/>
        </w:rPr>
      </w:pPr>
      <w:r>
        <w:rPr>
          <w:rFonts w:hint="default" w:ascii="Tahoma" w:hAnsi="Tahoma" w:cs="Tahoma"/>
          <w:sz w:val="22"/>
          <w:szCs w:val="22"/>
        </w:rPr>
        <w:t xml:space="preserve">When relating this formula to the UK </w:t>
      </w:r>
      <w:r>
        <w:rPr>
          <w:rFonts w:hint="default" w:ascii="Tahoma" w:hAnsi="Tahoma" w:cs="Tahoma"/>
          <w:sz w:val="22"/>
          <w:szCs w:val="22"/>
          <w:lang w:val="en-US"/>
        </w:rPr>
        <w:t>road transport fuel</w:t>
      </w:r>
      <w:r>
        <w:rPr>
          <w:rFonts w:hint="default" w:ascii="Tahoma" w:hAnsi="Tahoma" w:cs="Tahoma"/>
          <w:sz w:val="22"/>
          <w:szCs w:val="22"/>
        </w:rPr>
        <w:t xml:space="preserve"> market</w:t>
      </w:r>
      <w:r>
        <w:rPr>
          <w:rFonts w:hint="default" w:ascii="Tahoma" w:hAnsi="Tahoma" w:cs="Tahoma"/>
          <w:sz w:val="22"/>
          <w:szCs w:val="22"/>
          <w:lang w:val="en-US"/>
        </w:rPr>
        <w:t>,</w:t>
      </w:r>
      <w:r>
        <w:rPr>
          <w:rFonts w:hint="default" w:ascii="Tahoma" w:hAnsi="Tahoma" w:cs="Tahoma"/>
          <w:sz w:val="22"/>
          <w:szCs w:val="22"/>
        </w:rPr>
        <w:t xml:space="preserve"> </w:t>
      </w:r>
      <w:r>
        <w:rPr>
          <w:rFonts w:hint="default" w:ascii="Tahoma" w:hAnsi="Tahoma" w:cs="Tahoma"/>
          <w:sz w:val="22"/>
          <w:szCs w:val="22"/>
          <w:lang w:val="en-US"/>
        </w:rPr>
        <w:t xml:space="preserve">historically, the elasticity of demand for road fuel such as diesel to changes in its price is often less than 1, that is, inelastic for most periods. This is the same for Petrol as well (Wadud, 2016). As reported above, the demand for diesel increased from year 2000 continuously while that of petrol decreased consistently. Even though, many analyst agreed that, it is a result of fuel efficiency and increased number of diesel-powered vehicle, it is important to find out whether price also has a role to play in this technological substitution. </w:t>
      </w:r>
    </w:p>
    <w:p>
      <w:pPr>
        <w:spacing w:line="360" w:lineRule="auto"/>
        <w:jc w:val="both"/>
        <w:rPr>
          <w:rFonts w:hint="default" w:ascii="Tahoma" w:hAnsi="Tahoma" w:cs="Tahoma"/>
          <w:b/>
          <w:bCs/>
          <w:sz w:val="22"/>
          <w:szCs w:val="22"/>
          <w:u w:val="single"/>
        </w:rPr>
      </w:pPr>
      <w:r>
        <w:rPr>
          <w:rFonts w:hint="default" w:ascii="Tahoma" w:hAnsi="Tahoma" w:cs="Tahoma"/>
          <w:b/>
          <w:bCs/>
          <w:sz w:val="22"/>
          <w:szCs w:val="22"/>
          <w:u w:val="single"/>
        </w:rPr>
        <w:t xml:space="preserve">PRICE ELASTICITY FOR THE UK </w:t>
      </w:r>
      <w:r>
        <w:rPr>
          <w:rFonts w:hint="default" w:ascii="Tahoma" w:hAnsi="Tahoma" w:cs="Tahoma"/>
          <w:b/>
          <w:bCs/>
          <w:sz w:val="22"/>
          <w:szCs w:val="22"/>
          <w:u w:val="single"/>
          <w:lang w:val="en-US"/>
        </w:rPr>
        <w:t>ROAD TRANSPORT FUEL</w:t>
      </w:r>
      <w:r>
        <w:rPr>
          <w:rFonts w:hint="default" w:ascii="Tahoma" w:hAnsi="Tahoma" w:cs="Tahoma"/>
          <w:b/>
          <w:bCs/>
          <w:sz w:val="22"/>
          <w:szCs w:val="22"/>
          <w:u w:val="single"/>
        </w:rPr>
        <w:t xml:space="preserve"> MARKET</w:t>
      </w:r>
    </w:p>
    <w:p>
      <w:pPr>
        <w:spacing w:line="360" w:lineRule="auto"/>
        <w:jc w:val="both"/>
        <w:rPr>
          <w:rFonts w:hint="default" w:ascii="Tahoma" w:hAnsi="Tahoma" w:cs="Tahoma"/>
          <w:sz w:val="22"/>
          <w:szCs w:val="22"/>
          <w:lang w:val="en-US"/>
        </w:rPr>
      </w:pPr>
      <w:r>
        <w:rPr>
          <w:rFonts w:hint="default" w:ascii="Tahoma" w:hAnsi="Tahoma" w:cs="Tahoma"/>
          <w:sz w:val="22"/>
          <w:szCs w:val="22"/>
          <w:lang w:val="en-US"/>
        </w:rPr>
        <w:t xml:space="preserve">Analysing the road fuel price elasticity of demand reveals that, price elasticity of demand for petrol was inelastic for some periods and elastic for some. Theorectically, we expect that a fall in price should result in increase in demand (ceteris paribus). In 2001, when there was a little fall in price of petrol per litre, there also, we see a fall in demand for petrol from the year 2000. This a result of reduction in excise duty for vehicles with lower carbon emission - diesel vehicles tend to emit less carbon compare to petrol counterpart, so there was a shift in demand for diesel-powered vehicle as against petrol-powered vehicle which caused further reduction in demand for petrol fuel. From 2001 down to the end of the period of study, demand for petrol falls continuously as price increases. The elasticity of demand for petrol was inelastic for most periods, except in 2001, 2003, 2006, 2012 and 2020 when the elasticity was elastic. These periods were characterised by change in government green economy policy, taxation, economic recession, changes in household income, expectation of fuel shortage, efficiency of substitute and covid-19 movement restriction. </w:t>
      </w:r>
    </w:p>
    <w:p>
      <w:pPr>
        <w:spacing w:line="360" w:lineRule="auto"/>
        <w:jc w:val="both"/>
        <w:rPr>
          <w:rFonts w:hint="default" w:ascii="Tahoma" w:hAnsi="Tahoma" w:cs="Tahoma"/>
          <w:sz w:val="22"/>
          <w:szCs w:val="22"/>
          <w:lang w:val="en-US"/>
        </w:rPr>
      </w:pPr>
    </w:p>
    <w:p>
      <w:pPr>
        <w:spacing w:line="360" w:lineRule="auto"/>
        <w:jc w:val="both"/>
        <w:rPr>
          <w:rFonts w:hint="default" w:ascii="Tahoma" w:hAnsi="Tahoma" w:cs="Tahoma"/>
          <w:sz w:val="22"/>
          <w:szCs w:val="22"/>
          <w:u w:val="single"/>
          <w:lang w:val="en-US"/>
        </w:rPr>
      </w:pPr>
      <w:r>
        <w:rPr>
          <w:rFonts w:hint="default" w:ascii="Tahoma" w:hAnsi="Tahoma" w:cs="Tahoma"/>
          <w:sz w:val="22"/>
          <w:szCs w:val="22"/>
          <w:lang w:val="en-US"/>
        </w:rPr>
        <w:t>For diesel demand, despite the rising price of diesel per litre, the demand for diesel fuel continues to rise further throughout the period except during the 2008 economic recession and covid-19 movement restriction of 2019 and 2020. It presupposes that, price is not a determining factor in demand for diesel fuel purchases in the UK. Factors like change in government green economy policy, taxation, economic recession, changes in household income, expectation of fuel shortage, efficiency of substitute and covid-19 movement restriction.</w:t>
      </w:r>
    </w:p>
    <w:tbl>
      <w:tblPr>
        <w:tblStyle w:val="6"/>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05"/>
        <w:gridCol w:w="835"/>
        <w:gridCol w:w="1075"/>
        <w:gridCol w:w="836"/>
        <w:gridCol w:w="771"/>
        <w:gridCol w:w="912"/>
        <w:gridCol w:w="222"/>
        <w:gridCol w:w="836"/>
        <w:gridCol w:w="1075"/>
        <w:gridCol w:w="836"/>
        <w:gridCol w:w="771"/>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18" w:type="pct"/>
            <w:tcBorders>
              <w:top w:val="single" w:color="000000" w:sz="4" w:space="0"/>
              <w:left w:val="nil"/>
              <w:bottom w:val="single" w:color="000000" w:sz="4" w:space="0"/>
              <w:right w:val="nil"/>
            </w:tcBorders>
            <w:shd w:val="clear" w:color="FFFFCC"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year</w:t>
            </w:r>
          </w:p>
        </w:tc>
        <w:tc>
          <w:tcPr>
            <w:tcW w:w="432" w:type="pct"/>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lang w:val="en-US"/>
              </w:rPr>
            </w:pPr>
            <w:r>
              <w:rPr>
                <w:rFonts w:hint="default" w:ascii="Tahoma" w:hAnsi="Tahoma" w:eastAsia="SimSun" w:cs="Tahoma"/>
                <w:b/>
                <w:bCs/>
                <w:i w:val="0"/>
                <w:iCs w:val="0"/>
                <w:color w:val="000000"/>
                <w:kern w:val="0"/>
                <w:sz w:val="16"/>
                <w:szCs w:val="16"/>
                <w:u w:val="none"/>
                <w:lang w:val="en-US" w:eastAsia="zh-CN" w:bidi="ar"/>
              </w:rPr>
              <w:t>petrol demand in million tonnes</w:t>
            </w:r>
          </w:p>
        </w:tc>
        <w:tc>
          <w:tcPr>
            <w:tcW w:w="500" w:type="pct"/>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petrol pence/litre</w:t>
            </w:r>
          </w:p>
        </w:tc>
        <w:tc>
          <w:tcPr>
            <w:tcW w:w="432" w:type="pct"/>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 Change in demand for petrol</w:t>
            </w:r>
          </w:p>
        </w:tc>
        <w:tc>
          <w:tcPr>
            <w:tcW w:w="432" w:type="pct"/>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 change in price of petrol</w:t>
            </w:r>
          </w:p>
        </w:tc>
        <w:tc>
          <w:tcPr>
            <w:tcW w:w="432" w:type="pct"/>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price elasticity of demand for petrol</w:t>
            </w:r>
          </w:p>
        </w:tc>
        <w:tc>
          <w:tcPr>
            <w:tcW w:w="128" w:type="pct"/>
            <w:tcBorders>
              <w:top w:val="nil"/>
              <w:left w:val="nil"/>
              <w:bottom w:val="nil"/>
              <w:right w:val="nil"/>
            </w:tcBorders>
            <w:shd w:val="clear" w:color="auto" w:fill="auto"/>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lang w:val="en-US"/>
              </w:rPr>
            </w:pPr>
            <w:r>
              <w:rPr>
                <w:rFonts w:hint="default" w:ascii="Tahoma" w:hAnsi="Tahoma" w:eastAsia="SimSun" w:cs="Tahoma"/>
                <w:b/>
                <w:bCs/>
                <w:i w:val="0"/>
                <w:iCs w:val="0"/>
                <w:color w:val="000000"/>
                <w:kern w:val="0"/>
                <w:sz w:val="16"/>
                <w:szCs w:val="16"/>
                <w:u w:val="none"/>
                <w:lang w:val="en-US" w:eastAsia="zh-CN" w:bidi="ar"/>
              </w:rPr>
              <w:t>diesel demand in million tonnes</w:t>
            </w:r>
          </w:p>
        </w:tc>
        <w:tc>
          <w:tcPr>
            <w:tcW w:w="493" w:type="pct"/>
            <w:tcBorders>
              <w:top w:val="nil"/>
              <w:left w:val="nil"/>
              <w:bottom w:val="nil"/>
              <w:right w:val="nil"/>
            </w:tcBorders>
            <w:shd w:val="clear" w:color="FFFFCC" w:fill="FFFFFF"/>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diesel pence/litre</w:t>
            </w:r>
          </w:p>
        </w:tc>
        <w:tc>
          <w:tcPr>
            <w:tcW w:w="432" w:type="pct"/>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 Change in demand for diesel</w:t>
            </w:r>
          </w:p>
        </w:tc>
        <w:tc>
          <w:tcPr>
            <w:tcW w:w="432" w:type="pct"/>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 change in price of diesel</w:t>
            </w:r>
          </w:p>
        </w:tc>
        <w:tc>
          <w:tcPr>
            <w:tcW w:w="432" w:type="pct"/>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price elasticity of demand for diesel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2000</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21.09</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75.90</w:t>
            </w:r>
          </w:p>
        </w:tc>
        <w:tc>
          <w:tcPr>
            <w:tcW w:w="432"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15.31</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77.30</w:t>
            </w:r>
          </w:p>
        </w:tc>
        <w:tc>
          <w:tcPr>
            <w:tcW w:w="432" w:type="pct"/>
            <w:tcBorders>
              <w:top w:val="nil"/>
              <w:left w:val="nil"/>
              <w:bottom w:val="nil"/>
              <w:right w:val="nil"/>
            </w:tcBorders>
            <w:shd w:val="clear" w:color="auto" w:fill="auto"/>
            <w:noWrap/>
            <w:vAlign w:val="center"/>
          </w:tcPr>
          <w:p>
            <w:pPr>
              <w:spacing w:line="360" w:lineRule="auto"/>
              <w:jc w:val="center"/>
              <w:rPr>
                <w:rFonts w:hint="default" w:ascii="Tahoma" w:hAnsi="Tahoma" w:cs="Tahoma"/>
                <w:i w:val="0"/>
                <w:iCs w:val="0"/>
                <w:color w:val="000000"/>
                <w:sz w:val="16"/>
                <w:szCs w:val="16"/>
                <w:u w:val="none"/>
              </w:rPr>
            </w:pPr>
          </w:p>
        </w:tc>
        <w:tc>
          <w:tcPr>
            <w:tcW w:w="432" w:type="pct"/>
            <w:tcBorders>
              <w:top w:val="nil"/>
              <w:left w:val="nil"/>
              <w:bottom w:val="nil"/>
              <w:right w:val="nil"/>
            </w:tcBorders>
            <w:shd w:val="clear" w:color="auto" w:fill="auto"/>
            <w:noWrap/>
            <w:vAlign w:val="center"/>
          </w:tcPr>
          <w:p>
            <w:pPr>
              <w:spacing w:line="360" w:lineRule="auto"/>
              <w:jc w:val="center"/>
              <w:rPr>
                <w:rFonts w:hint="default" w:ascii="Tahoma" w:hAnsi="Tahoma" w:cs="Tahoma"/>
                <w:i w:val="0"/>
                <w:iCs w:val="0"/>
                <w:color w:val="000000"/>
                <w:sz w:val="16"/>
                <w:szCs w:val="16"/>
                <w:u w:val="none"/>
              </w:rPr>
            </w:pPr>
          </w:p>
        </w:tc>
        <w:tc>
          <w:tcPr>
            <w:tcW w:w="432" w:type="pct"/>
            <w:tcBorders>
              <w:top w:val="nil"/>
              <w:left w:val="nil"/>
              <w:bottom w:val="nil"/>
              <w:right w:val="nil"/>
            </w:tcBorders>
            <w:shd w:val="clear" w:color="auto" w:fill="auto"/>
            <w:noWrap/>
            <w:vAlign w:val="center"/>
          </w:tcPr>
          <w:p>
            <w:pPr>
              <w:spacing w:line="360" w:lineRule="auto"/>
              <w:jc w:val="center"/>
              <w:rPr>
                <w:rFonts w:hint="default" w:ascii="Tahoma" w:hAnsi="Tahoma" w:cs="Tahoma"/>
                <w:i w:val="0"/>
                <w:iCs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2001</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20.62</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75.00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2.21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1.19</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1.86</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15.74</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76.90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2.77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0.52</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2002</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20.49</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78.20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0.66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4.27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0.16</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16.60</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80.90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5.48</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5.20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2003</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19.59</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77.80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4.37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0.51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8.54</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17.38</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79.20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4.71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2.10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2004</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19.14</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85.40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2.32</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9.77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0.24</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18.16</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89.60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4.47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13.13</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2005</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18.51</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94.10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3.30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10.19</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0.32</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19.02</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97.60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4.76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8.93</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2006</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17.73</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91.90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4.16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2.34</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1.78</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19.80</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94.70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4.06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2.97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2007</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17.25</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107.60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2.75</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17.08</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0.16</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20.66</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116.60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4.37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23.13</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2008</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16.18</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93.60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6.19</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13.01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0.48</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20.13</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101.90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2.55</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12.61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2009</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15.27</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119.80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5.64</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27.99</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0.20</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19.77</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121.00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1.80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18.74</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2010</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14.24</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134.70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6.75</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12.44</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0.54</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20.38</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141.10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3.05</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16.61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2011</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13.52</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141.70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5.00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5.20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0.96</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20.62</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147.80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4.75</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2012</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12.88</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136.80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4.80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3.46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1.39</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21.19</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141.30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2.75</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4.40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2013</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12.21</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128.80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5.13</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5.85</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0.88</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21.57</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135.90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1.81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3.82</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2014</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11.95</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112.50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2.20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12.66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0.17</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22.29</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119.10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3.35</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12.36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2015</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11.68</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106.40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2.20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5.42</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0.41</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23.26</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106.90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4.34</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10.24</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2016</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11.53</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117.30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1.33</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10.24</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0.13</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24.21</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119.90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4.10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12.16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2017</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11.35</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120.60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1.53</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2.81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0.55</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24.45</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124.20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0.96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3.59</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2018</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11.14</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124.10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1.91</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0.66</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24.16</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132.90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1.18</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7.00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2019</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11.25</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109.00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1.03</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12.17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0.08</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23.32</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115.80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3.46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12.87</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18" w:type="pct"/>
            <w:tcBorders>
              <w:top w:val="single" w:color="000000" w:sz="4" w:space="0"/>
              <w:left w:val="nil"/>
              <w:bottom w:val="single" w:color="000000" w:sz="4" w:space="0"/>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2020</w:t>
            </w: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9.14</w:t>
            </w:r>
          </w:p>
        </w:tc>
        <w:tc>
          <w:tcPr>
            <w:tcW w:w="500"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125.50</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18.72</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15.14</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1.24</w:t>
            </w:r>
          </w:p>
        </w:tc>
        <w:tc>
          <w:tcPr>
            <w:tcW w:w="128" w:type="pct"/>
            <w:tcBorders>
              <w:top w:val="nil"/>
              <w:left w:val="nil"/>
              <w:bottom w:val="nil"/>
              <w:right w:val="nil"/>
            </w:tcBorders>
            <w:shd w:val="clear" w:color="auto" w:fill="FFFFFF"/>
            <w:noWrap/>
            <w:vAlign w:val="center"/>
          </w:tcPr>
          <w:p>
            <w:pPr>
              <w:spacing w:line="360" w:lineRule="auto"/>
              <w:jc w:val="center"/>
              <w:rPr>
                <w:rFonts w:hint="default" w:ascii="Tahoma" w:hAnsi="Tahoma" w:cs="Tahoma"/>
                <w:b/>
                <w:bCs/>
                <w:i w:val="0"/>
                <w:iCs w:val="0"/>
                <w:color w:val="000000"/>
                <w:sz w:val="16"/>
                <w:szCs w:val="16"/>
                <w:u w:val="none"/>
              </w:rPr>
            </w:pPr>
          </w:p>
        </w:tc>
        <w:tc>
          <w:tcPr>
            <w:tcW w:w="432" w:type="pct"/>
            <w:tcBorders>
              <w:top w:val="nil"/>
              <w:left w:val="nil"/>
              <w:bottom w:val="nil"/>
              <w:right w:val="nil"/>
            </w:tcBorders>
            <w:shd w:val="clear" w:color="FFFFCC" w:fill="FFFFFF"/>
            <w:noWrap/>
            <w:vAlign w:val="bottom"/>
          </w:tcPr>
          <w:p>
            <w:pPr>
              <w:keepNext w:val="0"/>
              <w:keepLines w:val="0"/>
              <w:widowControl/>
              <w:suppressLineNumbers w:val="0"/>
              <w:spacing w:line="360" w:lineRule="auto"/>
              <w:jc w:val="center"/>
              <w:textAlignment w:val="bottom"/>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19.69</w:t>
            </w:r>
          </w:p>
        </w:tc>
        <w:tc>
          <w:tcPr>
            <w:tcW w:w="493"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129.22</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15.56</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11.59</w:t>
            </w:r>
          </w:p>
        </w:tc>
        <w:tc>
          <w:tcPr>
            <w:tcW w:w="432" w:type="pct"/>
            <w:tcBorders>
              <w:top w:val="nil"/>
              <w:left w:val="nil"/>
              <w:bottom w:val="nil"/>
              <w:right w:val="nil"/>
            </w:tcBorders>
            <w:shd w:val="clear" w:color="auto" w:fill="FFFFFF"/>
            <w:noWrap/>
            <w:vAlign w:val="center"/>
          </w:tcPr>
          <w:p>
            <w:pPr>
              <w:keepNext w:val="0"/>
              <w:keepLines w:val="0"/>
              <w:widowControl/>
              <w:suppressLineNumbers w:val="0"/>
              <w:spacing w:line="360" w:lineRule="auto"/>
              <w:jc w:val="center"/>
              <w:textAlignment w:val="center"/>
              <w:rPr>
                <w:rFonts w:hint="default" w:ascii="Tahoma" w:hAnsi="Tahoma" w:cs="Tahoma"/>
                <w:b/>
                <w:bCs/>
                <w:i w:val="0"/>
                <w:iCs w:val="0"/>
                <w:color w:val="000000"/>
                <w:sz w:val="16"/>
                <w:szCs w:val="16"/>
                <w:u w:val="none"/>
              </w:rPr>
            </w:pPr>
            <w:r>
              <w:rPr>
                <w:rFonts w:hint="default" w:ascii="Tahoma" w:hAnsi="Tahoma" w:eastAsia="SimSun" w:cs="Tahoma"/>
                <w:b/>
                <w:bCs/>
                <w:i w:val="0"/>
                <w:iCs w:val="0"/>
                <w:color w:val="000000"/>
                <w:kern w:val="0"/>
                <w:sz w:val="16"/>
                <w:szCs w:val="16"/>
                <w:u w:val="none"/>
                <w:lang w:val="en-US" w:eastAsia="zh-CN" w:bidi="ar"/>
              </w:rPr>
              <w:t>1.34</w:t>
            </w:r>
          </w:p>
        </w:tc>
      </w:tr>
    </w:tbl>
    <w:p>
      <w:pPr>
        <w:spacing w:line="360" w:lineRule="auto"/>
        <w:jc w:val="both"/>
        <w:rPr>
          <w:rFonts w:hint="default" w:ascii="Tahoma" w:hAnsi="Tahoma" w:cs="Tahoma"/>
          <w:sz w:val="22"/>
          <w:szCs w:val="22"/>
          <w:lang w:val="en-US"/>
        </w:rPr>
      </w:pPr>
      <w:r>
        <w:rPr>
          <w:rFonts w:hint="default" w:ascii="Tahoma" w:hAnsi="Tahoma" w:cs="Tahoma"/>
          <w:sz w:val="22"/>
          <w:szCs w:val="22"/>
          <w:lang w:val="en-US"/>
        </w:rPr>
        <w:t>Price Elasticity Table</w:t>
      </w:r>
    </w:p>
    <w:p>
      <w:pPr>
        <w:spacing w:line="360" w:lineRule="auto"/>
        <w:jc w:val="both"/>
        <w:rPr>
          <w:rFonts w:hint="default" w:ascii="Tahoma" w:hAnsi="Tahoma" w:cs="Tahoma"/>
          <w:b/>
          <w:bCs/>
          <w:sz w:val="22"/>
          <w:szCs w:val="22"/>
          <w:lang w:val="en-US"/>
        </w:rPr>
      </w:pPr>
      <w:r>
        <w:rPr>
          <w:rFonts w:hint="default" w:ascii="Tahoma" w:hAnsi="Tahoma" w:cs="Tahoma"/>
          <w:b/>
          <w:bCs/>
          <w:sz w:val="22"/>
          <w:szCs w:val="22"/>
        </w:rPr>
        <w:t xml:space="preserve"> </w:t>
      </w:r>
      <w:r>
        <w:rPr>
          <w:rFonts w:hint="default" w:ascii="Tahoma" w:hAnsi="Tahoma" w:cs="Tahoma"/>
          <w:b/>
          <w:bCs/>
          <w:sz w:val="22"/>
          <w:szCs w:val="22"/>
          <w:lang w:val="en-US"/>
        </w:rPr>
        <w:t>FUEL TAX ELASTICITY OF DEMAND FOR DIESEL</w:t>
      </w:r>
    </w:p>
    <w:p>
      <w:pPr>
        <w:spacing w:line="360" w:lineRule="auto"/>
        <w:jc w:val="both"/>
        <w:rPr>
          <w:rFonts w:hint="default" w:ascii="Tahoma" w:hAnsi="Tahoma" w:cs="Tahoma"/>
          <w:sz w:val="22"/>
          <w:szCs w:val="22"/>
          <w:lang w:val="en-US"/>
        </w:rPr>
      </w:pPr>
      <w:r>
        <w:rPr>
          <w:rFonts w:hint="default" w:ascii="Tahoma" w:hAnsi="Tahoma" w:cs="Tahoma"/>
          <w:sz w:val="22"/>
          <w:szCs w:val="22"/>
          <w:lang w:val="en-US"/>
        </w:rPr>
        <w:t xml:space="preserve">Diesel price (without duty and VAT) decreases from 2001 to 2002 following the previous trend before the year 2001. Increased in 2003 reflecting the increased new diesel vehicle registration (Wadud, 2020). The increase did not last as it fell again in 2004 but at a lower slope compare to the increase from 2002. averagely, increased further with some intermittent fall until 2015 when there was a wide fall in price. This is a result of lower price of fuel in the international market. It picked again in 2018 until the emergence of covid-19 pandemic when the fuel price came low as a result of the lockdown. </w:t>
      </w:r>
    </w:p>
    <w:p>
      <w:pPr>
        <w:spacing w:line="360" w:lineRule="auto"/>
        <w:jc w:val="both"/>
        <w:rPr>
          <w:rFonts w:hint="default" w:ascii="Tahoma" w:hAnsi="Tahoma" w:cs="Tahoma"/>
          <w:sz w:val="22"/>
          <w:szCs w:val="22"/>
          <w:lang w:val="en-US"/>
        </w:rPr>
      </w:pPr>
      <w:r>
        <w:rPr>
          <w:rFonts w:hint="default" w:ascii="Tahoma" w:hAnsi="Tahoma" w:cs="Tahoma"/>
          <w:sz w:val="22"/>
          <w:szCs w:val="22"/>
          <w:lang w:val="en-US"/>
        </w:rPr>
        <w:t xml:space="preserve">The fuel duty increases consistently at a zero rate which is correlated with the demand pattern for diesel. The VAT tends to behave the fuel duty curve but with a larger slope between 2009 and 2011. while fuel duty was flat, the VAT nosedived until 2017 when it began to pick again. It fell again in 2020 as a response to cushion the effect of the pandemic. Following this analysis, the VAT behaves more like the diesel price because as diesel price increases, the VAT increases. </w:t>
      </w: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r>
        <w:rPr>
          <w:rFonts w:hint="default" w:ascii="Tahoma" w:hAnsi="Tahoma" w:cs="Tahoma"/>
          <w:sz w:val="22"/>
          <w:szCs w:val="22"/>
        </w:rPr>
        <w:drawing>
          <wp:inline distT="0" distB="0" distL="114300" distR="114300">
            <wp:extent cx="4572000" cy="2743200"/>
            <wp:effectExtent l="4445" t="4445" r="14605" b="14605"/>
            <wp:docPr id="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Diagram 6: Diesel Price, Demand, Fuel Duty and VAT</w:t>
      </w:r>
    </w:p>
    <w:p>
      <w:p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 xml:space="preserve">The fuel-duty elasticity of demand for fuel is all time inelastic for the period of analysis while that of VAT are most times, elastic. This tells us that demand for diesel respond to changes in fuel duty slowly. That is, increase in fuel-duty does not really bring decrease in demand for fuel, well, VAT does. However, the demand for diesel never fell in 2009. in the same year, the price of diesel fell, VAT and duty fell. The same occurred in 2020 except for fuel duty which remained flat from 2011. </w:t>
      </w:r>
    </w:p>
    <w:p>
      <w:pPr>
        <w:spacing w:line="360" w:lineRule="auto"/>
        <w:jc w:val="both"/>
        <w:rPr>
          <w:rFonts w:hint="default" w:ascii="Tahoma" w:hAnsi="Tahoma" w:cs="Tahoma"/>
          <w:sz w:val="22"/>
          <w:szCs w:val="22"/>
          <w:u w:val="single"/>
        </w:rPr>
      </w:pPr>
      <w:r>
        <w:rPr>
          <w:rFonts w:hint="default" w:ascii="Tahoma" w:hAnsi="Tahoma" w:cs="Tahoma"/>
          <w:sz w:val="22"/>
          <w:szCs w:val="22"/>
          <w:u w:val="none"/>
          <w:lang w:val="en-US"/>
        </w:rPr>
        <w:t xml:space="preserve">The implication of this, is that price, duty and VAT are not a major determinant in UK fuel purchases. </w:t>
      </w:r>
    </w:p>
    <w:tbl>
      <w:tblPr>
        <w:tblStyle w:val="6"/>
        <w:tblW w:w="398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98"/>
        <w:gridCol w:w="1055"/>
        <w:gridCol w:w="1055"/>
        <w:gridCol w:w="10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diesel demand</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diesel duty elasticity</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diesel vat elasticity</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auto" w:fill="auto"/>
            <w:noWrap/>
            <w:vAlign w:val="center"/>
          </w:tcPr>
          <w:p>
            <w:pPr>
              <w:spacing w:line="360" w:lineRule="auto"/>
              <w:jc w:val="both"/>
              <w:rPr>
                <w:rFonts w:hint="default" w:ascii="Tahoma" w:hAnsi="Tahoma" w:cs="Tahoma"/>
                <w:i w:val="0"/>
                <w:iCs w:val="0"/>
                <w:color w:val="000000"/>
                <w:sz w:val="22"/>
                <w:szCs w:val="22"/>
                <w:u w:val="none"/>
              </w:rPr>
            </w:pPr>
          </w:p>
        </w:tc>
        <w:tc>
          <w:tcPr>
            <w:tcW w:w="1009" w:type="dxa"/>
            <w:tcBorders>
              <w:top w:val="nil"/>
              <w:left w:val="nil"/>
              <w:bottom w:val="nil"/>
              <w:right w:val="nil"/>
            </w:tcBorders>
            <w:shd w:val="clear" w:color="auto" w:fill="auto"/>
            <w:noWrap/>
            <w:vAlign w:val="center"/>
          </w:tcPr>
          <w:p>
            <w:pPr>
              <w:spacing w:line="360" w:lineRule="auto"/>
              <w:jc w:val="both"/>
              <w:rPr>
                <w:rFonts w:hint="default" w:ascii="Tahoma" w:hAnsi="Tahoma" w:cs="Tahoma"/>
                <w:i w:val="0"/>
                <w:iCs w:val="0"/>
                <w:color w:val="000000"/>
                <w:sz w:val="22"/>
                <w:szCs w:val="22"/>
                <w:u w:val="none"/>
              </w:rPr>
            </w:pPr>
          </w:p>
        </w:tc>
        <w:tc>
          <w:tcPr>
            <w:tcW w:w="1009" w:type="dxa"/>
            <w:tcBorders>
              <w:top w:val="nil"/>
              <w:left w:val="nil"/>
              <w:bottom w:val="nil"/>
              <w:right w:val="nil"/>
            </w:tcBorders>
            <w:shd w:val="clear" w:color="auto" w:fill="auto"/>
            <w:noWrap/>
            <w:vAlign w:val="center"/>
          </w:tcPr>
          <w:p>
            <w:pPr>
              <w:spacing w:line="360" w:lineRule="auto"/>
              <w:jc w:val="both"/>
              <w:rPr>
                <w:rFonts w:hint="default" w:ascii="Tahoma" w:hAnsi="Tahoma" w:cs="Tahoma"/>
                <w:i w:val="0"/>
                <w:iCs w:val="0"/>
                <w:color w:val="000000"/>
                <w:sz w:val="22"/>
                <w:szCs w:val="22"/>
                <w:u w:val="none"/>
              </w:rPr>
            </w:pPr>
          </w:p>
        </w:tc>
        <w:tc>
          <w:tcPr>
            <w:tcW w:w="1009" w:type="dxa"/>
            <w:tcBorders>
              <w:top w:val="nil"/>
              <w:left w:val="nil"/>
              <w:bottom w:val="nil"/>
              <w:right w:val="nil"/>
            </w:tcBorders>
            <w:shd w:val="clear" w:color="auto" w:fill="auto"/>
            <w:noWrap/>
            <w:vAlign w:val="center"/>
          </w:tcPr>
          <w:p>
            <w:pPr>
              <w:spacing w:line="360" w:lineRule="auto"/>
              <w:jc w:val="both"/>
              <w:rPr>
                <w:rFonts w:hint="default" w:ascii="Tahoma" w:hAnsi="Tahoma" w:cs="Tahoma"/>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15.7</w:t>
            </w:r>
          </w:p>
        </w:tc>
        <w:tc>
          <w:tcPr>
            <w:tcW w:w="1009" w:type="dxa"/>
            <w:tcBorders>
              <w:top w:val="nil"/>
              <w:left w:val="nil"/>
              <w:bottom w:val="nil"/>
              <w:right w:val="nil"/>
            </w:tcBorders>
            <w:shd w:val="clear" w:color="auto" w:fill="auto"/>
            <w:noWrap/>
            <w:vAlign w:val="center"/>
          </w:tcPr>
          <w:p>
            <w:pPr>
              <w:spacing w:line="360" w:lineRule="auto"/>
              <w:jc w:val="both"/>
              <w:rPr>
                <w:rFonts w:hint="default" w:ascii="Tahoma" w:hAnsi="Tahoma" w:cs="Tahoma"/>
                <w:i w:val="0"/>
                <w:iCs w:val="0"/>
                <w:color w:val="000000"/>
                <w:sz w:val="22"/>
                <w:szCs w:val="22"/>
                <w:u w:val="none"/>
              </w:rPr>
            </w:pPr>
          </w:p>
        </w:tc>
        <w:tc>
          <w:tcPr>
            <w:tcW w:w="1009" w:type="dxa"/>
            <w:tcBorders>
              <w:top w:val="nil"/>
              <w:left w:val="nil"/>
              <w:bottom w:val="nil"/>
              <w:right w:val="nil"/>
            </w:tcBorders>
            <w:shd w:val="clear" w:color="auto" w:fill="auto"/>
            <w:noWrap/>
            <w:vAlign w:val="center"/>
          </w:tcPr>
          <w:p>
            <w:pPr>
              <w:spacing w:line="360" w:lineRule="auto"/>
              <w:jc w:val="both"/>
              <w:rPr>
                <w:rFonts w:hint="default" w:ascii="Tahoma" w:hAnsi="Tahoma" w:cs="Tahoma"/>
                <w:i w:val="0"/>
                <w:iCs w:val="0"/>
                <w:color w:val="000000"/>
                <w:sz w:val="22"/>
                <w:szCs w:val="22"/>
                <w:u w:val="none"/>
              </w:rPr>
            </w:pPr>
          </w:p>
        </w:tc>
        <w:tc>
          <w:tcPr>
            <w:tcW w:w="1009" w:type="dxa"/>
            <w:tcBorders>
              <w:top w:val="nil"/>
              <w:left w:val="nil"/>
              <w:bottom w:val="nil"/>
              <w:right w:val="nil"/>
            </w:tcBorders>
            <w:shd w:val="clear" w:color="auto" w:fill="auto"/>
            <w:noWrap/>
            <w:vAlign w:val="center"/>
          </w:tcPr>
          <w:p>
            <w:pPr>
              <w:spacing w:line="360" w:lineRule="auto"/>
              <w:jc w:val="both"/>
              <w:rPr>
                <w:rFonts w:hint="default" w:ascii="Tahoma" w:hAnsi="Tahoma" w:cs="Tahoma"/>
                <w:i w:val="0"/>
                <w:iCs w:val="0"/>
                <w:color w:val="000000"/>
                <w:sz w:val="22"/>
                <w:szCs w:val="22"/>
                <w:u w:val="none"/>
                <w:lang w:val="en-US"/>
              </w:rPr>
            </w:pPr>
            <w:r>
              <w:rPr>
                <w:rFonts w:hint="default" w:ascii="Tahoma" w:hAnsi="Tahoma" w:cs="Tahoma"/>
                <w:i w:val="0"/>
                <w:iCs w:val="0"/>
                <w:color w:val="000000"/>
                <w:sz w:val="22"/>
                <w:szCs w:val="22"/>
                <w:u w:val="none"/>
                <w:lang w:val="en-US"/>
              </w:rPr>
              <w:t>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16.6</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1.5</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17.4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1.5</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18.2</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1.6</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19.0</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1.5</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19.8</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20.7</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1.5</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20.1</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1.2</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19.8</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1.5</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1.1</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20.6</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0.9</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21.2</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0.9</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21.6</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0.9</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22.3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1.0</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23.3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1.2</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24.2</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24.4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1.2</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24.2</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1.2</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23.3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0.4</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1.1</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60" w:type="dxa"/>
            <w:tcBorders>
              <w:top w:val="nil"/>
              <w:left w:val="nil"/>
              <w:bottom w:val="nil"/>
              <w:right w:val="nil"/>
            </w:tcBorders>
            <w:shd w:val="clear" w:color="FFFFCC" w:fill="FFFFFF"/>
            <w:noWrap/>
            <w:vAlign w:val="bottom"/>
          </w:tcPr>
          <w:p>
            <w:pPr>
              <w:keepNext w:val="0"/>
              <w:keepLines w:val="0"/>
              <w:widowControl/>
              <w:suppressLineNumbers w:val="0"/>
              <w:spacing w:line="360" w:lineRule="auto"/>
              <w:jc w:val="both"/>
              <w:textAlignment w:val="bottom"/>
              <w:rPr>
                <w:rFonts w:hint="default" w:ascii="Tahoma" w:hAnsi="Tahoma" w:cs="Tahoma"/>
                <w:b/>
                <w:bCs/>
                <w:i w:val="0"/>
                <w:iCs w:val="0"/>
                <w:color w:val="000000"/>
                <w:sz w:val="22"/>
                <w:szCs w:val="22"/>
                <w:u w:val="none"/>
              </w:rPr>
            </w:pPr>
            <w:r>
              <w:rPr>
                <w:rFonts w:hint="default" w:ascii="Tahoma" w:hAnsi="Tahoma" w:eastAsia="SimSun" w:cs="Tahoma"/>
                <w:b/>
                <w:bCs/>
                <w:i w:val="0"/>
                <w:iCs w:val="0"/>
                <w:color w:val="000000"/>
                <w:kern w:val="0"/>
                <w:sz w:val="22"/>
                <w:szCs w:val="22"/>
                <w:u w:val="none"/>
                <w:lang w:val="en-US" w:eastAsia="zh-CN" w:bidi="ar"/>
              </w:rPr>
              <w:t>19.7</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0.3</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1.0</w:t>
            </w:r>
          </w:p>
        </w:tc>
        <w:tc>
          <w:tcPr>
            <w:tcW w:w="1009" w:type="dxa"/>
            <w:tcBorders>
              <w:top w:val="nil"/>
              <w:left w:val="nil"/>
              <w:bottom w:val="nil"/>
              <w:right w:val="nil"/>
            </w:tcBorders>
            <w:shd w:val="clear" w:color="auto" w:fill="auto"/>
            <w:noWrap/>
            <w:vAlign w:val="center"/>
          </w:tcPr>
          <w:p>
            <w:pPr>
              <w:keepNext w:val="0"/>
              <w:keepLines w:val="0"/>
              <w:widowControl/>
              <w:suppressLineNumbers w:val="0"/>
              <w:spacing w:line="360" w:lineRule="auto"/>
              <w:jc w:val="both"/>
              <w:textAlignment w:val="center"/>
              <w:rPr>
                <w:rFonts w:hint="default" w:ascii="Tahoma" w:hAnsi="Tahoma" w:eastAsia="SimSun" w:cs="Tahoma"/>
                <w:i w:val="0"/>
                <w:iCs w:val="0"/>
                <w:color w:val="000000"/>
                <w:kern w:val="0"/>
                <w:sz w:val="22"/>
                <w:szCs w:val="22"/>
                <w:u w:val="none"/>
                <w:lang w:val="en-US" w:eastAsia="zh-CN" w:bidi="ar"/>
              </w:rPr>
            </w:pPr>
            <w:r>
              <w:rPr>
                <w:rFonts w:hint="default" w:ascii="Tahoma" w:hAnsi="Tahoma" w:eastAsia="SimSun" w:cs="Tahoma"/>
                <w:i w:val="0"/>
                <w:iCs w:val="0"/>
                <w:color w:val="000000"/>
                <w:kern w:val="0"/>
                <w:sz w:val="22"/>
                <w:szCs w:val="22"/>
                <w:u w:val="none"/>
                <w:lang w:val="en-US" w:eastAsia="zh-CN" w:bidi="ar"/>
              </w:rPr>
              <w:t>2020</w:t>
            </w:r>
          </w:p>
        </w:tc>
      </w:tr>
    </w:tbl>
    <w:p>
      <w:p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Fuel Tax Elasticity</w:t>
      </w:r>
    </w:p>
    <w:p>
      <w:pPr>
        <w:spacing w:line="360" w:lineRule="auto"/>
        <w:jc w:val="both"/>
        <w:rPr>
          <w:rFonts w:hint="default" w:ascii="Tahoma" w:hAnsi="Tahoma" w:cs="Tahoma"/>
          <w:sz w:val="22"/>
          <w:szCs w:val="22"/>
          <w:u w:val="single"/>
        </w:rPr>
      </w:pPr>
      <w:r>
        <w:rPr>
          <w:rFonts w:hint="default" w:ascii="Tahoma" w:hAnsi="Tahoma" w:cs="Tahoma"/>
          <w:sz w:val="22"/>
          <w:szCs w:val="22"/>
          <w:u w:val="none"/>
          <w:lang w:val="en-US"/>
        </w:rPr>
        <w:t xml:space="preserve">However, it seems fuel efficiency is a determining factor to demand for diesel fuel. As the fuel usage decreases, the demand for diesel fuel increases. It suggests that as people notice that, diesel-powered vehicle were more fuel efficient, they purchased diesel-powered vehicle more and the demand for diesel increases. </w:t>
      </w:r>
    </w:p>
    <w:p>
      <w:pPr>
        <w:spacing w:line="360" w:lineRule="auto"/>
        <w:jc w:val="both"/>
        <w:rPr>
          <w:rFonts w:hint="default" w:ascii="Tahoma" w:hAnsi="Tahoma" w:cs="Tahoma"/>
          <w:sz w:val="22"/>
          <w:szCs w:val="22"/>
          <w:u w:val="single"/>
        </w:rPr>
      </w:pPr>
      <w:r>
        <w:rPr>
          <w:rFonts w:hint="default" w:ascii="Tahoma" w:hAnsi="Tahoma" w:cs="Tahoma"/>
          <w:sz w:val="22"/>
          <w:szCs w:val="22"/>
          <w:u w:val="none"/>
        </w:rPr>
        <w:drawing>
          <wp:anchor distT="0" distB="0" distL="114300" distR="114300" simplePos="0" relativeHeight="251667456" behindDoc="0" locked="0" layoutInCell="1" allowOverlap="1">
            <wp:simplePos x="0" y="0"/>
            <wp:positionH relativeFrom="column">
              <wp:posOffset>575945</wp:posOffset>
            </wp:positionH>
            <wp:positionV relativeFrom="paragraph">
              <wp:posOffset>191770</wp:posOffset>
            </wp:positionV>
            <wp:extent cx="4572000" cy="2743200"/>
            <wp:effectExtent l="4445" t="4445" r="14605" b="14605"/>
            <wp:wrapNone/>
            <wp:docPr id="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none"/>
          <w:lang w:val="en-US"/>
        </w:rPr>
      </w:pPr>
      <w:r>
        <w:rPr>
          <w:rFonts w:hint="default" w:ascii="Tahoma" w:hAnsi="Tahoma" w:cs="Tahoma"/>
          <w:sz w:val="22"/>
          <w:szCs w:val="22"/>
          <w:u w:val="none"/>
        </w:rPr>
        <w:drawing>
          <wp:anchor distT="0" distB="0" distL="114300" distR="114300" simplePos="0" relativeHeight="251666432" behindDoc="0" locked="0" layoutInCell="1" allowOverlap="1">
            <wp:simplePos x="0" y="0"/>
            <wp:positionH relativeFrom="column">
              <wp:posOffset>530860</wp:posOffset>
            </wp:positionH>
            <wp:positionV relativeFrom="paragraph">
              <wp:posOffset>219075</wp:posOffset>
            </wp:positionV>
            <wp:extent cx="4572000" cy="2743200"/>
            <wp:effectExtent l="4445" t="4445" r="14605" b="14605"/>
            <wp:wrapNone/>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rFonts w:hint="default" w:ascii="Tahoma" w:hAnsi="Tahoma" w:cs="Tahoma"/>
          <w:sz w:val="22"/>
          <w:szCs w:val="22"/>
          <w:u w:val="none"/>
          <w:lang w:val="en-US"/>
        </w:rPr>
        <w:t>Diagram 7: Relationship between fuel usage and diesel demand</w:t>
      </w: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Diagram: comparison of fuel usage for petrol and diesel  per 100 kilometre</w:t>
      </w: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b/>
          <w:bCs/>
          <w:sz w:val="22"/>
          <w:szCs w:val="22"/>
          <w:u w:val="none"/>
        </w:rPr>
      </w:pPr>
      <w:r>
        <w:rPr>
          <w:rFonts w:hint="default" w:ascii="Tahoma" w:hAnsi="Tahoma" w:cs="Tahoma"/>
          <w:b/>
          <w:bCs/>
          <w:sz w:val="22"/>
          <w:szCs w:val="22"/>
          <w:u w:val="none"/>
        </w:rPr>
        <w:t xml:space="preserve">SECTION </w:t>
      </w:r>
      <w:r>
        <w:rPr>
          <w:rFonts w:hint="default" w:ascii="Tahoma" w:hAnsi="Tahoma" w:cs="Tahoma"/>
          <w:b/>
          <w:bCs/>
          <w:sz w:val="22"/>
          <w:szCs w:val="22"/>
          <w:u w:val="none"/>
          <w:lang w:val="en-US"/>
        </w:rPr>
        <w:t>FIVE</w:t>
      </w:r>
      <w:r>
        <w:rPr>
          <w:rFonts w:hint="default" w:ascii="Tahoma" w:hAnsi="Tahoma" w:cs="Tahoma"/>
          <w:b/>
          <w:bCs/>
          <w:sz w:val="22"/>
          <w:szCs w:val="22"/>
          <w:u w:val="none"/>
        </w:rPr>
        <w:t>- EVIDENCE BASED ANALYSIS OF STRUCTURE, CONDUCT AND PERFORMANCE ISSUES IN THE PRODUCTION O</w:t>
      </w:r>
      <w:r>
        <w:rPr>
          <w:rFonts w:hint="default" w:ascii="Tahoma" w:hAnsi="Tahoma" w:cs="Tahoma"/>
          <w:b/>
          <w:bCs/>
          <w:sz w:val="22"/>
          <w:szCs w:val="22"/>
          <w:u w:val="none"/>
          <w:lang w:val="en-US"/>
        </w:rPr>
        <w:t>F ROAD TRANSPORT FUEL</w:t>
      </w:r>
      <w:r>
        <w:rPr>
          <w:rFonts w:hint="default" w:ascii="Tahoma" w:hAnsi="Tahoma" w:cs="Tahoma"/>
          <w:b/>
          <w:bCs/>
          <w:sz w:val="22"/>
          <w:szCs w:val="22"/>
          <w:u w:val="none"/>
        </w:rPr>
        <w:t xml:space="preserve"> MARKET.</w:t>
      </w:r>
    </w:p>
    <w:p>
      <w:pPr>
        <w:widowControl w:val="0"/>
        <w:autoSpaceDE w:val="0"/>
        <w:autoSpaceDN w:val="0"/>
        <w:adjustRightInd w:val="0"/>
        <w:spacing w:after="240" w:line="360" w:lineRule="auto"/>
        <w:jc w:val="both"/>
        <w:rPr>
          <w:rFonts w:hint="default" w:ascii="Tahoma" w:hAnsi="Tahoma" w:cs="Tahoma"/>
          <w:color w:val="000000" w:themeColor="text1"/>
          <w:sz w:val="22"/>
          <w:szCs w:val="22"/>
          <w14:textFill>
            <w14:solidFill>
              <w14:schemeClr w14:val="tx1"/>
            </w14:solidFill>
          </w14:textFill>
        </w:rPr>
      </w:pPr>
      <w:r>
        <w:rPr>
          <w:rFonts w:hint="default" w:ascii="Tahoma" w:hAnsi="Tahoma" w:cs="Tahoma"/>
          <w:sz w:val="22"/>
          <w:szCs w:val="22"/>
        </w:rPr>
        <w:t>The U</w:t>
      </w:r>
      <w:r>
        <w:rPr>
          <w:rFonts w:hint="default" w:ascii="Tahoma" w:hAnsi="Tahoma" w:cs="Tahoma"/>
          <w:sz w:val="22"/>
          <w:szCs w:val="22"/>
          <w:lang w:val="en-US"/>
        </w:rPr>
        <w:t>K road fuel</w:t>
      </w:r>
      <w:r>
        <w:rPr>
          <w:rFonts w:hint="default" w:ascii="Tahoma" w:hAnsi="Tahoma" w:cs="Tahoma"/>
          <w:sz w:val="22"/>
          <w:szCs w:val="22"/>
        </w:rPr>
        <w:t xml:space="preserve"> market </w:t>
      </w:r>
      <w:r>
        <w:rPr>
          <w:rFonts w:hint="default" w:ascii="Tahoma" w:hAnsi="Tahoma" w:cs="Tahoma"/>
          <w:sz w:val="22"/>
          <w:szCs w:val="22"/>
          <w:lang w:val="en-US"/>
        </w:rPr>
        <w:t xml:space="preserve">is fragmented into three segments - road fuel producers, suppliers and retailers. The first segment which are producers of oil and gas being </w:t>
      </w:r>
      <w:r>
        <w:rPr>
          <w:rFonts w:hint="default" w:ascii="Tahoma" w:hAnsi="Tahoma" w:cs="Tahoma"/>
          <w:sz w:val="22"/>
          <w:szCs w:val="22"/>
        </w:rPr>
        <w:t>le</w:t>
      </w:r>
      <w:r>
        <w:rPr>
          <w:rFonts w:hint="default" w:ascii="Tahoma" w:hAnsi="Tahoma" w:cs="Tahoma"/>
          <w:sz w:val="22"/>
          <w:szCs w:val="22"/>
          <w:lang w:val="en-US"/>
        </w:rPr>
        <w:t>d</w:t>
      </w:r>
      <w:r>
        <w:rPr>
          <w:rFonts w:hint="default" w:ascii="Tahoma" w:hAnsi="Tahoma" w:cs="Tahoma"/>
          <w:sz w:val="22"/>
          <w:szCs w:val="22"/>
        </w:rPr>
        <w:t xml:space="preserve"> </w:t>
      </w:r>
      <w:r>
        <w:rPr>
          <w:rFonts w:hint="default" w:ascii="Tahoma" w:hAnsi="Tahoma" w:cs="Tahoma"/>
          <w:sz w:val="22"/>
          <w:szCs w:val="22"/>
          <w:lang w:val="en-US"/>
        </w:rPr>
        <w:t>by</w:t>
      </w:r>
      <w:r>
        <w:rPr>
          <w:rFonts w:hint="default" w:ascii="Tahoma" w:hAnsi="Tahoma" w:cs="Tahoma"/>
          <w:sz w:val="22"/>
          <w:szCs w:val="22"/>
        </w:rPr>
        <w:t xml:space="preserve"> </w:t>
      </w:r>
      <w:r>
        <w:rPr>
          <w:rFonts w:hint="default" w:ascii="Tahoma" w:hAnsi="Tahoma" w:cs="Tahoma"/>
          <w:sz w:val="22"/>
          <w:szCs w:val="22"/>
          <w:lang w:val="en-US"/>
        </w:rPr>
        <w:t xml:space="preserve">Linde plc </w:t>
      </w:r>
      <w:r>
        <w:rPr>
          <w:rFonts w:hint="default" w:ascii="Tahoma" w:hAnsi="Tahoma" w:cs="Tahoma"/>
          <w:sz w:val="22"/>
          <w:szCs w:val="22"/>
        </w:rPr>
        <w:t>hold</w:t>
      </w:r>
      <w:r>
        <w:rPr>
          <w:rFonts w:hint="default" w:ascii="Tahoma" w:hAnsi="Tahoma" w:cs="Tahoma"/>
          <w:sz w:val="22"/>
          <w:szCs w:val="22"/>
          <w:lang w:val="en-US"/>
        </w:rPr>
        <w:t>s about</w:t>
      </w:r>
      <w:r>
        <w:rPr>
          <w:rFonts w:hint="default" w:ascii="Tahoma" w:hAnsi="Tahoma" w:cs="Tahoma"/>
          <w:sz w:val="22"/>
          <w:szCs w:val="22"/>
        </w:rPr>
        <w:t xml:space="preserve"> 3</w:t>
      </w:r>
      <w:r>
        <w:rPr>
          <w:rFonts w:hint="default" w:ascii="Tahoma" w:hAnsi="Tahoma" w:cs="Tahoma"/>
          <w:sz w:val="22"/>
          <w:szCs w:val="22"/>
          <w:lang w:val="en-US"/>
        </w:rPr>
        <w:t>6</w:t>
      </w:r>
      <w:r>
        <w:rPr>
          <w:rFonts w:hint="default" w:ascii="Tahoma" w:hAnsi="Tahoma" w:cs="Tahoma"/>
          <w:sz w:val="22"/>
          <w:szCs w:val="22"/>
        </w:rPr>
        <w:t xml:space="preserve">% concentration ratio of the market share. </w:t>
      </w:r>
      <w:r>
        <w:rPr>
          <w:rFonts w:hint="default" w:ascii="Tahoma" w:hAnsi="Tahoma" w:cs="Tahoma"/>
          <w:sz w:val="22"/>
          <w:szCs w:val="22"/>
          <w:lang w:val="en-US"/>
        </w:rPr>
        <w:t xml:space="preserve">The second segment which are the suppliers is led by Certas Energy (fueloilnews.co.uk). </w:t>
      </w:r>
      <w:r>
        <w:rPr>
          <w:rFonts w:hint="default" w:ascii="Tahoma" w:hAnsi="Tahoma" w:cs="Tahoma"/>
          <w:sz w:val="22"/>
          <w:szCs w:val="22"/>
        </w:rPr>
        <w:t xml:space="preserve">They supply a range of </w:t>
      </w:r>
      <w:r>
        <w:rPr>
          <w:rFonts w:hint="default" w:ascii="Tahoma" w:hAnsi="Tahoma" w:cs="Tahoma"/>
          <w:sz w:val="22"/>
          <w:szCs w:val="22"/>
          <w:lang w:val="en-US"/>
        </w:rPr>
        <w:t>road fuel</w:t>
      </w:r>
      <w:r>
        <w:rPr>
          <w:rFonts w:hint="default" w:ascii="Tahoma" w:hAnsi="Tahoma" w:cs="Tahoma"/>
          <w:sz w:val="22"/>
          <w:szCs w:val="22"/>
        </w:rPr>
        <w:t xml:space="preserve"> to UK </w:t>
      </w:r>
      <w:r>
        <w:rPr>
          <w:rFonts w:hint="default" w:ascii="Tahoma" w:hAnsi="Tahoma" w:cs="Tahoma"/>
          <w:sz w:val="22"/>
          <w:szCs w:val="22"/>
          <w:lang w:val="en-US"/>
        </w:rPr>
        <w:t>fuel retailers in terms of the number of tankers, owning about 900 tankers in 2020</w:t>
      </w:r>
      <w:r>
        <w:rPr>
          <w:rFonts w:hint="default" w:ascii="Tahoma" w:hAnsi="Tahoma" w:cs="Tahoma"/>
          <w:sz w:val="22"/>
          <w:szCs w:val="22"/>
        </w:rPr>
        <w:t xml:space="preserve">. </w:t>
      </w:r>
      <w:r>
        <w:rPr>
          <w:rFonts w:hint="default" w:ascii="Tahoma" w:hAnsi="Tahoma" w:cs="Tahoma"/>
          <w:sz w:val="22"/>
          <w:szCs w:val="22"/>
          <w:lang w:val="en-US"/>
        </w:rPr>
        <w:t>Statista</w:t>
      </w:r>
      <w:r>
        <w:rPr>
          <w:rFonts w:hint="default" w:ascii="Tahoma" w:hAnsi="Tahoma" w:cs="Tahoma"/>
          <w:sz w:val="22"/>
          <w:szCs w:val="22"/>
        </w:rPr>
        <w:t xml:space="preserve"> (20</w:t>
      </w:r>
      <w:r>
        <w:rPr>
          <w:rFonts w:hint="default" w:ascii="Tahoma" w:hAnsi="Tahoma" w:cs="Tahoma"/>
          <w:sz w:val="22"/>
          <w:szCs w:val="22"/>
          <w:lang w:val="en-US"/>
        </w:rPr>
        <w:t>21</w:t>
      </w:r>
      <w:r>
        <w:rPr>
          <w:rFonts w:hint="default" w:ascii="Tahoma" w:hAnsi="Tahoma" w:cs="Tahoma"/>
          <w:sz w:val="22"/>
          <w:szCs w:val="22"/>
        </w:rPr>
        <w:t>) reports</w:t>
      </w:r>
      <w:r>
        <w:rPr>
          <w:rFonts w:hint="default" w:ascii="Tahoma" w:hAnsi="Tahoma" w:cs="Tahoma"/>
          <w:color w:val="454648"/>
          <w:sz w:val="22"/>
          <w:szCs w:val="22"/>
        </w:rPr>
        <w:t xml:space="preserve"> </w:t>
      </w:r>
      <w:r>
        <w:rPr>
          <w:rFonts w:hint="default" w:ascii="Tahoma" w:hAnsi="Tahoma" w:cs="Tahoma"/>
          <w:color w:val="454648"/>
          <w:sz w:val="22"/>
          <w:szCs w:val="22"/>
          <w:lang w:val="en-US"/>
        </w:rPr>
        <w:t xml:space="preserve">the third segment, </w:t>
      </w:r>
      <w:r>
        <w:rPr>
          <w:rFonts w:hint="default" w:ascii="Tahoma" w:hAnsi="Tahoma" w:cs="Tahoma"/>
          <w:color w:val="000000" w:themeColor="text1"/>
          <w:sz w:val="22"/>
          <w:szCs w:val="22"/>
          <w14:textFill>
            <w14:solidFill>
              <w14:schemeClr w14:val="tx1"/>
            </w14:solidFill>
          </w14:textFill>
        </w:rPr>
        <w:t xml:space="preserve">the UK </w:t>
      </w:r>
      <w:r>
        <w:rPr>
          <w:rFonts w:hint="default" w:ascii="Tahoma" w:hAnsi="Tahoma" w:cs="Tahoma"/>
          <w:color w:val="000000" w:themeColor="text1"/>
          <w:sz w:val="22"/>
          <w:szCs w:val="22"/>
          <w:lang w:val="en-US"/>
          <w14:textFill>
            <w14:solidFill>
              <w14:schemeClr w14:val="tx1"/>
            </w14:solidFill>
          </w14:textFill>
        </w:rPr>
        <w:t>road fuel</w:t>
      </w:r>
      <w:r>
        <w:rPr>
          <w:rFonts w:hint="default" w:ascii="Tahoma" w:hAnsi="Tahoma" w:cs="Tahoma"/>
          <w:color w:val="000000" w:themeColor="text1"/>
          <w:sz w:val="22"/>
          <w:szCs w:val="22"/>
          <w14:textFill>
            <w14:solidFill>
              <w14:schemeClr w14:val="tx1"/>
            </w14:solidFill>
          </w14:textFill>
        </w:rPr>
        <w:t xml:space="preserve"> </w:t>
      </w:r>
      <w:r>
        <w:rPr>
          <w:rFonts w:hint="default" w:ascii="Tahoma" w:hAnsi="Tahoma" w:cs="Tahoma"/>
          <w:color w:val="000000" w:themeColor="text1"/>
          <w:sz w:val="22"/>
          <w:szCs w:val="22"/>
          <w:lang w:val="en-US"/>
          <w14:textFill>
            <w14:solidFill>
              <w14:schemeClr w14:val="tx1"/>
            </w14:solidFill>
          </w14:textFill>
        </w:rPr>
        <w:t xml:space="preserve">retail </w:t>
      </w:r>
      <w:r>
        <w:rPr>
          <w:rFonts w:hint="default" w:ascii="Tahoma" w:hAnsi="Tahoma" w:cs="Tahoma"/>
          <w:color w:val="000000" w:themeColor="text1"/>
          <w:sz w:val="22"/>
          <w:szCs w:val="22"/>
          <w14:textFill>
            <w14:solidFill>
              <w14:schemeClr w14:val="tx1"/>
            </w14:solidFill>
          </w14:textFill>
        </w:rPr>
        <w:t xml:space="preserve">market </w:t>
      </w:r>
      <w:r>
        <w:rPr>
          <w:rFonts w:hint="default" w:ascii="Tahoma" w:hAnsi="Tahoma" w:cs="Tahoma"/>
          <w:color w:val="000000" w:themeColor="text1"/>
          <w:sz w:val="22"/>
          <w:szCs w:val="22"/>
          <w:lang w:val="en-US"/>
          <w14:textFill>
            <w14:solidFill>
              <w14:schemeClr w14:val="tx1"/>
            </w14:solidFill>
          </w14:textFill>
        </w:rPr>
        <w:t>to be categorised by number of fuel sold and by the number of petrol station owned. While Tesco is the retail market leader in terms of the number of road fuel sold in fuel stations in 2020, having about 16% of the market share, the British Petroleum, the multinational oil and gas takes the market lead in terms of the number of petrol stations owned, owning about 15% share of service outlets in UK</w:t>
      </w:r>
      <w:r>
        <w:rPr>
          <w:rFonts w:hint="default" w:ascii="Tahoma" w:hAnsi="Tahoma" w:cs="Tahoma"/>
          <w:color w:val="000000" w:themeColor="text1"/>
          <w:sz w:val="22"/>
          <w:szCs w:val="22"/>
          <w14:textFill>
            <w14:solidFill>
              <w14:schemeClr w14:val="tx1"/>
            </w14:solidFill>
          </w14:textFill>
        </w:rPr>
        <w:t xml:space="preserve">. </w:t>
      </w: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r>
        <w:rPr>
          <w:rFonts w:hint="default" w:ascii="Tahoma" w:hAnsi="Tahoma" w:cs="Tahoma"/>
          <w:color w:val="000000" w:themeColor="text1"/>
          <w:sz w:val="22"/>
          <w:szCs w:val="22"/>
          <w:lang w:val="en-US"/>
          <w14:textFill>
            <w14:solidFill>
              <w14:schemeClr w14:val="tx1"/>
            </w14:solidFill>
          </w14:textFill>
        </w:rPr>
        <w:t xml:space="preserve">The producer segment of the </w:t>
      </w:r>
      <w:r>
        <w:rPr>
          <w:rFonts w:hint="default" w:ascii="Tahoma" w:hAnsi="Tahoma" w:cs="Tahoma"/>
          <w:color w:val="000000" w:themeColor="text1"/>
          <w:sz w:val="22"/>
          <w:szCs w:val="22"/>
          <w14:textFill>
            <w14:solidFill>
              <w14:schemeClr w14:val="tx1"/>
            </w14:solidFill>
          </w14:textFill>
        </w:rPr>
        <w:t xml:space="preserve">market </w:t>
      </w:r>
      <w:r>
        <w:rPr>
          <w:rFonts w:hint="default" w:ascii="Tahoma" w:hAnsi="Tahoma" w:cs="Tahoma"/>
          <w:color w:val="000000" w:themeColor="text1"/>
          <w:sz w:val="22"/>
          <w:szCs w:val="22"/>
          <w:lang w:val="en-US"/>
          <w14:textFill>
            <w14:solidFill>
              <w14:schemeClr w14:val="tx1"/>
            </w14:solidFill>
          </w14:textFill>
        </w:rPr>
        <w:t>is</w:t>
      </w:r>
      <w:r>
        <w:rPr>
          <w:rFonts w:hint="default" w:ascii="Tahoma" w:hAnsi="Tahoma" w:cs="Tahoma"/>
          <w:color w:val="000000" w:themeColor="text1"/>
          <w:sz w:val="22"/>
          <w:szCs w:val="22"/>
          <w14:textFill>
            <w14:solidFill>
              <w14:schemeClr w14:val="tx1"/>
            </w14:solidFill>
          </w14:textFill>
        </w:rPr>
        <w:t xml:space="preserve"> </w:t>
      </w:r>
      <w:r>
        <w:rPr>
          <w:rFonts w:hint="default" w:ascii="Tahoma" w:hAnsi="Tahoma" w:cs="Tahoma"/>
          <w:color w:val="000000" w:themeColor="text1"/>
          <w:sz w:val="22"/>
          <w:szCs w:val="22"/>
          <w:lang w:val="en-US"/>
          <w14:textFill>
            <w14:solidFill>
              <w14:schemeClr w14:val="tx1"/>
            </w14:solidFill>
          </w14:textFill>
        </w:rPr>
        <w:t>fragmented</w:t>
      </w:r>
      <w:r>
        <w:rPr>
          <w:rFonts w:hint="default" w:ascii="Tahoma" w:hAnsi="Tahoma" w:cs="Tahoma"/>
          <w:color w:val="000000" w:themeColor="text1"/>
          <w:sz w:val="22"/>
          <w:szCs w:val="22"/>
          <w14:textFill>
            <w14:solidFill>
              <w14:schemeClr w14:val="tx1"/>
            </w14:solidFill>
          </w14:textFill>
        </w:rPr>
        <w:t xml:space="preserve"> </w:t>
      </w:r>
      <w:r>
        <w:rPr>
          <w:rFonts w:hint="default" w:ascii="Tahoma" w:hAnsi="Tahoma" w:cs="Tahoma"/>
          <w:color w:val="000000" w:themeColor="text1"/>
          <w:sz w:val="22"/>
          <w:szCs w:val="22"/>
          <w:lang w:val="en-US"/>
          <w14:textFill>
            <w14:solidFill>
              <w14:schemeClr w14:val="tx1"/>
            </w14:solidFill>
          </w14:textFill>
        </w:rPr>
        <w:t xml:space="preserve">around the first 5 companies </w:t>
      </w:r>
      <w:r>
        <w:rPr>
          <w:rFonts w:hint="default" w:ascii="Tahoma" w:hAnsi="Tahoma" w:cs="Tahoma"/>
          <w:color w:val="000000" w:themeColor="text1"/>
          <w:sz w:val="22"/>
          <w:szCs w:val="22"/>
          <w14:textFill>
            <w14:solidFill>
              <w14:schemeClr w14:val="tx1"/>
            </w14:solidFill>
          </w14:textFill>
        </w:rPr>
        <w:t xml:space="preserve">which means there </w:t>
      </w:r>
      <w:r>
        <w:rPr>
          <w:rFonts w:hint="default" w:ascii="Tahoma" w:hAnsi="Tahoma" w:cs="Tahoma"/>
          <w:color w:val="000000" w:themeColor="text1"/>
          <w:sz w:val="22"/>
          <w:szCs w:val="22"/>
          <w:lang w:val="en-US"/>
          <w14:textFill>
            <w14:solidFill>
              <w14:schemeClr w14:val="tx1"/>
            </w14:solidFill>
          </w14:textFill>
        </w:rPr>
        <w:t>is low competitiveness at the producers segment level</w:t>
      </w:r>
      <w:r>
        <w:rPr>
          <w:rFonts w:hint="default" w:ascii="Tahoma" w:hAnsi="Tahoma" w:cs="Tahoma"/>
          <w:color w:val="000000" w:themeColor="text1"/>
          <w:sz w:val="22"/>
          <w:szCs w:val="22"/>
          <w14:textFill>
            <w14:solidFill>
              <w14:schemeClr w14:val="tx1"/>
            </w14:solidFill>
          </w14:textFill>
        </w:rPr>
        <w:t xml:space="preserve">. </w:t>
      </w:r>
      <w:r>
        <w:rPr>
          <w:rFonts w:hint="default" w:ascii="Tahoma" w:hAnsi="Tahoma" w:cs="Tahoma"/>
          <w:color w:val="000000" w:themeColor="text1"/>
          <w:sz w:val="22"/>
          <w:szCs w:val="22"/>
          <w:lang w:val="en-US"/>
          <w14:textFill>
            <w14:solidFill>
              <w14:schemeClr w14:val="tx1"/>
            </w14:solidFill>
          </w14:textFill>
        </w:rPr>
        <w:t xml:space="preserve">Linde plc alone which  accounts for about 36% of the market share, 23% higher than the second market leader and equivalently 30% or more higher than the others suggests that Linde is near being a monopoly. The road fuel retail market is less concentrated as many retailers have a fair share of the market- Tesco (15.9%), BP (14.5%), Shell (13.7%). Esso (12.4%), Sansburys (10.2%), Morrisons (9.7%), Asda (7.7%). It means that the retail market is competitive and will be able to provide customers with varieties and good customer services as well as relatively low prices. This rising number of hypermarkets in the UK reduces the monopoly power of the forecourts which according to Statista (2021) reduced by over 35%. Tesco was able to mount its position as the first fuel retail hypermarket selling petrol-boethanol and diesel-biosiesel blend as a response to the UK government’s green low carbon emission policy. </w:t>
      </w: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r>
        <w:rPr>
          <w:rFonts w:hint="default" w:ascii="Tahoma" w:hAnsi="Tahoma" w:cs="Tahoma"/>
          <w:color w:val="000000" w:themeColor="text1"/>
          <w:sz w:val="22"/>
          <w:szCs w:val="22"/>
          <w:lang w:val="en-US"/>
          <w14:textFill>
            <w14:solidFill>
              <w14:schemeClr w14:val="tx1"/>
            </w14:solidFill>
          </w14:textFill>
        </w:rPr>
        <w:t xml:space="preserve">The implication of this for pricing strategy is that companies going into road fuel retail business must maintain the market price as the market is very competitive. It also must take into consideration fuel efficiency and government green policy as these play a great role in determining demand for road fuel. </w:t>
      </w: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r>
        <w:rPr>
          <w:rFonts w:hint="default" w:ascii="Tahoma" w:hAnsi="Tahoma" w:cs="Tahoma"/>
          <w:color w:val="000000" w:themeColor="text1"/>
          <w:sz w:val="22"/>
          <w:szCs w:val="22"/>
          <w:lang w:val="en-US"/>
          <w14:textFill>
            <w14:solidFill>
              <w14:schemeClr w14:val="tx1"/>
            </w14:solidFill>
          </w14:textFill>
        </w:rPr>
        <w:drawing>
          <wp:anchor distT="0" distB="0" distL="114300" distR="114300" simplePos="0" relativeHeight="251669504" behindDoc="0" locked="0" layoutInCell="1" allowOverlap="1">
            <wp:simplePos x="0" y="0"/>
            <wp:positionH relativeFrom="column">
              <wp:posOffset>243205</wp:posOffset>
            </wp:positionH>
            <wp:positionV relativeFrom="paragraph">
              <wp:posOffset>74295</wp:posOffset>
            </wp:positionV>
            <wp:extent cx="4455160" cy="8885555"/>
            <wp:effectExtent l="0" t="0" r="2540" b="10795"/>
            <wp:wrapNone/>
            <wp:docPr id="32" name="Picture 32" descr="Screenshot_20220116-15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_20220116-155857"/>
                    <pic:cNvPicPr>
                      <a:picLocks noChangeAspect="1"/>
                    </pic:cNvPicPr>
                  </pic:nvPicPr>
                  <pic:blipFill>
                    <a:blip r:embed="rId18"/>
                    <a:stretch>
                      <a:fillRect/>
                    </a:stretch>
                  </pic:blipFill>
                  <pic:spPr>
                    <a:xfrm>
                      <a:off x="0" y="0"/>
                      <a:ext cx="4455160" cy="8885555"/>
                    </a:xfrm>
                    <a:prstGeom prst="rect">
                      <a:avLst/>
                    </a:prstGeom>
                  </pic:spPr>
                </pic:pic>
              </a:graphicData>
            </a:graphic>
          </wp:anchor>
        </w:drawing>
      </w: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p>
    <w:p>
      <w:pPr>
        <w:widowControl w:val="0"/>
        <w:autoSpaceDE w:val="0"/>
        <w:autoSpaceDN w:val="0"/>
        <w:adjustRightInd w:val="0"/>
        <w:spacing w:after="240" w:line="360" w:lineRule="auto"/>
        <w:jc w:val="both"/>
        <w:rPr>
          <w:rFonts w:hint="default" w:ascii="Tahoma" w:hAnsi="Tahoma" w:cs="Tahoma"/>
          <w:color w:val="000000" w:themeColor="text1"/>
          <w:sz w:val="22"/>
          <w:szCs w:val="22"/>
          <w:lang w:val="en-US"/>
          <w14:textFill>
            <w14:solidFill>
              <w14:schemeClr w14:val="tx1"/>
            </w14:solidFill>
          </w14:textFill>
        </w:rPr>
      </w:pPr>
      <w:r>
        <w:rPr>
          <w:rFonts w:hint="default" w:ascii="Tahoma" w:hAnsi="Tahoma" w:cs="Tahoma"/>
          <w:color w:val="000000" w:themeColor="text1"/>
          <w:sz w:val="22"/>
          <w:szCs w:val="22"/>
          <w:lang w:val="en-US"/>
          <w14:textFill>
            <w14:solidFill>
              <w14:schemeClr w14:val="tx1"/>
            </w14:solidFill>
          </w14:textFill>
        </w:rPr>
        <w:t>Table 3: UK Fuel Retail Market Concentration. Source: statista.com</w:t>
      </w:r>
    </w:p>
    <w:tbl>
      <w:tblPr>
        <w:tblStyle w:val="6"/>
        <w:tblW w:w="835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783"/>
        <w:gridCol w:w="1608"/>
        <w:gridCol w:w="1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23" w:hRule="atLeast"/>
        </w:trPr>
        <w:tc>
          <w:tcPr>
            <w:tcW w:w="4816" w:type="dxa"/>
            <w:tcBorders>
              <w:top w:val="nil"/>
              <w:left w:val="nil"/>
              <w:bottom w:val="nil"/>
              <w:right w:val="nil"/>
            </w:tcBorders>
            <w:shd w:val="clear" w:color="auto" w:fill="001489"/>
            <w:vAlign w:val="top"/>
          </w:tcPr>
          <w:p>
            <w:pPr>
              <w:keepNext w:val="0"/>
              <w:keepLines w:val="0"/>
              <w:widowControl/>
              <w:suppressLineNumbers w:val="0"/>
              <w:spacing w:line="360" w:lineRule="auto"/>
              <w:jc w:val="both"/>
              <w:textAlignment w:val="top"/>
              <w:rPr>
                <w:rFonts w:hint="default" w:ascii="Tahoma" w:hAnsi="Tahoma" w:cs="Tahoma"/>
                <w:b/>
                <w:bCs/>
                <w:i w:val="0"/>
                <w:iCs w:val="0"/>
                <w:color w:val="FFFFFF"/>
                <w:sz w:val="22"/>
                <w:szCs w:val="22"/>
                <w:u w:val="none"/>
              </w:rPr>
            </w:pPr>
            <w:r>
              <w:rPr>
                <w:rFonts w:hint="default" w:ascii="Tahoma" w:hAnsi="Tahoma" w:eastAsia="SimSun" w:cs="Tahoma"/>
                <w:b/>
                <w:bCs/>
                <w:i w:val="0"/>
                <w:iCs w:val="0"/>
                <w:color w:val="FFFFFF"/>
                <w:kern w:val="0"/>
                <w:sz w:val="22"/>
                <w:szCs w:val="22"/>
                <w:u w:val="none"/>
                <w:lang w:val="en-US" w:eastAsia="zh-CN" w:bidi="ar"/>
              </w:rPr>
              <w:t>Company name</w:t>
            </w:r>
          </w:p>
        </w:tc>
        <w:tc>
          <w:tcPr>
            <w:tcW w:w="1610" w:type="dxa"/>
            <w:tcBorders>
              <w:top w:val="nil"/>
              <w:left w:val="nil"/>
              <w:bottom w:val="nil"/>
              <w:right w:val="nil"/>
            </w:tcBorders>
            <w:shd w:val="clear" w:color="auto" w:fill="001489"/>
            <w:vAlign w:val="top"/>
          </w:tcPr>
          <w:p>
            <w:pPr>
              <w:keepNext w:val="0"/>
              <w:keepLines w:val="0"/>
              <w:widowControl/>
              <w:suppressLineNumbers w:val="0"/>
              <w:spacing w:line="360" w:lineRule="auto"/>
              <w:jc w:val="both"/>
              <w:textAlignment w:val="top"/>
              <w:rPr>
                <w:rFonts w:hint="default" w:ascii="Tahoma" w:hAnsi="Tahoma" w:cs="Tahoma"/>
                <w:b/>
                <w:bCs/>
                <w:i w:val="0"/>
                <w:iCs w:val="0"/>
                <w:color w:val="FFFFFF"/>
                <w:sz w:val="22"/>
                <w:szCs w:val="22"/>
                <w:u w:val="none"/>
              </w:rPr>
            </w:pPr>
            <w:r>
              <w:rPr>
                <w:rFonts w:hint="default" w:ascii="Tahoma" w:hAnsi="Tahoma" w:eastAsia="SimSun" w:cs="Tahoma"/>
                <w:b/>
                <w:bCs/>
                <w:i w:val="0"/>
                <w:iCs w:val="0"/>
                <w:color w:val="FFFFFF"/>
                <w:kern w:val="0"/>
                <w:sz w:val="22"/>
                <w:szCs w:val="22"/>
                <w:u w:val="none"/>
                <w:lang w:val="en-US" w:eastAsia="zh-CN" w:bidi="ar"/>
              </w:rPr>
              <w:t>Operating revenue (Turnover)</w:t>
            </w:r>
            <w:r>
              <w:rPr>
                <w:rFonts w:hint="default" w:ascii="Tahoma" w:hAnsi="Tahoma" w:eastAsia="SimSun" w:cs="Tahoma"/>
                <w:b/>
                <w:bCs/>
                <w:i w:val="0"/>
                <w:iCs w:val="0"/>
                <w:color w:val="FFFFFF"/>
                <w:kern w:val="0"/>
                <w:sz w:val="22"/>
                <w:szCs w:val="22"/>
                <w:u w:val="none"/>
                <w:lang w:val="en-US" w:eastAsia="zh-CN" w:bidi="ar"/>
              </w:rPr>
              <w:br w:type="textWrapping"/>
            </w:r>
            <w:r>
              <w:rPr>
                <w:rFonts w:hint="default" w:ascii="Tahoma" w:hAnsi="Tahoma" w:eastAsia="SimSun" w:cs="Tahoma"/>
                <w:b/>
                <w:bCs/>
                <w:i w:val="0"/>
                <w:iCs w:val="0"/>
                <w:color w:val="FFFFFF"/>
                <w:kern w:val="0"/>
                <w:sz w:val="22"/>
                <w:szCs w:val="22"/>
                <w:u w:val="none"/>
                <w:lang w:val="en-US" w:eastAsia="zh-CN" w:bidi="ar"/>
              </w:rPr>
              <w:t>th GBP Last avail. yr</w:t>
            </w:r>
          </w:p>
        </w:tc>
        <w:tc>
          <w:tcPr>
            <w:tcW w:w="1935"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CONCENTRATION RATIO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LINDE PUBLIC LIMITED COMPANY</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20,371,481</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PHILLIPS 66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7,235,600</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ESSAR OIL (UK)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4,649,299</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KINGSPAN GROUP PUBLIC LIMITED COMPANY</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3,943,537</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PENINSULA PETROLEUM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3,685,809</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SHELL U.K.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3,461,000</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PRAX LINDSEY OIL REFINERY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3,024,356</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BP OIL UK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2,713,000</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INEOS SALES (UK)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1,379,881</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EXXONMOBIL MARINE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1,310,941</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CIRCLE K IRELAND ENERGY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1,078,235</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ESSAR MIDLANDS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1,069,830</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4816" w:type="dxa"/>
            <w:tcBorders>
              <w:top w:val="nil"/>
              <w:left w:val="nil"/>
              <w:bottom w:val="nil"/>
              <w:right w:val="nil"/>
            </w:tcBorders>
            <w:shd w:val="clear" w:color="auto" w:fill="auto"/>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CIRCLE K IRELAND FUELS LIMITED</w:t>
            </w:r>
          </w:p>
        </w:tc>
        <w:tc>
          <w:tcPr>
            <w:tcW w:w="0" w:type="auto"/>
            <w:tcBorders>
              <w:top w:val="nil"/>
              <w:left w:val="nil"/>
              <w:bottom w:val="nil"/>
              <w:right w:val="nil"/>
            </w:tcBorders>
            <w:shd w:val="clear" w:color="auto" w:fill="auto"/>
            <w:noWrap/>
            <w:vAlign w:val="top"/>
          </w:tcPr>
          <w:p>
            <w:pPr>
              <w:keepNext w:val="0"/>
              <w:keepLines w:val="0"/>
              <w:widowControl/>
              <w:suppressLineNumbers w:val="0"/>
              <w:spacing w:line="360" w:lineRule="auto"/>
              <w:jc w:val="both"/>
              <w:textAlignment w:val="top"/>
              <w:rPr>
                <w:rFonts w:hint="default" w:ascii="Tahoma" w:hAnsi="Tahoma" w:cs="Tahoma"/>
                <w:i w:val="0"/>
                <w:iCs w:val="0"/>
                <w:color w:val="333333"/>
                <w:sz w:val="22"/>
                <w:szCs w:val="22"/>
                <w:u w:val="none"/>
              </w:rPr>
            </w:pPr>
            <w:r>
              <w:rPr>
                <w:rFonts w:hint="default" w:ascii="Tahoma" w:hAnsi="Tahoma" w:eastAsia="SimSun" w:cs="Tahoma"/>
                <w:i w:val="0"/>
                <w:iCs w:val="0"/>
                <w:color w:val="333333"/>
                <w:kern w:val="0"/>
                <w:sz w:val="22"/>
                <w:szCs w:val="22"/>
                <w:u w:val="none"/>
                <w:lang w:val="en-US" w:eastAsia="zh-CN" w:bidi="ar"/>
              </w:rPr>
              <w:t>367,453</w:t>
            </w:r>
          </w:p>
        </w:tc>
        <w:tc>
          <w:tcPr>
            <w:tcW w:w="0" w:type="auto"/>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ahoma" w:hAnsi="Tahoma" w:cs="Tahoma"/>
                <w:i w:val="0"/>
                <w:iCs w:val="0"/>
                <w:color w:val="000000"/>
                <w:sz w:val="22"/>
                <w:szCs w:val="22"/>
                <w:u w:val="none"/>
              </w:rPr>
            </w:pPr>
            <w:r>
              <w:rPr>
                <w:rFonts w:hint="default" w:ascii="Tahoma" w:hAnsi="Tahoma" w:eastAsia="SimSun" w:cs="Tahoma"/>
                <w:i w:val="0"/>
                <w:iCs w:val="0"/>
                <w:color w:val="000000"/>
                <w:kern w:val="0"/>
                <w:sz w:val="22"/>
                <w:szCs w:val="22"/>
                <w:u w:val="none"/>
                <w:lang w:val="en-US" w:eastAsia="zh-CN" w:bidi="ar"/>
              </w:rPr>
              <w:t>1%</w:t>
            </w:r>
          </w:p>
        </w:tc>
      </w:tr>
    </w:tbl>
    <w:p>
      <w:pPr>
        <w:widowControl w:val="0"/>
        <w:autoSpaceDE w:val="0"/>
        <w:autoSpaceDN w:val="0"/>
        <w:adjustRightInd w:val="0"/>
        <w:spacing w:after="240" w:line="360" w:lineRule="auto"/>
        <w:jc w:val="both"/>
        <w:rPr>
          <w:rFonts w:hint="default" w:ascii="Tahoma" w:hAnsi="Tahoma" w:cs="Tahoma"/>
          <w:sz w:val="22"/>
          <w:szCs w:val="22"/>
          <w:lang w:val="en-US"/>
        </w:rPr>
      </w:pPr>
      <w:r>
        <w:rPr>
          <w:rFonts w:hint="default" w:ascii="Tahoma" w:hAnsi="Tahoma" w:cs="Tahoma"/>
          <w:sz w:val="22"/>
          <w:szCs w:val="22"/>
          <w:lang w:val="en-US"/>
        </w:rPr>
        <w:t>Table 4: UK fuel producer market share</w:t>
      </w:r>
    </w:p>
    <w:p>
      <w:pPr>
        <w:widowControl w:val="0"/>
        <w:autoSpaceDE w:val="0"/>
        <w:autoSpaceDN w:val="0"/>
        <w:adjustRightInd w:val="0"/>
        <w:spacing w:after="240" w:line="360" w:lineRule="auto"/>
        <w:jc w:val="both"/>
        <w:rPr>
          <w:rFonts w:hint="default" w:ascii="Tahoma" w:hAnsi="Tahoma" w:eastAsia="Roboto" w:cs="Tahoma"/>
          <w:i w:val="0"/>
          <w:iCs w:val="0"/>
          <w:caps w:val="0"/>
          <w:color w:val="222222"/>
          <w:spacing w:val="0"/>
          <w:sz w:val="22"/>
          <w:szCs w:val="22"/>
          <w:shd w:val="clear" w:fill="FFFFFF"/>
          <w:lang w:val="en-US"/>
        </w:rPr>
      </w:pPr>
      <w:r>
        <w:rPr>
          <w:rFonts w:hint="default" w:ascii="Tahoma" w:hAnsi="Tahoma" w:cs="Tahoma"/>
          <w:sz w:val="22"/>
          <w:szCs w:val="22"/>
          <w:lang w:val="en-US"/>
        </w:rPr>
        <w:t xml:space="preserve">The monopoly of Linde plc means that, it has power to control price or output. It has been able to achieve this fame as a result of its 2018 merger. Some members of the UK parliament have shown concerns over mergers at it could disrupt prices, supply and demand. For instance, </w:t>
      </w:r>
      <w:r>
        <w:rPr>
          <w:rFonts w:hint="default" w:ascii="Tahoma" w:hAnsi="Tahoma" w:eastAsia="Roboto" w:cs="Tahoma"/>
          <w:i w:val="0"/>
          <w:iCs w:val="0"/>
          <w:caps w:val="0"/>
          <w:color w:val="222222"/>
          <w:spacing w:val="0"/>
          <w:sz w:val="22"/>
          <w:szCs w:val="22"/>
          <w:shd w:val="clear" w:fill="FFFFFF"/>
        </w:rPr>
        <w:t xml:space="preserve">Conservative MP Robert Halfron </w:t>
      </w:r>
      <w:r>
        <w:rPr>
          <w:rFonts w:hint="default" w:ascii="Tahoma" w:hAnsi="Tahoma" w:eastAsia="Roboto" w:cs="Tahoma"/>
          <w:i w:val="0"/>
          <w:iCs w:val="0"/>
          <w:caps w:val="0"/>
          <w:color w:val="222222"/>
          <w:spacing w:val="0"/>
          <w:sz w:val="22"/>
          <w:szCs w:val="22"/>
          <w:shd w:val="clear" w:fill="FFFFFF"/>
          <w:lang w:val="en-US"/>
        </w:rPr>
        <w:t>wrote his concerns to</w:t>
      </w:r>
      <w:r>
        <w:rPr>
          <w:rFonts w:hint="default" w:ascii="Tahoma" w:hAnsi="Tahoma" w:eastAsia="Roboto" w:cs="Tahoma"/>
          <w:i w:val="0"/>
          <w:iCs w:val="0"/>
          <w:caps w:val="0"/>
          <w:color w:val="222222"/>
          <w:spacing w:val="0"/>
          <w:sz w:val="22"/>
          <w:szCs w:val="22"/>
          <w:shd w:val="clear" w:fill="FFFFFF"/>
        </w:rPr>
        <w:t xml:space="preserve"> Competition and Markets Authority (CMA) </w:t>
      </w:r>
      <w:r>
        <w:rPr>
          <w:rFonts w:hint="default" w:ascii="Tahoma" w:hAnsi="Tahoma" w:eastAsia="Roboto" w:cs="Tahoma"/>
          <w:i w:val="0"/>
          <w:iCs w:val="0"/>
          <w:caps w:val="0"/>
          <w:color w:val="222222"/>
          <w:spacing w:val="0"/>
          <w:sz w:val="22"/>
          <w:szCs w:val="22"/>
          <w:shd w:val="clear" w:fill="FFFFFF"/>
          <w:lang w:val="en-US"/>
        </w:rPr>
        <w:t xml:space="preserve">over the impact of merger of Sainsbury’s-Asda on the prices of petrol and diesel and the unchecked activities of the producers segment. </w:t>
      </w:r>
    </w:p>
    <w:p>
      <w:pPr>
        <w:widowControl w:val="0"/>
        <w:autoSpaceDE w:val="0"/>
        <w:autoSpaceDN w:val="0"/>
        <w:adjustRightInd w:val="0"/>
        <w:spacing w:after="240" w:line="360" w:lineRule="auto"/>
        <w:jc w:val="both"/>
        <w:rPr>
          <w:rFonts w:hint="default" w:ascii="Tahoma" w:hAnsi="Tahoma" w:eastAsia="Roboto" w:cs="Tahoma"/>
          <w:i w:val="0"/>
          <w:iCs w:val="0"/>
          <w:caps w:val="0"/>
          <w:color w:val="222222"/>
          <w:spacing w:val="0"/>
          <w:sz w:val="22"/>
          <w:szCs w:val="22"/>
          <w:shd w:val="clear" w:fill="FFFFFF"/>
          <w:lang w:val="en-US"/>
        </w:rPr>
      </w:pPr>
    </w:p>
    <w:p>
      <w:pPr>
        <w:widowControl w:val="0"/>
        <w:autoSpaceDE w:val="0"/>
        <w:autoSpaceDN w:val="0"/>
        <w:adjustRightInd w:val="0"/>
        <w:spacing w:after="240" w:line="360" w:lineRule="auto"/>
        <w:jc w:val="both"/>
        <w:rPr>
          <w:rFonts w:hint="default" w:ascii="Tahoma" w:hAnsi="Tahoma" w:cs="Tahoma"/>
          <w:sz w:val="22"/>
          <w:szCs w:val="22"/>
          <w:u w:val="single"/>
        </w:rPr>
      </w:pPr>
      <w:r>
        <w:rPr>
          <w:rFonts w:hint="default" w:ascii="Tahoma" w:hAnsi="Tahoma" w:cs="Tahoma"/>
          <w:sz w:val="22"/>
          <w:szCs w:val="22"/>
        </w:rPr>
        <w:drawing>
          <wp:anchor distT="0" distB="0" distL="114300" distR="114300" simplePos="0" relativeHeight="251665408" behindDoc="0" locked="0" layoutInCell="1" allowOverlap="1">
            <wp:simplePos x="0" y="0"/>
            <wp:positionH relativeFrom="column">
              <wp:posOffset>162560</wp:posOffset>
            </wp:positionH>
            <wp:positionV relativeFrom="paragraph">
              <wp:posOffset>267970</wp:posOffset>
            </wp:positionV>
            <wp:extent cx="3776345" cy="2971165"/>
            <wp:effectExtent l="4445" t="4445" r="10160" b="15240"/>
            <wp:wrapNone/>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rFonts w:hint="default" w:ascii="Tahoma" w:hAnsi="Tahoma" w:cs="Tahoma"/>
          <w:sz w:val="22"/>
          <w:szCs w:val="22"/>
          <w:u w:val="single"/>
        </w:rPr>
        <w:t xml:space="preserve">Turnover of leading companies within the UK </w:t>
      </w:r>
      <w:r>
        <w:rPr>
          <w:rFonts w:hint="default" w:ascii="Tahoma" w:hAnsi="Tahoma" w:cs="Tahoma"/>
          <w:sz w:val="22"/>
          <w:szCs w:val="22"/>
          <w:u w:val="single"/>
          <w:lang w:val="en-US"/>
        </w:rPr>
        <w:t>Road Fuel</w:t>
      </w:r>
      <w:r>
        <w:rPr>
          <w:rFonts w:hint="default" w:ascii="Tahoma" w:hAnsi="Tahoma" w:cs="Tahoma"/>
          <w:sz w:val="22"/>
          <w:szCs w:val="22"/>
          <w:u w:val="single"/>
        </w:rPr>
        <w:t xml:space="preserve"> </w:t>
      </w:r>
      <w:r>
        <w:rPr>
          <w:rFonts w:hint="default" w:ascii="Tahoma" w:hAnsi="Tahoma" w:cs="Tahoma"/>
          <w:sz w:val="22"/>
          <w:szCs w:val="22"/>
          <w:u w:val="single"/>
          <w:lang w:val="en-US"/>
        </w:rPr>
        <w:t xml:space="preserve">producer </w:t>
      </w:r>
      <w:r>
        <w:rPr>
          <w:rFonts w:hint="default" w:ascii="Tahoma" w:hAnsi="Tahoma" w:cs="Tahoma"/>
          <w:sz w:val="22"/>
          <w:szCs w:val="22"/>
          <w:u w:val="single"/>
        </w:rPr>
        <w:t>market</w:t>
      </w:r>
    </w:p>
    <w:p>
      <w:pPr>
        <w:widowControl w:val="0"/>
        <w:autoSpaceDE w:val="0"/>
        <w:autoSpaceDN w:val="0"/>
        <w:adjustRightInd w:val="0"/>
        <w:spacing w:after="240"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spacing w:line="360" w:lineRule="auto"/>
        <w:jc w:val="both"/>
        <w:rPr>
          <w:rFonts w:hint="default" w:ascii="Tahoma" w:hAnsi="Tahoma" w:cs="Tahoma"/>
          <w:sz w:val="22"/>
          <w:szCs w:val="22"/>
          <w:u w:val="single"/>
        </w:rPr>
      </w:pPr>
    </w:p>
    <w:p>
      <w:pPr>
        <w:widowControl w:val="0"/>
        <w:autoSpaceDE w:val="0"/>
        <w:autoSpaceDN w:val="0"/>
        <w:adjustRightInd w:val="0"/>
        <w:spacing w:after="240" w:line="360" w:lineRule="auto"/>
        <w:jc w:val="both"/>
        <w:rPr>
          <w:rFonts w:hint="default" w:ascii="Tahoma" w:hAnsi="Tahoma" w:cs="Tahoma"/>
          <w:sz w:val="22"/>
          <w:szCs w:val="22"/>
          <w:u w:val="none"/>
        </w:rPr>
      </w:pPr>
      <w:r>
        <w:rPr>
          <w:rFonts w:hint="default" w:ascii="Tahoma" w:hAnsi="Tahoma" w:cs="Tahoma"/>
          <w:sz w:val="22"/>
          <w:szCs w:val="22"/>
          <w:u w:val="none"/>
          <w:lang w:val="en-US"/>
        </w:rPr>
        <w:t xml:space="preserve">Diagram 9: </w:t>
      </w:r>
      <w:r>
        <w:rPr>
          <w:rFonts w:hint="default" w:ascii="Tahoma" w:hAnsi="Tahoma" w:cs="Tahoma"/>
          <w:sz w:val="22"/>
          <w:szCs w:val="22"/>
          <w:u w:val="none"/>
        </w:rPr>
        <w:t xml:space="preserve">Turnover of leading companies within the UK </w:t>
      </w:r>
      <w:r>
        <w:rPr>
          <w:rFonts w:hint="default" w:ascii="Tahoma" w:hAnsi="Tahoma" w:cs="Tahoma"/>
          <w:sz w:val="22"/>
          <w:szCs w:val="22"/>
          <w:u w:val="none"/>
          <w:lang w:val="en-US"/>
        </w:rPr>
        <w:t>Road Fuel</w:t>
      </w:r>
      <w:r>
        <w:rPr>
          <w:rFonts w:hint="default" w:ascii="Tahoma" w:hAnsi="Tahoma" w:cs="Tahoma"/>
          <w:sz w:val="22"/>
          <w:szCs w:val="22"/>
          <w:u w:val="none"/>
        </w:rPr>
        <w:t xml:space="preserve"> market</w:t>
      </w: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spacing w:line="360" w:lineRule="auto"/>
        <w:jc w:val="both"/>
        <w:rPr>
          <w:rFonts w:hint="default" w:ascii="Tahoma" w:hAnsi="Tahoma" w:cs="Tahoma"/>
          <w:sz w:val="22"/>
          <w:szCs w:val="22"/>
          <w:u w:val="single"/>
          <w:lang w:val="en-US"/>
        </w:rPr>
      </w:pPr>
    </w:p>
    <w:p>
      <w:pPr>
        <w:tabs>
          <w:tab w:val="left" w:pos="1440"/>
        </w:tabs>
        <w:spacing w:line="360" w:lineRule="auto"/>
        <w:ind w:left="0" w:leftChars="0" w:firstLine="0" w:firstLineChars="0"/>
        <w:jc w:val="both"/>
        <w:rPr>
          <w:rFonts w:hint="default" w:ascii="Tahoma" w:hAnsi="Tahoma" w:cs="Tahoma"/>
          <w:sz w:val="22"/>
          <w:szCs w:val="22"/>
        </w:rPr>
      </w:pPr>
      <w:r>
        <w:rPr>
          <w:rFonts w:hint="default" w:ascii="Tahoma" w:hAnsi="Tahoma" w:cs="Tahoma"/>
          <w:sz w:val="22"/>
          <w:szCs w:val="22"/>
        </w:rPr>
        <w:br w:type="page"/>
      </w:r>
    </w:p>
    <w:p>
      <w:pPr>
        <w:spacing w:line="360" w:lineRule="auto"/>
        <w:jc w:val="both"/>
        <w:rPr>
          <w:rFonts w:hint="default" w:ascii="Tahoma" w:hAnsi="Tahoma" w:cs="Tahoma"/>
          <w:sz w:val="22"/>
          <w:szCs w:val="22"/>
        </w:rPr>
      </w:pPr>
    </w:p>
    <w:p>
      <w:pPr>
        <w:spacing w:line="360" w:lineRule="auto"/>
        <w:jc w:val="both"/>
        <w:rPr>
          <w:rFonts w:hint="default" w:ascii="Tahoma" w:hAnsi="Tahoma" w:cs="Tahoma"/>
          <w:b/>
          <w:bCs/>
          <w:sz w:val="22"/>
          <w:szCs w:val="22"/>
          <w:u w:val="none"/>
        </w:rPr>
      </w:pPr>
      <w:r>
        <w:rPr>
          <w:rFonts w:hint="default" w:ascii="Tahoma" w:hAnsi="Tahoma" w:cs="Tahoma"/>
          <w:b/>
          <w:bCs/>
          <w:sz w:val="22"/>
          <w:szCs w:val="22"/>
          <w:u w:val="none"/>
        </w:rPr>
        <w:t xml:space="preserve">SECTION </w:t>
      </w:r>
      <w:r>
        <w:rPr>
          <w:rFonts w:hint="default" w:ascii="Tahoma" w:hAnsi="Tahoma" w:cs="Tahoma"/>
          <w:b/>
          <w:bCs/>
          <w:sz w:val="22"/>
          <w:szCs w:val="22"/>
          <w:u w:val="none"/>
          <w:lang w:val="en-US"/>
        </w:rPr>
        <w:t>SIX</w:t>
      </w:r>
      <w:r>
        <w:rPr>
          <w:rFonts w:hint="default" w:ascii="Tahoma" w:hAnsi="Tahoma" w:cs="Tahoma"/>
          <w:b/>
          <w:bCs/>
          <w:sz w:val="22"/>
          <w:szCs w:val="22"/>
          <w:u w:val="none"/>
        </w:rPr>
        <w:t>- CONCLUSION OF RELEVANT FINDINGS</w:t>
      </w:r>
    </w:p>
    <w:p>
      <w:p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The report analyses the road transport fuel market in the UK providing insights into the factor that affect pricing strategy and government tax strategy. It also gives detailed analysis of structure, conduct and performance of the market. It also delves to inform of the impact of covid-19 and the fuel shortage crisis in the UK IN 2021. Based on our analysis, the following findings ensue:</w:t>
      </w:r>
    </w:p>
    <w:p>
      <w:pPr>
        <w:numPr>
          <w:ilvl w:val="0"/>
          <w:numId w:val="1"/>
        </w:num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Red diesel will be discontinued in April 2022. firms, individuals having stocks of red diesel should run down on their inventory before the deadline.</w:t>
      </w:r>
    </w:p>
    <w:p>
      <w:pPr>
        <w:numPr>
          <w:ilvl w:val="0"/>
          <w:numId w:val="1"/>
        </w:num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The UK government is hellbent at ensuring green economy of the UK. All road fuel are mandated to be biofuel.</w:t>
      </w:r>
    </w:p>
    <w:p>
      <w:pPr>
        <w:numPr>
          <w:ilvl w:val="0"/>
          <w:numId w:val="1"/>
        </w:num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For any firm entering the downstream market of road must understand that the market is very competitive and government policy has a great impact at shaping demand.</w:t>
      </w:r>
    </w:p>
    <w:p>
      <w:pPr>
        <w:numPr>
          <w:ilvl w:val="0"/>
          <w:numId w:val="1"/>
        </w:num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Road fuel is a global commodity whose product and factor prices are almost equalized. That is, the prices are relatively the same all over the world so no singular firm is large enough to influence price and quantity at the same time.</w:t>
      </w:r>
    </w:p>
    <w:p>
      <w:pPr>
        <w:numPr>
          <w:ilvl w:val="0"/>
          <w:numId w:val="1"/>
        </w:num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While the demand for petrol depends on its price and other factors that affect fuel demand in the UK, the demand for diesel is largely dependent on the fuel efficiency and government policy.</w:t>
      </w:r>
    </w:p>
    <w:p>
      <w:pPr>
        <w:numPr>
          <w:ilvl w:val="0"/>
          <w:numId w:val="1"/>
        </w:numPr>
        <w:spacing w:line="360" w:lineRule="auto"/>
        <w:jc w:val="both"/>
        <w:rPr>
          <w:rFonts w:hint="default" w:ascii="Tahoma" w:hAnsi="Tahoma" w:cs="Tahoma"/>
          <w:sz w:val="22"/>
          <w:szCs w:val="22"/>
          <w:u w:val="none"/>
          <w:lang w:val="en-US"/>
        </w:rPr>
      </w:pPr>
      <w:r>
        <w:rPr>
          <w:rFonts w:hint="default" w:ascii="Tahoma" w:hAnsi="Tahoma" w:cs="Tahoma"/>
          <w:sz w:val="22"/>
          <w:szCs w:val="22"/>
          <w:u w:val="none"/>
          <w:lang w:val="en-US"/>
        </w:rPr>
        <w:t>Covid-19 is a temporary factor in demand for road fuel in the UK as the good has become a neccesity. However, the factors that led to the fuel shortage could linger in the long run.</w:t>
      </w:r>
    </w:p>
    <w:p>
      <w:pPr>
        <w:numPr>
          <w:ilvl w:val="0"/>
          <w:numId w:val="1"/>
        </w:numPr>
        <w:spacing w:line="360" w:lineRule="auto"/>
        <w:ind w:left="0" w:leftChars="0" w:firstLine="0" w:firstLineChars="0"/>
        <w:jc w:val="both"/>
        <w:rPr>
          <w:rFonts w:hint="default" w:ascii="Tahoma" w:hAnsi="Tahoma" w:cs="Tahoma"/>
          <w:sz w:val="22"/>
          <w:szCs w:val="22"/>
          <w:lang w:val="en-US"/>
        </w:rPr>
      </w:pPr>
      <w:r>
        <w:rPr>
          <w:rFonts w:hint="default" w:ascii="Tahoma" w:hAnsi="Tahoma" w:cs="Tahoma"/>
          <w:sz w:val="22"/>
          <w:szCs w:val="22"/>
          <w:lang w:val="en-US"/>
        </w:rPr>
        <w:t>The renewable energy will take a large percentage of energy supply in the UK in the future.</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r>
        <w:rPr>
          <w:rFonts w:hint="default" w:ascii="Tahoma" w:hAnsi="Tahoma" w:cs="Tahoma"/>
          <w:sz w:val="22"/>
          <w:szCs w:val="22"/>
        </w:rPr>
        <w:br w:type="page"/>
      </w:r>
    </w:p>
    <w:p>
      <w:pPr>
        <w:spacing w:line="360" w:lineRule="auto"/>
        <w:jc w:val="both"/>
        <w:rPr>
          <w:rFonts w:hint="default" w:ascii="Tahoma" w:hAnsi="Tahoma" w:cs="Tahoma"/>
          <w:sz w:val="22"/>
          <w:szCs w:val="22"/>
          <w:u w:val="single"/>
        </w:rPr>
      </w:pPr>
      <w:r>
        <w:rPr>
          <w:rFonts w:hint="default" w:ascii="Tahoma" w:hAnsi="Tahoma" w:cs="Tahoma"/>
          <w:sz w:val="22"/>
          <w:szCs w:val="22"/>
          <w:u w:val="single"/>
        </w:rPr>
        <w:t xml:space="preserve">References </w:t>
      </w:r>
    </w:p>
    <w:p>
      <w:pPr>
        <w:spacing w:line="360" w:lineRule="auto"/>
        <w:jc w:val="both"/>
        <w:rPr>
          <w:rFonts w:hint="default" w:ascii="Tahoma" w:hAnsi="Tahoma" w:cs="Tahoma"/>
          <w:sz w:val="22"/>
          <w:szCs w:val="22"/>
        </w:rPr>
      </w:pPr>
    </w:p>
    <w:p>
      <w:pPr>
        <w:spacing w:line="360" w:lineRule="auto"/>
        <w:jc w:val="both"/>
        <w:rPr>
          <w:rFonts w:hint="default" w:ascii="Tahoma" w:hAnsi="Tahoma" w:cs="Tahoma"/>
          <w:sz w:val="22"/>
          <w:szCs w:val="22"/>
        </w:rPr>
      </w:pPr>
    </w:p>
    <w:sectPr>
      <w:footerReference r:id="rId6" w:type="first"/>
      <w:footerReference r:id="rId4" w:type="default"/>
      <w:headerReference r:id="rId3" w:type="even"/>
      <w:footerReference r:id="rId5" w:type="even"/>
      <w:pgSz w:w="11900" w:h="16840"/>
      <w:pgMar w:top="765" w:right="1440" w:bottom="388" w:left="99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504020202020204"/>
    <w:charset w:val="4D"/>
    <w:family w:val="swiss"/>
    <w:pitch w:val="default"/>
    <w:sig w:usb0="00000000" w:usb1="00000000" w:usb2="00000000" w:usb3="00000000" w:csb0="00000001"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val="en-GB"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10236200</wp:posOffset>
              </wp:positionV>
              <wp:extent cx="7556500" cy="266700"/>
              <wp:effectExtent l="0" t="0" r="0" b="0"/>
              <wp:wrapNone/>
              <wp:docPr id="4" name="MSIPCMc28d4d86bd91c3475d06ebbe" descr="{&quot;HashCode&quot;:26981837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wps:spPr>
                    <wps:txbx>
                      <w:txbxContent>
                        <w:p>
                          <w:pPr>
                            <w:rPr>
                              <w:rFonts w:ascii="Calibri" w:hAnsi="Calibri" w:cs="Calibri"/>
                              <w:color w:val="000000"/>
                            </w:rPr>
                          </w:pPr>
                          <w:r>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c28d4d86bd91c3475d06ebbe" o:spid="_x0000_s1026" o:spt="202" alt="{&quot;HashCode&quot;:269818377,&quot;Height&quot;:842.0,&quot;Width&quot;:595.0,&quot;Placement&quot;:&quot;Footer&quot;,&quot;Index&quot;:&quot;FirstPage&quot;,&quot;Section&quot;:1,&quot;Top&quot;:0.0,&quot;Left&quot;:0.0}" type="#_x0000_t202" style="position:absolute;left:0pt;margin-left:0pt;margin-top:806pt;height:21pt;width:595pt;mso-position-horizontal-relative:page;mso-position-vertical-relative:page;z-index:251659264;v-text-anchor:bottom;mso-width-relative:page;mso-height-relative:page;" filled="f" stroked="f" coordsize="21600,21600" o:allowincell="f" o:gfxdata="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2F7TptYAAAALAQAADwAAAAAAAAABACAAAAAiAAAAZHJzL2Rv&#10;d25yZXYueG1sUEsBAhQAFAAAAAgAh07iQEsO6BquAgAAXAUAAA4AAAAAAAAAAQAgAAAAJQEAAGRy&#10;cy9lMm9Eb2MueG1sUEsFBgAAAAAGAAYAWQEAAEUGAAAAAA==&#10;">
              <v:fill on="f" focussize="0,0"/>
              <v:stroke on="f" weight="0.5pt"/>
              <v:imagedata o:title=""/>
              <o:lock v:ext="edit" aspectratio="f"/>
              <v:textbox inset="20pt,0mm,2.54mm,0mm">
                <w:txbxContent>
                  <w:p>
                    <w:pPr>
                      <w:rPr>
                        <w:rFonts w:ascii="Calibri" w:hAnsi="Calibri" w:cs="Calibri"/>
                        <w:color w:val="000000"/>
                      </w:rPr>
                    </w:pPr>
                    <w:r>
                      <w:rPr>
                        <w:rFonts w:ascii="Calibri" w:hAnsi="Calibri" w:cs="Calibri"/>
                        <w:color w:val="000000"/>
                      </w:rPr>
                      <w:t>Sensitivity: Internal</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25EAE"/>
    <w:multiLevelType w:val="singleLevel"/>
    <w:tmpl w:val="F9625E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594"/>
    <w:rsid w:val="000170A9"/>
    <w:rsid w:val="000172BF"/>
    <w:rsid w:val="0002266B"/>
    <w:rsid w:val="00032FE1"/>
    <w:rsid w:val="00041A01"/>
    <w:rsid w:val="00050949"/>
    <w:rsid w:val="000543F6"/>
    <w:rsid w:val="00077592"/>
    <w:rsid w:val="00081AD3"/>
    <w:rsid w:val="00081ED4"/>
    <w:rsid w:val="000B48C8"/>
    <w:rsid w:val="000D21AF"/>
    <w:rsid w:val="000D5AE8"/>
    <w:rsid w:val="000E0CF5"/>
    <w:rsid w:val="000E3A94"/>
    <w:rsid w:val="00104C5A"/>
    <w:rsid w:val="001114AA"/>
    <w:rsid w:val="001342CB"/>
    <w:rsid w:val="001411EB"/>
    <w:rsid w:val="00152500"/>
    <w:rsid w:val="00157A69"/>
    <w:rsid w:val="00167097"/>
    <w:rsid w:val="001671C3"/>
    <w:rsid w:val="001803A4"/>
    <w:rsid w:val="0018105B"/>
    <w:rsid w:val="00181D24"/>
    <w:rsid w:val="00183621"/>
    <w:rsid w:val="00186544"/>
    <w:rsid w:val="001A67DA"/>
    <w:rsid w:val="001B4BE8"/>
    <w:rsid w:val="001B52D2"/>
    <w:rsid w:val="001D1DB6"/>
    <w:rsid w:val="001D6103"/>
    <w:rsid w:val="001E7350"/>
    <w:rsid w:val="0021221E"/>
    <w:rsid w:val="0021495A"/>
    <w:rsid w:val="002173F4"/>
    <w:rsid w:val="002338DB"/>
    <w:rsid w:val="00234686"/>
    <w:rsid w:val="00244E40"/>
    <w:rsid w:val="00255800"/>
    <w:rsid w:val="00255E07"/>
    <w:rsid w:val="002577E5"/>
    <w:rsid w:val="00273CB6"/>
    <w:rsid w:val="00275205"/>
    <w:rsid w:val="002759AA"/>
    <w:rsid w:val="00280B40"/>
    <w:rsid w:val="00286F7B"/>
    <w:rsid w:val="00294CBB"/>
    <w:rsid w:val="002977A9"/>
    <w:rsid w:val="002B1ACC"/>
    <w:rsid w:val="002C1C94"/>
    <w:rsid w:val="002C22D4"/>
    <w:rsid w:val="002C5662"/>
    <w:rsid w:val="002C6A6B"/>
    <w:rsid w:val="002E1D21"/>
    <w:rsid w:val="002E552C"/>
    <w:rsid w:val="002F0415"/>
    <w:rsid w:val="00321E70"/>
    <w:rsid w:val="003409FC"/>
    <w:rsid w:val="00347C23"/>
    <w:rsid w:val="003517BD"/>
    <w:rsid w:val="00352398"/>
    <w:rsid w:val="00356C69"/>
    <w:rsid w:val="00366195"/>
    <w:rsid w:val="00371941"/>
    <w:rsid w:val="00376AA3"/>
    <w:rsid w:val="00392388"/>
    <w:rsid w:val="00395E71"/>
    <w:rsid w:val="003973BA"/>
    <w:rsid w:val="003A13F1"/>
    <w:rsid w:val="003A3E5B"/>
    <w:rsid w:val="003A4817"/>
    <w:rsid w:val="003A6038"/>
    <w:rsid w:val="003B220B"/>
    <w:rsid w:val="003B2839"/>
    <w:rsid w:val="003B30D5"/>
    <w:rsid w:val="003C6735"/>
    <w:rsid w:val="003D778E"/>
    <w:rsid w:val="003E550A"/>
    <w:rsid w:val="003F2DFB"/>
    <w:rsid w:val="003F4985"/>
    <w:rsid w:val="00403729"/>
    <w:rsid w:val="00406D33"/>
    <w:rsid w:val="00407EEF"/>
    <w:rsid w:val="004127B7"/>
    <w:rsid w:val="0042381B"/>
    <w:rsid w:val="004338A8"/>
    <w:rsid w:val="00435B9D"/>
    <w:rsid w:val="00455632"/>
    <w:rsid w:val="00462022"/>
    <w:rsid w:val="004709E0"/>
    <w:rsid w:val="00486FCF"/>
    <w:rsid w:val="0049028C"/>
    <w:rsid w:val="004A2FCC"/>
    <w:rsid w:val="004B399A"/>
    <w:rsid w:val="004D3719"/>
    <w:rsid w:val="004E05AF"/>
    <w:rsid w:val="004E1611"/>
    <w:rsid w:val="00504E89"/>
    <w:rsid w:val="00505D85"/>
    <w:rsid w:val="0050663A"/>
    <w:rsid w:val="0051444D"/>
    <w:rsid w:val="00523034"/>
    <w:rsid w:val="00532190"/>
    <w:rsid w:val="00550B30"/>
    <w:rsid w:val="00555321"/>
    <w:rsid w:val="005556BF"/>
    <w:rsid w:val="0056528C"/>
    <w:rsid w:val="00565A4E"/>
    <w:rsid w:val="00566CFE"/>
    <w:rsid w:val="00582C8D"/>
    <w:rsid w:val="00583855"/>
    <w:rsid w:val="00594A7A"/>
    <w:rsid w:val="00597FC1"/>
    <w:rsid w:val="005B17A8"/>
    <w:rsid w:val="005C1B0D"/>
    <w:rsid w:val="005C7782"/>
    <w:rsid w:val="005D01AE"/>
    <w:rsid w:val="005D663C"/>
    <w:rsid w:val="005E4010"/>
    <w:rsid w:val="0060684E"/>
    <w:rsid w:val="00630C7C"/>
    <w:rsid w:val="00652389"/>
    <w:rsid w:val="006601D1"/>
    <w:rsid w:val="00690A22"/>
    <w:rsid w:val="006A6E49"/>
    <w:rsid w:val="006B1E9C"/>
    <w:rsid w:val="006B4BBF"/>
    <w:rsid w:val="006B6E23"/>
    <w:rsid w:val="006C159A"/>
    <w:rsid w:val="006C44F7"/>
    <w:rsid w:val="006D463D"/>
    <w:rsid w:val="006D7EFC"/>
    <w:rsid w:val="006F6B76"/>
    <w:rsid w:val="007210E9"/>
    <w:rsid w:val="00737CA3"/>
    <w:rsid w:val="00741FC0"/>
    <w:rsid w:val="007508AB"/>
    <w:rsid w:val="007872CA"/>
    <w:rsid w:val="00790A7F"/>
    <w:rsid w:val="007A2946"/>
    <w:rsid w:val="007A4E6A"/>
    <w:rsid w:val="007D2CE8"/>
    <w:rsid w:val="007D5753"/>
    <w:rsid w:val="007E09C3"/>
    <w:rsid w:val="007F131E"/>
    <w:rsid w:val="007F43EF"/>
    <w:rsid w:val="007F4A08"/>
    <w:rsid w:val="00800EE4"/>
    <w:rsid w:val="008024EA"/>
    <w:rsid w:val="00803FC2"/>
    <w:rsid w:val="00823702"/>
    <w:rsid w:val="008406E5"/>
    <w:rsid w:val="008476D8"/>
    <w:rsid w:val="008669DA"/>
    <w:rsid w:val="0088723C"/>
    <w:rsid w:val="00890BA4"/>
    <w:rsid w:val="008A35B8"/>
    <w:rsid w:val="008A3B94"/>
    <w:rsid w:val="008B1C77"/>
    <w:rsid w:val="008C14D1"/>
    <w:rsid w:val="008D4E0A"/>
    <w:rsid w:val="008E4AB5"/>
    <w:rsid w:val="008F2059"/>
    <w:rsid w:val="008F6AC8"/>
    <w:rsid w:val="00901B79"/>
    <w:rsid w:val="00902009"/>
    <w:rsid w:val="00903ABB"/>
    <w:rsid w:val="00920AD3"/>
    <w:rsid w:val="009256A0"/>
    <w:rsid w:val="009317F6"/>
    <w:rsid w:val="0093740D"/>
    <w:rsid w:val="00953866"/>
    <w:rsid w:val="00971A17"/>
    <w:rsid w:val="00973B61"/>
    <w:rsid w:val="00985508"/>
    <w:rsid w:val="009916AD"/>
    <w:rsid w:val="009A1159"/>
    <w:rsid w:val="009A4E30"/>
    <w:rsid w:val="009A4F1B"/>
    <w:rsid w:val="009A640D"/>
    <w:rsid w:val="009A7951"/>
    <w:rsid w:val="009B3393"/>
    <w:rsid w:val="009C4B4B"/>
    <w:rsid w:val="009D279B"/>
    <w:rsid w:val="009E75A7"/>
    <w:rsid w:val="009E7632"/>
    <w:rsid w:val="009F40E5"/>
    <w:rsid w:val="00A022CF"/>
    <w:rsid w:val="00A05DB1"/>
    <w:rsid w:val="00A078B5"/>
    <w:rsid w:val="00A154A2"/>
    <w:rsid w:val="00A17B3C"/>
    <w:rsid w:val="00A20911"/>
    <w:rsid w:val="00A210E1"/>
    <w:rsid w:val="00A26BC6"/>
    <w:rsid w:val="00A31601"/>
    <w:rsid w:val="00A5335F"/>
    <w:rsid w:val="00A61DD5"/>
    <w:rsid w:val="00A63BEE"/>
    <w:rsid w:val="00A72692"/>
    <w:rsid w:val="00A87CBA"/>
    <w:rsid w:val="00A948B3"/>
    <w:rsid w:val="00A97961"/>
    <w:rsid w:val="00AA2CE3"/>
    <w:rsid w:val="00AA533D"/>
    <w:rsid w:val="00AB2A07"/>
    <w:rsid w:val="00AB5FDC"/>
    <w:rsid w:val="00AC515D"/>
    <w:rsid w:val="00AD0412"/>
    <w:rsid w:val="00AF3817"/>
    <w:rsid w:val="00B01922"/>
    <w:rsid w:val="00B033DF"/>
    <w:rsid w:val="00B23C49"/>
    <w:rsid w:val="00B265AE"/>
    <w:rsid w:val="00B56804"/>
    <w:rsid w:val="00B57607"/>
    <w:rsid w:val="00B60AD2"/>
    <w:rsid w:val="00B656B5"/>
    <w:rsid w:val="00B76A59"/>
    <w:rsid w:val="00B76F8F"/>
    <w:rsid w:val="00B77E56"/>
    <w:rsid w:val="00BC28EA"/>
    <w:rsid w:val="00BC7FC6"/>
    <w:rsid w:val="00BD449E"/>
    <w:rsid w:val="00BE60E8"/>
    <w:rsid w:val="00C073C0"/>
    <w:rsid w:val="00C12A0C"/>
    <w:rsid w:val="00C24E60"/>
    <w:rsid w:val="00C36FF8"/>
    <w:rsid w:val="00C45B41"/>
    <w:rsid w:val="00C47A37"/>
    <w:rsid w:val="00C52AC0"/>
    <w:rsid w:val="00C5691B"/>
    <w:rsid w:val="00C74A2B"/>
    <w:rsid w:val="00C83A79"/>
    <w:rsid w:val="00C8435B"/>
    <w:rsid w:val="00C91993"/>
    <w:rsid w:val="00C92D9F"/>
    <w:rsid w:val="00C95186"/>
    <w:rsid w:val="00CB1AB4"/>
    <w:rsid w:val="00CC059F"/>
    <w:rsid w:val="00CC1232"/>
    <w:rsid w:val="00CC194B"/>
    <w:rsid w:val="00CC5722"/>
    <w:rsid w:val="00CD061D"/>
    <w:rsid w:val="00CD168F"/>
    <w:rsid w:val="00CD3785"/>
    <w:rsid w:val="00CE273E"/>
    <w:rsid w:val="00CE2E98"/>
    <w:rsid w:val="00CE3EB5"/>
    <w:rsid w:val="00CF0C62"/>
    <w:rsid w:val="00CF0C97"/>
    <w:rsid w:val="00D01B8F"/>
    <w:rsid w:val="00D110A2"/>
    <w:rsid w:val="00D1364D"/>
    <w:rsid w:val="00D3358F"/>
    <w:rsid w:val="00D3418B"/>
    <w:rsid w:val="00D47F0B"/>
    <w:rsid w:val="00D61A8D"/>
    <w:rsid w:val="00D82966"/>
    <w:rsid w:val="00D90911"/>
    <w:rsid w:val="00D90BE2"/>
    <w:rsid w:val="00D94E57"/>
    <w:rsid w:val="00DA1DB8"/>
    <w:rsid w:val="00DA2C1B"/>
    <w:rsid w:val="00DA5FA7"/>
    <w:rsid w:val="00DB3750"/>
    <w:rsid w:val="00DC1DA4"/>
    <w:rsid w:val="00DC774F"/>
    <w:rsid w:val="00DD0D11"/>
    <w:rsid w:val="00DD3560"/>
    <w:rsid w:val="00DF2320"/>
    <w:rsid w:val="00E1090E"/>
    <w:rsid w:val="00E20607"/>
    <w:rsid w:val="00E23D9C"/>
    <w:rsid w:val="00E27251"/>
    <w:rsid w:val="00E31189"/>
    <w:rsid w:val="00E31B96"/>
    <w:rsid w:val="00E4030C"/>
    <w:rsid w:val="00E529E0"/>
    <w:rsid w:val="00E549E4"/>
    <w:rsid w:val="00E81437"/>
    <w:rsid w:val="00E861F4"/>
    <w:rsid w:val="00E94006"/>
    <w:rsid w:val="00E96895"/>
    <w:rsid w:val="00EC140F"/>
    <w:rsid w:val="00EE1DC7"/>
    <w:rsid w:val="00EE4E9C"/>
    <w:rsid w:val="00EE672B"/>
    <w:rsid w:val="00F00F45"/>
    <w:rsid w:val="00F055BA"/>
    <w:rsid w:val="00F06E8A"/>
    <w:rsid w:val="00F24BAB"/>
    <w:rsid w:val="00F35455"/>
    <w:rsid w:val="00F40E19"/>
    <w:rsid w:val="00F554AB"/>
    <w:rsid w:val="00F66AD3"/>
    <w:rsid w:val="00F70E9D"/>
    <w:rsid w:val="00F73CEC"/>
    <w:rsid w:val="00F8304E"/>
    <w:rsid w:val="00F84B55"/>
    <w:rsid w:val="00F95DB1"/>
    <w:rsid w:val="00F96C0F"/>
    <w:rsid w:val="00FA371D"/>
    <w:rsid w:val="00FB2B80"/>
    <w:rsid w:val="00FB7EB9"/>
    <w:rsid w:val="00FC192E"/>
    <w:rsid w:val="00FD3B18"/>
    <w:rsid w:val="00FE38E4"/>
    <w:rsid w:val="00FF698D"/>
    <w:rsid w:val="052C0228"/>
    <w:rsid w:val="07E9114F"/>
    <w:rsid w:val="125C55EB"/>
    <w:rsid w:val="20067210"/>
    <w:rsid w:val="272D7E7E"/>
    <w:rsid w:val="28CB482E"/>
    <w:rsid w:val="2F896EA0"/>
    <w:rsid w:val="3044197B"/>
    <w:rsid w:val="381560B4"/>
    <w:rsid w:val="3BE171DD"/>
    <w:rsid w:val="42334DDD"/>
    <w:rsid w:val="46520579"/>
    <w:rsid w:val="491B327A"/>
    <w:rsid w:val="49FA46CE"/>
    <w:rsid w:val="4C5E7929"/>
    <w:rsid w:val="5011530B"/>
    <w:rsid w:val="526A3522"/>
    <w:rsid w:val="535033C9"/>
    <w:rsid w:val="576814CC"/>
    <w:rsid w:val="59C72EBE"/>
    <w:rsid w:val="5FF36151"/>
    <w:rsid w:val="618C31F9"/>
    <w:rsid w:val="637B3A6E"/>
    <w:rsid w:val="67D01670"/>
    <w:rsid w:val="6A1D02A7"/>
    <w:rsid w:val="6B3868DA"/>
    <w:rsid w:val="740D6EFC"/>
    <w:rsid w:val="75DA33F2"/>
    <w:rsid w:val="7A7510B3"/>
    <w:rsid w:val="7B2B1E9B"/>
    <w:rsid w:val="7E51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20"/>
    <w:qFormat/>
    <w:uiPriority w:val="9"/>
    <w:pPr>
      <w:spacing w:before="100" w:beforeAutospacing="1" w:after="100" w:afterAutospacing="1"/>
      <w:outlineLvl w:val="1"/>
    </w:pPr>
    <w:rPr>
      <w:b/>
      <w:bCs/>
      <w:sz w:val="36"/>
      <w:szCs w:val="3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6"/>
    <w:semiHidden/>
    <w:unhideWhenUsed/>
    <w:uiPriority w:val="99"/>
    <w:rPr>
      <w:rFonts w:ascii="Segoe UI" w:hAnsi="Segoe UI" w:cs="Segoe UI"/>
      <w:sz w:val="18"/>
      <w:szCs w:val="18"/>
    </w:rPr>
  </w:style>
  <w:style w:type="character" w:styleId="8">
    <w:name w:val="annotation reference"/>
    <w:basedOn w:val="5"/>
    <w:semiHidden/>
    <w:unhideWhenUsed/>
    <w:uiPriority w:val="99"/>
    <w:rPr>
      <w:sz w:val="16"/>
      <w:szCs w:val="16"/>
    </w:rPr>
  </w:style>
  <w:style w:type="paragraph" w:styleId="9">
    <w:name w:val="annotation text"/>
    <w:basedOn w:val="1"/>
    <w:link w:val="24"/>
    <w:semiHidden/>
    <w:unhideWhenUsed/>
    <w:uiPriority w:val="99"/>
    <w:rPr>
      <w:sz w:val="20"/>
      <w:szCs w:val="20"/>
    </w:rPr>
  </w:style>
  <w:style w:type="paragraph" w:styleId="10">
    <w:name w:val="annotation subject"/>
    <w:basedOn w:val="9"/>
    <w:next w:val="9"/>
    <w:link w:val="25"/>
    <w:semiHidden/>
    <w:unhideWhenUsed/>
    <w:uiPriority w:val="99"/>
    <w:rPr>
      <w:b/>
      <w:bCs/>
    </w:rPr>
  </w:style>
  <w:style w:type="character" w:styleId="11">
    <w:name w:val="FollowedHyperlink"/>
    <w:basedOn w:val="5"/>
    <w:semiHidden/>
    <w:unhideWhenUsed/>
    <w:uiPriority w:val="99"/>
    <w:rPr>
      <w:color w:val="954F72" w:themeColor="followedHyperlink"/>
      <w:u w:val="single"/>
      <w14:textFill>
        <w14:solidFill>
          <w14:schemeClr w14:val="folHlink"/>
        </w14:solidFill>
      </w14:textFill>
    </w:rPr>
  </w:style>
  <w:style w:type="paragraph" w:styleId="12">
    <w:name w:val="footer"/>
    <w:basedOn w:val="1"/>
    <w:link w:val="23"/>
    <w:unhideWhenUsed/>
    <w:uiPriority w:val="99"/>
    <w:pPr>
      <w:tabs>
        <w:tab w:val="center" w:pos="4513"/>
        <w:tab w:val="right" w:pos="9026"/>
      </w:tabs>
    </w:pPr>
  </w:style>
  <w:style w:type="paragraph" w:styleId="13">
    <w:name w:val="header"/>
    <w:basedOn w:val="1"/>
    <w:link w:val="27"/>
    <w:unhideWhenUsed/>
    <w:qFormat/>
    <w:uiPriority w:val="99"/>
    <w:pPr>
      <w:tabs>
        <w:tab w:val="center" w:pos="4513"/>
        <w:tab w:val="right" w:pos="9026"/>
      </w:tabs>
    </w:pPr>
  </w:style>
  <w:style w:type="character" w:styleId="14">
    <w:name w:val="Hyperlink"/>
    <w:basedOn w:val="5"/>
    <w:unhideWhenUsed/>
    <w:uiPriority w:val="99"/>
    <w:rPr>
      <w:color w:val="0563C1"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pPr>
  </w:style>
  <w:style w:type="character" w:styleId="16">
    <w:name w:val="page number"/>
    <w:basedOn w:val="5"/>
    <w:semiHidden/>
    <w:unhideWhenUsed/>
    <w:uiPriority w:val="99"/>
  </w:style>
  <w:style w:type="table" w:styleId="1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p1"/>
    <w:basedOn w:val="1"/>
    <w:uiPriority w:val="0"/>
    <w:rPr>
      <w:rFonts w:ascii="Helvetica" w:hAnsi="Helvetica"/>
      <w:color w:val="454545"/>
      <w:sz w:val="18"/>
      <w:szCs w:val="18"/>
    </w:rPr>
  </w:style>
  <w:style w:type="character" w:customStyle="1" w:styleId="19">
    <w:name w:val="apple-converted-space"/>
    <w:basedOn w:val="5"/>
    <w:uiPriority w:val="0"/>
  </w:style>
  <w:style w:type="character" w:customStyle="1" w:styleId="20">
    <w:name w:val="Heading 2 Char"/>
    <w:basedOn w:val="5"/>
    <w:link w:val="3"/>
    <w:uiPriority w:val="9"/>
    <w:rPr>
      <w:rFonts w:ascii="Times New Roman" w:hAnsi="Times New Roman" w:cs="Times New Roman"/>
      <w:b/>
      <w:bCs/>
      <w:sz w:val="36"/>
      <w:szCs w:val="36"/>
    </w:rPr>
  </w:style>
  <w:style w:type="paragraph" w:styleId="21">
    <w:name w:val="No Spacing"/>
    <w:link w:val="22"/>
    <w:qFormat/>
    <w:uiPriority w:val="1"/>
    <w:rPr>
      <w:rFonts w:asciiTheme="minorHAnsi" w:hAnsiTheme="minorHAnsi" w:eastAsiaTheme="minorEastAsia" w:cstheme="minorBidi"/>
      <w:sz w:val="22"/>
      <w:szCs w:val="22"/>
      <w:lang w:val="en-US" w:eastAsia="zh-CN" w:bidi="ar-SA"/>
    </w:rPr>
  </w:style>
  <w:style w:type="character" w:customStyle="1" w:styleId="22">
    <w:name w:val="No Spacing Char"/>
    <w:basedOn w:val="5"/>
    <w:link w:val="21"/>
    <w:uiPriority w:val="1"/>
    <w:rPr>
      <w:rFonts w:eastAsiaTheme="minorEastAsia"/>
      <w:sz w:val="22"/>
      <w:szCs w:val="22"/>
      <w:lang w:eastAsia="zh-CN"/>
    </w:rPr>
  </w:style>
  <w:style w:type="character" w:customStyle="1" w:styleId="23">
    <w:name w:val="Footer Char"/>
    <w:basedOn w:val="5"/>
    <w:link w:val="12"/>
    <w:qFormat/>
    <w:uiPriority w:val="99"/>
    <w:rPr>
      <w:rFonts w:ascii="Times New Roman" w:hAnsi="Times New Roman" w:cs="Times New Roman"/>
    </w:rPr>
  </w:style>
  <w:style w:type="character" w:customStyle="1" w:styleId="24">
    <w:name w:val="Comment Text Char"/>
    <w:basedOn w:val="5"/>
    <w:link w:val="9"/>
    <w:semiHidden/>
    <w:qFormat/>
    <w:uiPriority w:val="99"/>
    <w:rPr>
      <w:rFonts w:ascii="Times New Roman" w:hAnsi="Times New Roman" w:cs="Times New Roman"/>
      <w:sz w:val="20"/>
      <w:szCs w:val="20"/>
    </w:rPr>
  </w:style>
  <w:style w:type="character" w:customStyle="1" w:styleId="25">
    <w:name w:val="Comment Subject Char"/>
    <w:basedOn w:val="24"/>
    <w:link w:val="10"/>
    <w:semiHidden/>
    <w:uiPriority w:val="99"/>
    <w:rPr>
      <w:rFonts w:ascii="Times New Roman" w:hAnsi="Times New Roman" w:cs="Times New Roman"/>
      <w:b/>
      <w:bCs/>
      <w:sz w:val="20"/>
      <w:szCs w:val="20"/>
    </w:rPr>
  </w:style>
  <w:style w:type="character" w:customStyle="1" w:styleId="26">
    <w:name w:val="Balloon Text Char"/>
    <w:basedOn w:val="5"/>
    <w:link w:val="7"/>
    <w:semiHidden/>
    <w:qFormat/>
    <w:uiPriority w:val="99"/>
    <w:rPr>
      <w:rFonts w:ascii="Segoe UI" w:hAnsi="Segoe UI" w:cs="Segoe UI"/>
      <w:sz w:val="18"/>
      <w:szCs w:val="18"/>
    </w:rPr>
  </w:style>
  <w:style w:type="character" w:customStyle="1" w:styleId="27">
    <w:name w:val="Header Char"/>
    <w:basedOn w:val="5"/>
    <w:link w:val="13"/>
    <w:qFormat/>
    <w:uiPriority w:val="99"/>
    <w:rPr>
      <w:rFonts w:ascii="Times New Roman" w:hAnsi="Times New Roman" w:cs="Times New Roman"/>
    </w:rPr>
  </w:style>
  <w:style w:type="paragraph" w:styleId="28">
    <w:name w:val="List Paragraph"/>
    <w:basedOn w:val="1"/>
    <w:qFormat/>
    <w:uiPriority w:val="0"/>
    <w:pPr>
      <w:spacing w:after="200" w:line="276" w:lineRule="auto"/>
      <w:ind w:left="720"/>
      <w:contextualSpacing/>
    </w:pPr>
    <w:rPr>
      <w:rFonts w:ascii="Calibri" w:hAnsi="Calibri"/>
      <w:sz w:val="22"/>
      <w:szCs w:val="22"/>
      <w:lang w:val="en-GB"/>
    </w:rPr>
  </w:style>
  <w:style w:type="paragraph" w:customStyle="1" w:styleId="29">
    <w:name w:val="Default"/>
    <w:unhideWhenUsed/>
    <w:uiPriority w:val="99"/>
    <w:pPr>
      <w:widowControl w:val="0"/>
      <w:autoSpaceDE w:val="0"/>
      <w:autoSpaceDN w:val="0"/>
      <w:adjustRightInd w:val="0"/>
      <w:spacing w:beforeLines="0" w:afterLines="0"/>
    </w:pPr>
    <w:rPr>
      <w:rFonts w:hint="default" w:ascii="Arial" w:hAnsi="Arial" w:eastAsia="SimSu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chart" Target="charts/chart9.xml"/><Relationship Id="rId18" Type="http://schemas.openxmlformats.org/officeDocument/2006/relationships/image" Target="media/image3.png"/><Relationship Id="rId17" Type="http://schemas.openxmlformats.org/officeDocument/2006/relationships/chart" Target="charts/chart8.xml"/><Relationship Id="rId16" Type="http://schemas.openxmlformats.org/officeDocument/2006/relationships/chart" Target="charts/chart7.xml"/><Relationship Id="rId15" Type="http://schemas.openxmlformats.org/officeDocument/2006/relationships/chart" Target="charts/chart6.xml"/><Relationship Id="rId14" Type="http://schemas.openxmlformats.org/officeDocument/2006/relationships/chart" Target="charts/chart5.xml"/><Relationship Id="rId13" Type="http://schemas.openxmlformats.org/officeDocument/2006/relationships/image" Target="../NUL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market%20analysis\Book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market%20analysis\env0101.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market%20analysis\ET_3.2_DEC_2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User\Desktop\market%20analysis\env0101.xls"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2"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User\Desktop\market%20analysis\PRICE_DUTY.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market%20analysis\DEMAND_SUPPLY_EFFICIENCY.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User\Desktop\market%20analysis\Export%2012_01_2022%2020_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840" b="0" i="0" u="none" strike="noStrike" kern="1200" spc="0" baseline="0">
                <a:solidFill>
                  <a:schemeClr val="tx1">
                    <a:lumMod val="65000"/>
                    <a:lumOff val="35000"/>
                  </a:schemeClr>
                </a:solidFill>
                <a:latin typeface="+mn-lt"/>
                <a:ea typeface="+mn-ea"/>
                <a:cs typeface="+mn-cs"/>
              </a:defRPr>
            </a:pPr>
            <a:r>
              <a:rPr sz="840"/>
              <a:t>ROAD TRANSPORT FUEL CATEGORIES</a:t>
            </a:r>
            <a:endParaRPr sz="840"/>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elete val="1"/>
          </c:dLbls>
          <c:cat>
            <c:strRef>
              <c:f>[Book3.xlsx]Sheet1!$G$18:$G$20</c:f>
              <c:strCache>
                <c:ptCount val="3"/>
                <c:pt idx="0">
                  <c:v>PETROL</c:v>
                </c:pt>
                <c:pt idx="1">
                  <c:v>DIESEL</c:v>
                </c:pt>
                <c:pt idx="2">
                  <c:v>LPG</c:v>
                </c:pt>
              </c:strCache>
            </c:strRef>
          </c:cat>
          <c:val>
            <c:numRef>
              <c:f>[Book3.xlsx]Sheet1!$H$18:$H$20</c:f>
              <c:numCache>
                <c:formatCode>0.0</c:formatCode>
                <c:ptCount val="3"/>
                <c:pt idx="0">
                  <c:v>9.14448</c:v>
                </c:pt>
                <c:pt idx="1">
                  <c:v>19.69349</c:v>
                </c:pt>
                <c:pt idx="2">
                  <c:v>0.05797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en-US" sz="7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sz="700"/>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3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r>
              <a:t>UK ROAD TRANSPORT FUEL CONSUMPTION   2001 - 2020</a:t>
            </a:r>
            <a:endParaRPr sz="1300" b="0" i="0" u="none" strike="noStrike" baseline="0">
              <a:solidFill>
                <a:srgbClr val="000000"/>
              </a:solidFill>
              <a:latin typeface="Arial" panose="020B0604020202020204" pitchFamily="2" charset="0"/>
              <a:ea typeface="Arial" panose="020B0604020202020204" pitchFamily="2" charset="0"/>
              <a:cs typeface="Arial" panose="020B0604020202020204" pitchFamily="2" charset="0"/>
            </a:endParaRPr>
          </a:p>
        </c:rich>
      </c:tx>
      <c:layout/>
      <c:overlay val="0"/>
    </c:title>
    <c:autoTitleDeleted val="0"/>
    <c:plotArea>
      <c:layout/>
      <c:barChart>
        <c:barDir val="col"/>
        <c:grouping val="stacked"/>
        <c:varyColors val="0"/>
        <c:ser>
          <c:idx val="0"/>
          <c:order val="0"/>
          <c:tx>
            <c:strRef>
              <c:f>[env0101.xls]ENV0101!$B$8</c:f>
              <c:strCache>
                <c:ptCount val="1"/>
                <c:pt idx="0">
                  <c:v>Petrol</c:v>
                </c:pt>
              </c:strCache>
            </c:strRef>
          </c:tx>
          <c:spPr>
            <a:solidFill>
              <a:srgbClr val="83CAFF">
                <a:alpha val="100000"/>
              </a:srgbClr>
            </a:solidFill>
            <a:ln w="3175">
              <a:noFill/>
            </a:ln>
          </c:spPr>
          <c:invertIfNegative val="0"/>
          <c:dLbls>
            <c:spPr>
              <a:noFill/>
              <a:ln>
                <a:noFill/>
              </a:ln>
              <a:effectLst/>
            </c:spPr>
            <c:txPr>
              <a:bodyPr rot="0" spcFirstLastPara="0" vertOverflow="ellipsis" vert="horz" wrap="square" lIns="38100" tIns="19050" rIns="38100" bIns="19050" anchor="ctr" anchorCtr="1"/>
              <a:lstStyle/>
              <a:p>
                <a:pPr>
                  <a:defRPr lang="en-US" sz="12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ext>
            </c:extLst>
          </c:dLbls>
          <c:cat>
            <c:strRef>
              <c:f>[env0101.xls]ENV0101!$U$7:$AN$7</c:f>
              <c:strCache>
                <c:ptCount val="20"/>
                <c:pt idx="0">
                  <c:v>2001</c:v>
                </c:pt>
                <c:pt idx="1">
                  <c:v>2002</c:v>
                </c:pt>
                <c:pt idx="2">
                  <c:v>2003</c:v>
                </c:pt>
                <c:pt idx="3">
                  <c:v>2004</c:v>
                </c:pt>
                <c:pt idx="4">
                  <c:v>2005</c:v>
                </c:pt>
                <c:pt idx="5">
                  <c:v>2006</c:v>
                </c:pt>
                <c:pt idx="6">
                  <c:v>2007</c:v>
                </c:pt>
                <c:pt idx="7">
                  <c:v>2008</c:v>
                </c:pt>
                <c:pt idx="8">
                  <c:v>2009</c:v>
                </c:pt>
                <c:pt idx="9">
                  <c:v>2010</c:v>
                </c:pt>
                <c:pt idx="10" c:formatCode="0">
                  <c:v>2011</c:v>
                </c:pt>
                <c:pt idx="11">
                  <c:v>2012</c:v>
                </c:pt>
                <c:pt idx="12">
                  <c:v>2013</c:v>
                </c:pt>
                <c:pt idx="13">
                  <c:v>2014</c:v>
                </c:pt>
                <c:pt idx="14" c:formatCode="0">
                  <c:v>2015</c:v>
                </c:pt>
                <c:pt idx="15" c:formatCode="0">
                  <c:v>2016</c:v>
                </c:pt>
                <c:pt idx="16" c:formatCode="0">
                  <c:v>2017</c:v>
                </c:pt>
                <c:pt idx="17" c:formatCode="@">
                  <c:v>2018</c:v>
                </c:pt>
                <c:pt idx="18" c:formatCode="@">
                  <c:v>2019</c:v>
                </c:pt>
                <c:pt idx="19" c:formatCode="@">
                  <c:v>2020</c:v>
                </c:pt>
              </c:strCache>
            </c:strRef>
          </c:cat>
          <c:val>
            <c:numRef>
              <c:f>[env0101.xls]ENV0101!$U$11:$AN$11</c:f>
              <c:numCache>
                <c:formatCode>[&gt;0.01]#,##0.0;[&lt;-0.01]\-#,##0.0;\-</c:formatCode>
                <c:ptCount val="20"/>
                <c:pt idx="0">
                  <c:v>20.6230121706348</c:v>
                </c:pt>
                <c:pt idx="1">
                  <c:v>20.4865939144376</c:v>
                </c:pt>
                <c:pt idx="2">
                  <c:v>19.5918507596428</c:v>
                </c:pt>
                <c:pt idx="3">
                  <c:v>19.1375593481158</c:v>
                </c:pt>
                <c:pt idx="4">
                  <c:v>18.5052115537373</c:v>
                </c:pt>
                <c:pt idx="5">
                  <c:v>17.7348747631165</c:v>
                </c:pt>
                <c:pt idx="6">
                  <c:v>17.2476098347886</c:v>
                </c:pt>
                <c:pt idx="7">
                  <c:v>16.1797557634235</c:v>
                </c:pt>
                <c:pt idx="8">
                  <c:v>15.2668441950021</c:v>
                </c:pt>
                <c:pt idx="9">
                  <c:v>14.2358929786832</c:v>
                </c:pt>
                <c:pt idx="10">
                  <c:v>13.5247768885633</c:v>
                </c:pt>
                <c:pt idx="11">
                  <c:v>12.8753293806518</c:v>
                </c:pt>
                <c:pt idx="12">
                  <c:v>12.2146999502554</c:v>
                </c:pt>
                <c:pt idx="13">
                  <c:v>11.9461994774764</c:v>
                </c:pt>
                <c:pt idx="14">
                  <c:v>11.6837052882879</c:v>
                </c:pt>
                <c:pt idx="15">
                  <c:v>11.528683063376</c:v>
                </c:pt>
                <c:pt idx="16">
                  <c:v>11.3518611579526</c:v>
                </c:pt>
                <c:pt idx="17">
                  <c:v>11.135460616043</c:v>
                </c:pt>
                <c:pt idx="18">
                  <c:v>11.2504383032073</c:v>
                </c:pt>
                <c:pt idx="19">
                  <c:v>9.14448</c:v>
                </c:pt>
              </c:numCache>
            </c:numRef>
          </c:val>
        </c:ser>
        <c:ser>
          <c:idx val="1"/>
          <c:order val="1"/>
          <c:tx>
            <c:strRef>
              <c:f>[env0101.xls]ENV0101!$B$12</c:f>
              <c:strCache>
                <c:ptCount val="1"/>
                <c:pt idx="0">
                  <c:v>Diesel</c:v>
                </c:pt>
              </c:strCache>
            </c:strRef>
          </c:tx>
          <c:spPr>
            <a:solidFill>
              <a:schemeClr val="accent2">
                <a:lumMod val="75000"/>
                <a:alpha val="100000"/>
              </a:schemeClr>
            </a:solidFill>
            <a:ln w="3175">
              <a:noFill/>
            </a:ln>
          </c:spPr>
          <c:invertIfNegative val="0"/>
          <c:dLbls>
            <c:spPr>
              <a:noFill/>
              <a:ln>
                <a:noFill/>
              </a:ln>
              <a:effectLst/>
            </c:spPr>
            <c:txPr>
              <a:bodyPr rot="0" spcFirstLastPara="0" vertOverflow="ellipsis" vert="horz" wrap="square" lIns="38100" tIns="19050" rIns="38100" bIns="19050" anchor="ctr" anchorCtr="1"/>
              <a:lstStyle/>
              <a:p>
                <a:pPr>
                  <a:defRPr lang="en-US" sz="12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ext>
            </c:extLst>
          </c:dLbls>
          <c:cat>
            <c:strRef>
              <c:f>[env0101.xls]ENV0101!$U$7:$AN$7</c:f>
              <c:strCache>
                <c:ptCount val="20"/>
                <c:pt idx="0">
                  <c:v>2001</c:v>
                </c:pt>
                <c:pt idx="1">
                  <c:v>2002</c:v>
                </c:pt>
                <c:pt idx="2">
                  <c:v>2003</c:v>
                </c:pt>
                <c:pt idx="3">
                  <c:v>2004</c:v>
                </c:pt>
                <c:pt idx="4">
                  <c:v>2005</c:v>
                </c:pt>
                <c:pt idx="5">
                  <c:v>2006</c:v>
                </c:pt>
                <c:pt idx="6">
                  <c:v>2007</c:v>
                </c:pt>
                <c:pt idx="7">
                  <c:v>2008</c:v>
                </c:pt>
                <c:pt idx="8">
                  <c:v>2009</c:v>
                </c:pt>
                <c:pt idx="9">
                  <c:v>2010</c:v>
                </c:pt>
                <c:pt idx="10" c:formatCode="0">
                  <c:v>2011</c:v>
                </c:pt>
                <c:pt idx="11">
                  <c:v>2012</c:v>
                </c:pt>
                <c:pt idx="12">
                  <c:v>2013</c:v>
                </c:pt>
                <c:pt idx="13">
                  <c:v>2014</c:v>
                </c:pt>
                <c:pt idx="14" c:formatCode="0">
                  <c:v>2015</c:v>
                </c:pt>
                <c:pt idx="15" c:formatCode="0">
                  <c:v>2016</c:v>
                </c:pt>
                <c:pt idx="16" c:formatCode="0">
                  <c:v>2017</c:v>
                </c:pt>
                <c:pt idx="17" c:formatCode="@">
                  <c:v>2018</c:v>
                </c:pt>
                <c:pt idx="18" c:formatCode="@">
                  <c:v>2019</c:v>
                </c:pt>
                <c:pt idx="19" c:formatCode="@">
                  <c:v>2020</c:v>
                </c:pt>
              </c:strCache>
            </c:strRef>
          </c:cat>
          <c:val>
            <c:numRef>
              <c:f>[env0101.xls]ENV0101!$U$16:$AN$16</c:f>
              <c:numCache>
                <c:formatCode>[&gt;0.01]#,##0.0;[&lt;-0.01]\-#,##0.0;\-</c:formatCode>
                <c:ptCount val="20"/>
                <c:pt idx="0">
                  <c:v>15.7385251641562</c:v>
                </c:pt>
                <c:pt idx="1">
                  <c:v>16.6013819023784</c:v>
                </c:pt>
                <c:pt idx="2">
                  <c:v>17.3830697734164</c:v>
                </c:pt>
                <c:pt idx="3">
                  <c:v>18.1594424478445</c:v>
                </c:pt>
                <c:pt idx="4">
                  <c:v>19.024039727109</c:v>
                </c:pt>
                <c:pt idx="5">
                  <c:v>19.7968975092746</c:v>
                </c:pt>
                <c:pt idx="6">
                  <c:v>20.6615131716391</c:v>
                </c:pt>
                <c:pt idx="7">
                  <c:v>20.1341828069799</c:v>
                </c:pt>
                <c:pt idx="8">
                  <c:v>19.7714569679471</c:v>
                </c:pt>
                <c:pt idx="9">
                  <c:v>20.3753090469326</c:v>
                </c:pt>
                <c:pt idx="10">
                  <c:v>20.6194234760622</c:v>
                </c:pt>
                <c:pt idx="11">
                  <c:v>21.1861698906516</c:v>
                </c:pt>
                <c:pt idx="12">
                  <c:v>21.568856298191</c:v>
                </c:pt>
                <c:pt idx="13">
                  <c:v>22.2913384727251</c:v>
                </c:pt>
                <c:pt idx="14">
                  <c:v>23.2584262049802</c:v>
                </c:pt>
                <c:pt idx="15">
                  <c:v>24.2124249284542</c:v>
                </c:pt>
                <c:pt idx="16">
                  <c:v>24.4454712932123</c:v>
                </c:pt>
                <c:pt idx="17">
                  <c:v>24.1570983292116</c:v>
                </c:pt>
                <c:pt idx="18">
                  <c:v>23.3212682653396</c:v>
                </c:pt>
                <c:pt idx="19">
                  <c:v>19.69349</c:v>
                </c:pt>
              </c:numCache>
            </c:numRef>
          </c:val>
        </c:ser>
        <c:ser>
          <c:idx val="2"/>
          <c:order val="2"/>
          <c:tx>
            <c:strRef>
              <c:f>[env0101.xls]ENV0101!$B$17</c:f>
              <c:strCache>
                <c:ptCount val="1"/>
                <c:pt idx="0">
                  <c:v>LPG4</c:v>
                </c:pt>
              </c:strCache>
            </c:strRef>
          </c:tx>
          <c:spPr>
            <a:solidFill>
              <a:schemeClr val="tx1">
                <a:lumMod val="95000"/>
                <a:lumOff val="5000"/>
              </a:schemeClr>
            </a:solidFill>
          </c:spPr>
          <c:invertIfNegative val="0"/>
          <c:dLbls>
            <c:spPr>
              <a:noFill/>
              <a:ln>
                <a:noFill/>
              </a:ln>
              <a:effectLst/>
            </c:spPr>
            <c:txPr>
              <a:bodyPr rot="0" spcFirstLastPara="0" vertOverflow="ellipsis" vert="horz" wrap="square" lIns="38100" tIns="19050" rIns="38100" bIns="19050" anchor="ctr" anchorCtr="1"/>
              <a:lstStyle/>
              <a:p>
                <a:pPr>
                  <a:defRPr lang="en-US" sz="12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ext>
            </c:extLst>
          </c:dLbls>
          <c:cat>
            <c:strRef>
              <c:f>[env0101.xls]ENV0101!$U$7:$AN$7</c:f>
              <c:strCache>
                <c:ptCount val="20"/>
                <c:pt idx="0">
                  <c:v>2001</c:v>
                </c:pt>
                <c:pt idx="1">
                  <c:v>2002</c:v>
                </c:pt>
                <c:pt idx="2">
                  <c:v>2003</c:v>
                </c:pt>
                <c:pt idx="3">
                  <c:v>2004</c:v>
                </c:pt>
                <c:pt idx="4">
                  <c:v>2005</c:v>
                </c:pt>
                <c:pt idx="5">
                  <c:v>2006</c:v>
                </c:pt>
                <c:pt idx="6">
                  <c:v>2007</c:v>
                </c:pt>
                <c:pt idx="7">
                  <c:v>2008</c:v>
                </c:pt>
                <c:pt idx="8">
                  <c:v>2009</c:v>
                </c:pt>
                <c:pt idx="9">
                  <c:v>2010</c:v>
                </c:pt>
                <c:pt idx="10" c:formatCode="0">
                  <c:v>2011</c:v>
                </c:pt>
                <c:pt idx="11">
                  <c:v>2012</c:v>
                </c:pt>
                <c:pt idx="12">
                  <c:v>2013</c:v>
                </c:pt>
                <c:pt idx="13">
                  <c:v>2014</c:v>
                </c:pt>
                <c:pt idx="14" c:formatCode="0">
                  <c:v>2015</c:v>
                </c:pt>
                <c:pt idx="15" c:formatCode="0">
                  <c:v>2016</c:v>
                </c:pt>
                <c:pt idx="16" c:formatCode="0">
                  <c:v>2017</c:v>
                </c:pt>
                <c:pt idx="17" c:formatCode="@">
                  <c:v>2018</c:v>
                </c:pt>
                <c:pt idx="18" c:formatCode="@">
                  <c:v>2019</c:v>
                </c:pt>
                <c:pt idx="19" c:formatCode="@">
                  <c:v>2020</c:v>
                </c:pt>
              </c:strCache>
            </c:strRef>
          </c:cat>
          <c:val>
            <c:numRef>
              <c:f>[env0101.xls]ENV0101!$U$17:$AN$17</c:f>
              <c:numCache>
                <c:formatCode>[&gt;0.0001]#,##0.0;[&lt;-0.0001]\-#,##0.0;\-</c:formatCode>
                <c:ptCount val="20"/>
                <c:pt idx="0">
                  <c:v>0.053592660689029</c:v>
                </c:pt>
                <c:pt idx="1">
                  <c:v>0.0862741835045972</c:v>
                </c:pt>
                <c:pt idx="2">
                  <c:v>0.104216455055124</c:v>
                </c:pt>
                <c:pt idx="3">
                  <c:v>0.111709822131089</c:v>
                </c:pt>
                <c:pt idx="4">
                  <c:v>0.120486655060536</c:v>
                </c:pt>
                <c:pt idx="5">
                  <c:v>0.126187069062786</c:v>
                </c:pt>
                <c:pt idx="6">
                  <c:v>0.11917592086995</c:v>
                </c:pt>
                <c:pt idx="7">
                  <c:v>0.124568345846273</c:v>
                </c:pt>
                <c:pt idx="8">
                  <c:v>0.107029335608641</c:v>
                </c:pt>
                <c:pt idx="9">
                  <c:v>0.106336812393938</c:v>
                </c:pt>
                <c:pt idx="10">
                  <c:v>0.0983123783986894</c:v>
                </c:pt>
                <c:pt idx="11">
                  <c:v>0.0930853676259337</c:v>
                </c:pt>
                <c:pt idx="12">
                  <c:v>0.0940836846826105</c:v>
                </c:pt>
                <c:pt idx="13">
                  <c:v>0.0880947476216303</c:v>
                </c:pt>
                <c:pt idx="14">
                  <c:v>0.082</c:v>
                </c:pt>
                <c:pt idx="15">
                  <c:v>0.071</c:v>
                </c:pt>
                <c:pt idx="16">
                  <c:v>0.0676666666666667</c:v>
                </c:pt>
                <c:pt idx="17">
                  <c:v>0.059</c:v>
                </c:pt>
                <c:pt idx="18">
                  <c:v>0.0613333333333333</c:v>
                </c:pt>
                <c:pt idx="19">
                  <c:v>0.05797</c:v>
                </c:pt>
              </c:numCache>
            </c:numRef>
          </c:val>
        </c:ser>
        <c:dLbls>
          <c:showLegendKey val="0"/>
          <c:showVal val="1"/>
          <c:showCatName val="0"/>
          <c:showSerName val="0"/>
          <c:showPercent val="0"/>
          <c:showBubbleSize val="0"/>
        </c:dLbls>
        <c:gapWidth val="100"/>
        <c:overlap val="100"/>
        <c:axId val="172053339"/>
        <c:axId val="265074405"/>
      </c:barChart>
      <c:dateAx>
        <c:axId val="172053339"/>
        <c:scaling>
          <c:orientation val="minMax"/>
        </c:scaling>
        <c:delete val="0"/>
        <c:axPos val="b"/>
        <c:title>
          <c:tx>
            <c:rich>
              <a:bodyPr rot="0" spcFirstLastPara="0" vertOverflow="ellipsis" vert="horz" wrap="square" anchor="ctr" anchorCtr="1" forceAA="0"/>
              <a:lstStyle/>
              <a:p>
                <a:pPr>
                  <a:defRPr lang="en-US" sz="9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r>
                  <a:t>YEARS</a:t>
                </a:r>
              </a:p>
            </c:rich>
          </c:tx>
          <c:layout/>
          <c:overlay val="0"/>
        </c:title>
        <c:numFmt formatCode="m/d/yyyy" sourceLinked="0"/>
        <c:majorTickMark val="out"/>
        <c:minorTickMark val="none"/>
        <c:tickLblPos val="nextTo"/>
        <c:spPr>
          <a:ln w="3175" cap="flat" cmpd="sng" algn="ctr">
            <a:solidFill>
              <a:srgbClr val="B3B3B3">
                <a:alpha val="100000"/>
              </a:srgbClr>
            </a:solidFill>
            <a:prstDash val="solid"/>
            <a:round/>
          </a:ln>
        </c:spPr>
        <c:txPr>
          <a:bodyPr rot="0" spcFirstLastPara="0" vertOverflow="ellipsis" vert="horz" wrap="square" anchor="ctr" anchorCtr="1" forceAA="0"/>
          <a:lstStyle/>
          <a:p>
            <a:pPr>
              <a:defRPr lang="en-US" sz="10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p>
        </c:txPr>
        <c:crossAx val="265074405"/>
        <c:crosses val="autoZero"/>
        <c:auto val="1"/>
        <c:lblAlgn val="ctr"/>
        <c:lblOffset val="100"/>
        <c:baseTimeUnit val="days"/>
      </c:dateAx>
      <c:valAx>
        <c:axId val="265074405"/>
        <c:scaling>
          <c:orientation val="minMax"/>
        </c:scaling>
        <c:delete val="0"/>
        <c:axPos val="l"/>
        <c:majorGridlines>
          <c:spPr>
            <a:ln w="3175" cap="flat" cmpd="sng" algn="ctr">
              <a:solidFill>
                <a:srgbClr val="B3B3B3">
                  <a:alpha val="100000"/>
                </a:srgbClr>
              </a:solidFill>
              <a:prstDash val="solid"/>
              <a:round/>
            </a:ln>
          </c:spPr>
        </c:majorGridlines>
        <c:title>
          <c:tx>
            <c:rich>
              <a:bodyPr rot="-5400000" spcFirstLastPara="0" vertOverflow="ellipsis" vert="horz" wrap="square" anchor="ctr" anchorCtr="1"/>
              <a:lstStyle/>
              <a:p>
                <a:pPr defTabSz="914400">
                  <a:defRPr lang="en-US" sz="9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r>
                  <a:t>TONNES (MILLIONS)</a:t>
                </a:r>
                <a:endParaRPr sz="900" b="0" i="0" u="none" strike="noStrike" baseline="0">
                  <a:solidFill>
                    <a:srgbClr val="000000"/>
                  </a:solidFill>
                  <a:latin typeface="Arial" panose="020B0604020202020204" pitchFamily="2" charset="0"/>
                  <a:ea typeface="Arial" panose="020B0604020202020204" pitchFamily="2" charset="0"/>
                  <a:cs typeface="Arial" panose="020B0604020202020204" pitchFamily="2" charset="0"/>
                </a:endParaRPr>
              </a:p>
            </c:rich>
          </c:tx>
          <c:layout/>
          <c:overlay val="0"/>
        </c:title>
        <c:numFmt formatCode="[&gt;0.01]#,##0.0;[&lt;-0.01]\-#,##0.0;\-" sourceLinked="1"/>
        <c:majorTickMark val="out"/>
        <c:minorTickMark val="none"/>
        <c:tickLblPos val="nextTo"/>
        <c:spPr>
          <a:ln w="3175" cap="flat" cmpd="sng" algn="ctr">
            <a:solidFill>
              <a:srgbClr val="B3B3B3">
                <a:alpha val="100000"/>
              </a:srgbClr>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p>
        </c:txPr>
        <c:crossAx val="172053339"/>
        <c:crosses val="autoZero"/>
        <c:crossBetween val="between"/>
      </c:valAx>
      <c:spPr>
        <a:noFill/>
        <a:ln w="3175">
          <a:solidFill>
            <a:srgbClr val="B3B3B3">
              <a:alpha val="100000"/>
            </a:srgbClr>
          </a:solidFill>
          <a:prstDash val="solid"/>
        </a:ln>
        <a:effectLst/>
      </c:spPr>
    </c:plotArea>
    <c:legend>
      <c:legendPos val="r"/>
      <c:layout/>
      <c:overlay val="0"/>
      <c:spPr>
        <a:noFill/>
        <a:ln w="3175">
          <a:noFill/>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pitchFamily="2" charset="0"/>
              <a:ea typeface="Arial" panose="020B0604020202020204" pitchFamily="2" charset="0"/>
              <a:cs typeface="Arial" panose="020B0604020202020204" pitchFamily="2" charset="0"/>
            </a:defRPr>
          </a:pPr>
        </a:p>
      </c:txPr>
    </c:legend>
    <c:plotVisOnly val="1"/>
    <c:dispBlanksAs val="gap"/>
    <c:showDLblsOverMax val="0"/>
  </c:chart>
  <c:spPr>
    <a:solidFill>
      <a:schemeClr val="tx2">
        <a:lumMod val="60000"/>
        <a:lumOff val="40000"/>
      </a:schemeClr>
    </a:solidFill>
    <a:ln w="3175" cap="flat" cmpd="sng" algn="ctr">
      <a:noFill/>
      <a:prstDash val="solid"/>
      <a:round/>
    </a:ln>
  </c:spPr>
  <c:txPr>
    <a:bodyPr/>
    <a:lstStyle/>
    <a:p>
      <a:pPr>
        <a:defRPr lang="en-US" sz="1200" b="0" i="0" u="none" strike="noStrike">
          <a:solidFill>
            <a:srgbClr val="000000"/>
          </a:solidFill>
          <a:latin typeface="Arial" panose="020B0604020202020204" pitchFamily="2" charset="0"/>
          <a:ea typeface="Arial" panose="020B0604020202020204" pitchFamily="2" charset="0"/>
          <a:cs typeface="Arial" panose="020B0604020202020204" pitchFamily="2"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FUEL CONSUMPTION BY USES</a:t>
            </a:r>
          </a:p>
        </c:rich>
      </c:tx>
      <c:layout/>
      <c:overlay val="0"/>
      <c:spPr>
        <a:noFill/>
        <a:ln>
          <a:noFill/>
        </a:ln>
        <a:effectLst/>
      </c:spPr>
    </c:title>
    <c:autoTitleDeleted val="0"/>
    <c:plotArea>
      <c:layout/>
      <c:barChart>
        <c:barDir val="col"/>
        <c:grouping val="percentStacked"/>
        <c:varyColors val="0"/>
        <c:ser>
          <c:idx val="0"/>
          <c:order val="0"/>
          <c:tx>
            <c:strRef>
              <c:f>[ET_3.2_DEC_21.xlsx]Annual!$A$24</c:f>
              <c:strCache>
                <c:ptCount val="1"/>
                <c:pt idx="0">
                  <c:v>Iron &amp; steel</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[ET_3.2_DEC_21.xlsx]Annual!$D$5:$W$5</c:f>
              <c:strCach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strCache>
            </c:strRef>
          </c:cat>
          <c:val>
            <c:numRef>
              <c:f>[ET_3.2_DEC_21.xlsx]Annual!$D$24:$W$24</c:f>
              <c:numCache>
                <c:formatCode>#,##0_);\(#,##0\)</c:formatCode>
                <c:ptCount val="20"/>
                <c:pt idx="0">
                  <c:v>76.1</c:v>
                </c:pt>
                <c:pt idx="1">
                  <c:v>77.45</c:v>
                </c:pt>
                <c:pt idx="2">
                  <c:v>18.63</c:v>
                </c:pt>
                <c:pt idx="3">
                  <c:v>33.21</c:v>
                </c:pt>
                <c:pt idx="4">
                  <c:v>16.18</c:v>
                </c:pt>
                <c:pt idx="5">
                  <c:v>18.98</c:v>
                </c:pt>
                <c:pt idx="6">
                  <c:v>64.09</c:v>
                </c:pt>
                <c:pt idx="7">
                  <c:v>5.62</c:v>
                </c:pt>
                <c:pt idx="8">
                  <c:v>7.14</c:v>
                </c:pt>
                <c:pt idx="9">
                  <c:v>5.86</c:v>
                </c:pt>
                <c:pt idx="10">
                  <c:v>3.92</c:v>
                </c:pt>
                <c:pt idx="11">
                  <c:v>4.68</c:v>
                </c:pt>
                <c:pt idx="12">
                  <c:v>3.86</c:v>
                </c:pt>
                <c:pt idx="13">
                  <c:v>6.26</c:v>
                </c:pt>
                <c:pt idx="14">
                  <c:v>5.52</c:v>
                </c:pt>
                <c:pt idx="15">
                  <c:v>3.82</c:v>
                </c:pt>
                <c:pt idx="16">
                  <c:v>4.88</c:v>
                </c:pt>
                <c:pt idx="17">
                  <c:v>9.09</c:v>
                </c:pt>
                <c:pt idx="18">
                  <c:v>5.69</c:v>
                </c:pt>
                <c:pt idx="19">
                  <c:v>6.19</c:v>
                </c:pt>
              </c:numCache>
            </c:numRef>
          </c:val>
        </c:ser>
        <c:ser>
          <c:idx val="1"/>
          <c:order val="1"/>
          <c:tx>
            <c:strRef>
              <c:f>[ET_3.2_DEC_21.xlsx]Annual!$A$25</c:f>
              <c:strCache>
                <c:ptCount val="1"/>
                <c:pt idx="0">
                  <c:v>Other industries</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[ET_3.2_DEC_21.xlsx]Annual!$D$5:$W$5</c:f>
              <c:strCach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strCache>
            </c:strRef>
          </c:cat>
          <c:val>
            <c:numRef>
              <c:f>[ET_3.2_DEC_21.xlsx]Annual!$D$25:$W$25</c:f>
              <c:numCache>
                <c:formatCode>#,##0_);\(#,##0\)</c:formatCode>
                <c:ptCount val="20"/>
                <c:pt idx="0">
                  <c:v>5984.52</c:v>
                </c:pt>
                <c:pt idx="1">
                  <c:v>5619.74</c:v>
                </c:pt>
                <c:pt idx="2">
                  <c:v>6250.88</c:v>
                </c:pt>
                <c:pt idx="3">
                  <c:v>6418</c:v>
                </c:pt>
                <c:pt idx="4">
                  <c:v>5673.39</c:v>
                </c:pt>
                <c:pt idx="5">
                  <c:v>5501.97</c:v>
                </c:pt>
                <c:pt idx="6">
                  <c:v>5469.58</c:v>
                </c:pt>
                <c:pt idx="7">
                  <c:v>5456.29</c:v>
                </c:pt>
                <c:pt idx="8">
                  <c:v>4730.47</c:v>
                </c:pt>
                <c:pt idx="9">
                  <c:v>5055.64</c:v>
                </c:pt>
                <c:pt idx="10">
                  <c:v>4107.09</c:v>
                </c:pt>
                <c:pt idx="11">
                  <c:v>4305.35</c:v>
                </c:pt>
                <c:pt idx="12">
                  <c:v>3766.35</c:v>
                </c:pt>
                <c:pt idx="13">
                  <c:v>3927</c:v>
                </c:pt>
                <c:pt idx="14">
                  <c:v>3859.15</c:v>
                </c:pt>
                <c:pt idx="15">
                  <c:v>2183.59</c:v>
                </c:pt>
                <c:pt idx="16">
                  <c:v>2464.1</c:v>
                </c:pt>
                <c:pt idx="17">
                  <c:v>2388.34</c:v>
                </c:pt>
                <c:pt idx="18">
                  <c:v>2049.06</c:v>
                </c:pt>
                <c:pt idx="19">
                  <c:v>1982.78</c:v>
                </c:pt>
              </c:numCache>
            </c:numRef>
          </c:val>
        </c:ser>
        <c:ser>
          <c:idx val="2"/>
          <c:order val="2"/>
          <c:tx>
            <c:strRef>
              <c:f>[ET_3.2_DEC_21.xlsx]Annual!$A$26</c:f>
              <c:strCache>
                <c:ptCount val="1"/>
                <c:pt idx="0">
                  <c:v>Transport</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[ET_3.2_DEC_21.xlsx]Annual!$D$5:$W$5</c:f>
              <c:strCach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strCache>
            </c:strRef>
          </c:cat>
          <c:val>
            <c:numRef>
              <c:f>[ET_3.2_DEC_21.xlsx]Annual!$D$26:$W$26</c:f>
              <c:numCache>
                <c:formatCode>#,##0_);\(#,##0\)</c:formatCode>
                <c:ptCount val="20"/>
                <c:pt idx="0">
                  <c:v>49111.86</c:v>
                </c:pt>
                <c:pt idx="1">
                  <c:v>49643.5</c:v>
                </c:pt>
                <c:pt idx="2">
                  <c:v>50292.49</c:v>
                </c:pt>
                <c:pt idx="3">
                  <c:v>51400.93</c:v>
                </c:pt>
                <c:pt idx="4">
                  <c:v>52754.69</c:v>
                </c:pt>
                <c:pt idx="5">
                  <c:v>53333.32</c:v>
                </c:pt>
                <c:pt idx="6">
                  <c:v>53485.11</c:v>
                </c:pt>
                <c:pt idx="7">
                  <c:v>50880.5</c:v>
                </c:pt>
                <c:pt idx="8">
                  <c:v>48867.42</c:v>
                </c:pt>
                <c:pt idx="9">
                  <c:v>48068.33</c:v>
                </c:pt>
                <c:pt idx="10">
                  <c:v>48007.18</c:v>
                </c:pt>
                <c:pt idx="11">
                  <c:v>47491.35</c:v>
                </c:pt>
                <c:pt idx="12">
                  <c:v>47143.85</c:v>
                </c:pt>
                <c:pt idx="13">
                  <c:v>47596.05</c:v>
                </c:pt>
                <c:pt idx="14">
                  <c:v>48616.56</c:v>
                </c:pt>
                <c:pt idx="15">
                  <c:v>49507.17</c:v>
                </c:pt>
                <c:pt idx="16">
                  <c:v>50434.42</c:v>
                </c:pt>
                <c:pt idx="17">
                  <c:v>50006.45</c:v>
                </c:pt>
                <c:pt idx="18">
                  <c:v>49424</c:v>
                </c:pt>
                <c:pt idx="19">
                  <c:v>34853.08</c:v>
                </c:pt>
              </c:numCache>
            </c:numRef>
          </c:val>
        </c:ser>
        <c:ser>
          <c:idx val="3"/>
          <c:order val="3"/>
          <c:tx>
            <c:strRef>
              <c:f>[ET_3.2_DEC_21.xlsx]Annual!$A$27</c:f>
              <c:strCache>
                <c:ptCount val="1"/>
                <c:pt idx="0">
                  <c:v>Domestic</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[ET_3.2_DEC_21.xlsx]Annual!$D$5:$W$5</c:f>
              <c:strCach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strCache>
            </c:strRef>
          </c:cat>
          <c:val>
            <c:numRef>
              <c:f>[ET_3.2_DEC_21.xlsx]Annual!$D$27:$W$27</c:f>
              <c:numCache>
                <c:formatCode>#,##0_);\(#,##0\)</c:formatCode>
                <c:ptCount val="20"/>
                <c:pt idx="0">
                  <c:v>3176.61</c:v>
                </c:pt>
                <c:pt idx="1">
                  <c:v>2779.23</c:v>
                </c:pt>
                <c:pt idx="2">
                  <c:v>2758.9</c:v>
                </c:pt>
                <c:pt idx="3">
                  <c:v>2937.58</c:v>
                </c:pt>
                <c:pt idx="4">
                  <c:v>2782.8</c:v>
                </c:pt>
                <c:pt idx="5">
                  <c:v>2926.7</c:v>
                </c:pt>
                <c:pt idx="6">
                  <c:v>2593.87</c:v>
                </c:pt>
                <c:pt idx="7">
                  <c:v>2730.17</c:v>
                </c:pt>
                <c:pt idx="8">
                  <c:v>2712.43</c:v>
                </c:pt>
                <c:pt idx="9">
                  <c:v>3083.25</c:v>
                </c:pt>
                <c:pt idx="10">
                  <c:v>2401.12</c:v>
                </c:pt>
                <c:pt idx="11">
                  <c:v>2434.69</c:v>
                </c:pt>
                <c:pt idx="12">
                  <c:v>2558.05</c:v>
                </c:pt>
                <c:pt idx="13">
                  <c:v>2259.86</c:v>
                </c:pt>
                <c:pt idx="14">
                  <c:v>2268.87</c:v>
                </c:pt>
                <c:pt idx="15">
                  <c:v>2291.85</c:v>
                </c:pt>
                <c:pt idx="16">
                  <c:v>2177.82</c:v>
                </c:pt>
                <c:pt idx="17">
                  <c:v>2289.36</c:v>
                </c:pt>
                <c:pt idx="18">
                  <c:v>2170.1</c:v>
                </c:pt>
                <c:pt idx="19">
                  <c:v>2294.1</c:v>
                </c:pt>
              </c:numCache>
            </c:numRef>
          </c:val>
        </c:ser>
        <c:ser>
          <c:idx val="4"/>
          <c:order val="4"/>
          <c:tx>
            <c:strRef>
              <c:f>[ET_3.2_DEC_21.xlsx]Annual!$A$28</c:f>
              <c:strCache>
                <c:ptCount val="1"/>
                <c:pt idx="0">
                  <c:v>Other final users</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[ET_3.2_DEC_21.xlsx]Annual!$D$5:$W$5</c:f>
              <c:strCach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strCache>
            </c:strRef>
          </c:cat>
          <c:val>
            <c:numRef>
              <c:f>[ET_3.2_DEC_21.xlsx]Annual!$D$28:$W$28</c:f>
              <c:numCache>
                <c:formatCode>#,##0_);\(#,##0\)</c:formatCode>
                <c:ptCount val="20"/>
                <c:pt idx="0">
                  <c:v>2324.81</c:v>
                </c:pt>
                <c:pt idx="1">
                  <c:v>1655.01</c:v>
                </c:pt>
                <c:pt idx="2">
                  <c:v>1047.52</c:v>
                </c:pt>
                <c:pt idx="3">
                  <c:v>1316.45</c:v>
                </c:pt>
                <c:pt idx="4">
                  <c:v>1620.57</c:v>
                </c:pt>
                <c:pt idx="5">
                  <c:v>1399.73</c:v>
                </c:pt>
                <c:pt idx="6">
                  <c:v>1375.73</c:v>
                </c:pt>
                <c:pt idx="7">
                  <c:v>1296.06</c:v>
                </c:pt>
                <c:pt idx="8">
                  <c:v>1145.89</c:v>
                </c:pt>
                <c:pt idx="9">
                  <c:v>1151.27</c:v>
                </c:pt>
                <c:pt idx="10">
                  <c:v>1252.51</c:v>
                </c:pt>
                <c:pt idx="11">
                  <c:v>1230.45</c:v>
                </c:pt>
                <c:pt idx="12">
                  <c:v>1197.8</c:v>
                </c:pt>
                <c:pt idx="13">
                  <c:v>1473.09</c:v>
                </c:pt>
                <c:pt idx="14">
                  <c:v>1763.81</c:v>
                </c:pt>
                <c:pt idx="15">
                  <c:v>3432.06</c:v>
                </c:pt>
                <c:pt idx="16">
                  <c:v>3306.63</c:v>
                </c:pt>
                <c:pt idx="17">
                  <c:v>3349.53</c:v>
                </c:pt>
                <c:pt idx="18">
                  <c:v>3254.55</c:v>
                </c:pt>
                <c:pt idx="19">
                  <c:v>3180.03</c:v>
                </c:pt>
              </c:numCache>
            </c:numRef>
          </c:val>
        </c:ser>
        <c:ser>
          <c:idx val="5"/>
          <c:order val="5"/>
          <c:tx>
            <c:strRef>
              <c:f>[ET_3.2_DEC_21.xlsx]Annual!$A$29</c:f>
              <c:strCache>
                <c:ptCount val="1"/>
                <c:pt idx="0">
                  <c:v>Non energy use</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[ET_3.2_DEC_21.xlsx]Annual!$D$5:$W$5</c:f>
              <c:strCach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strCache>
            </c:strRef>
          </c:cat>
          <c:val>
            <c:numRef>
              <c:f>[ET_3.2_DEC_21.xlsx]Annual!$D$29:$W$29</c:f>
              <c:numCache>
                <c:formatCode>#,##0_);\(#,##0\)</c:formatCode>
                <c:ptCount val="20"/>
                <c:pt idx="0">
                  <c:v>8887.34</c:v>
                </c:pt>
                <c:pt idx="1">
                  <c:v>9672.64</c:v>
                </c:pt>
                <c:pt idx="2">
                  <c:v>10411.18</c:v>
                </c:pt>
                <c:pt idx="3">
                  <c:v>10583.55</c:v>
                </c:pt>
                <c:pt idx="4">
                  <c:v>10438.82</c:v>
                </c:pt>
                <c:pt idx="5">
                  <c:v>9755.62</c:v>
                </c:pt>
                <c:pt idx="6">
                  <c:v>7967.19</c:v>
                </c:pt>
                <c:pt idx="7">
                  <c:v>7586.16</c:v>
                </c:pt>
                <c:pt idx="8">
                  <c:v>7352.61</c:v>
                </c:pt>
                <c:pt idx="9">
                  <c:v>7106.55</c:v>
                </c:pt>
                <c:pt idx="10">
                  <c:v>7055.14</c:v>
                </c:pt>
                <c:pt idx="11">
                  <c:v>6110.67</c:v>
                </c:pt>
                <c:pt idx="12">
                  <c:v>5930.29</c:v>
                </c:pt>
                <c:pt idx="13">
                  <c:v>5873.06</c:v>
                </c:pt>
                <c:pt idx="14">
                  <c:v>6524.81</c:v>
                </c:pt>
                <c:pt idx="15">
                  <c:v>7034.91</c:v>
                </c:pt>
                <c:pt idx="16">
                  <c:v>7262.45</c:v>
                </c:pt>
                <c:pt idx="17">
                  <c:v>6920.85</c:v>
                </c:pt>
                <c:pt idx="18">
                  <c:v>6481.61</c:v>
                </c:pt>
                <c:pt idx="19">
                  <c:v>5511.71</c:v>
                </c:pt>
              </c:numCache>
            </c:numRef>
          </c:val>
        </c:ser>
        <c:dLbls>
          <c:showLegendKey val="0"/>
          <c:showVal val="1"/>
          <c:showCatName val="0"/>
          <c:showSerName val="0"/>
          <c:showPercent val="0"/>
          <c:showBubbleSize val="0"/>
        </c:dLbls>
        <c:gapWidth val="219"/>
        <c:overlap val="100"/>
        <c:axId val="461977785"/>
        <c:axId val="87477729"/>
      </c:barChart>
      <c:catAx>
        <c:axId val="46197778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7477729"/>
        <c:crosses val="autoZero"/>
        <c:auto val="1"/>
        <c:lblAlgn val="ctr"/>
        <c:lblOffset val="100"/>
        <c:noMultiLvlLbl val="0"/>
      </c:catAx>
      <c:valAx>
        <c:axId val="8747772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197778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CONSUMPTION by MODE OF TRANSPORT</a:t>
            </a:r>
          </a:p>
        </c:rich>
      </c:tx>
      <c:layout/>
      <c:overlay val="0"/>
      <c:spPr>
        <a:noFill/>
        <a:ln>
          <a:noFill/>
        </a:ln>
        <a:effectLst/>
      </c:spPr>
    </c:title>
    <c:autoTitleDeleted val="0"/>
    <c:plotArea>
      <c:layout/>
      <c:barChart>
        <c:barDir val="col"/>
        <c:grouping val="percentStacked"/>
        <c:varyColors val="0"/>
        <c:ser>
          <c:idx val="2"/>
          <c:order val="0"/>
          <c:tx>
            <c:strRef>
              <c:f>[env0101.xls]ENV0101!$A$8</c:f>
              <c:strCache>
                <c:ptCount val="1"/>
                <c:pt idx="0">
                  <c:v>Road transport3</c:v>
                </c:pt>
              </c:strCache>
            </c:strRef>
          </c:tx>
          <c:spPr>
            <a:solidFill>
              <a:schemeClr val="accent3"/>
            </a:solidFill>
            <a:ln>
              <a:noFill/>
            </a:ln>
            <a:effectLst/>
          </c:spPr>
          <c:invertIfNegative val="0"/>
          <c:dLbls>
            <c:delete val="1"/>
          </c:dLbls>
          <c:cat>
            <c:strRef>
              <c:f>[env0101.xls]ENV0101!$U$7:$AN$7</c:f>
              <c:strCache>
                <c:ptCount val="20"/>
                <c:pt idx="0">
                  <c:v>2001</c:v>
                </c:pt>
                <c:pt idx="1">
                  <c:v>2002</c:v>
                </c:pt>
                <c:pt idx="2">
                  <c:v>2003</c:v>
                </c:pt>
                <c:pt idx="3">
                  <c:v>2004</c:v>
                </c:pt>
                <c:pt idx="4">
                  <c:v>2005</c:v>
                </c:pt>
                <c:pt idx="5">
                  <c:v>2006</c:v>
                </c:pt>
                <c:pt idx="6">
                  <c:v>2007</c:v>
                </c:pt>
                <c:pt idx="7">
                  <c:v>2008</c:v>
                </c:pt>
                <c:pt idx="8">
                  <c:v>2009</c:v>
                </c:pt>
                <c:pt idx="9">
                  <c:v>2010</c:v>
                </c:pt>
                <c:pt idx="10" c:formatCode="0">
                  <c:v>2011</c:v>
                </c:pt>
                <c:pt idx="11">
                  <c:v>2012</c:v>
                </c:pt>
                <c:pt idx="12">
                  <c:v>2013</c:v>
                </c:pt>
                <c:pt idx="13">
                  <c:v>2014</c:v>
                </c:pt>
                <c:pt idx="14" c:formatCode="0">
                  <c:v>2015</c:v>
                </c:pt>
                <c:pt idx="15" c:formatCode="0">
                  <c:v>2016</c:v>
                </c:pt>
                <c:pt idx="16" c:formatCode="0">
                  <c:v>2017</c:v>
                </c:pt>
                <c:pt idx="17" c:formatCode="@">
                  <c:v>2018</c:v>
                </c:pt>
                <c:pt idx="18" c:formatCode="@">
                  <c:v>2019</c:v>
                </c:pt>
                <c:pt idx="19" c:formatCode="@">
                  <c:v>2020</c:v>
                </c:pt>
              </c:strCache>
            </c:strRef>
          </c:cat>
          <c:val>
            <c:numRef>
              <c:f>[env0101.xls]ENV0101!$U$18:$AN$18</c:f>
              <c:numCache>
                <c:formatCode>[&gt;0.01]#,##0.0;[&lt;-0.01]\-#,##0.0;\-</c:formatCode>
                <c:ptCount val="20"/>
                <c:pt idx="0">
                  <c:v>36.4151299954801</c:v>
                </c:pt>
                <c:pt idx="1">
                  <c:v>37.1742500003206</c:v>
                </c:pt>
                <c:pt idx="2">
                  <c:v>37.0791369881143</c:v>
                </c:pt>
                <c:pt idx="3">
                  <c:v>37.4087116180914</c:v>
                </c:pt>
                <c:pt idx="4">
                  <c:v>37.6497379359069</c:v>
                </c:pt>
                <c:pt idx="5">
                  <c:v>37.6579593414539</c:v>
                </c:pt>
                <c:pt idx="6">
                  <c:v>38.0282989272977</c:v>
                </c:pt>
                <c:pt idx="7">
                  <c:v>36.4385069162497</c:v>
                </c:pt>
                <c:pt idx="8">
                  <c:v>35.1453304985578</c:v>
                </c:pt>
                <c:pt idx="9">
                  <c:v>34.7175388380098</c:v>
                </c:pt>
                <c:pt idx="10">
                  <c:v>34.2425127430242</c:v>
                </c:pt>
                <c:pt idx="11">
                  <c:v>34.1545846389293</c:v>
                </c:pt>
                <c:pt idx="12">
                  <c:v>33.877639933129</c:v>
                </c:pt>
                <c:pt idx="13">
                  <c:v>34.3256326978231</c:v>
                </c:pt>
                <c:pt idx="14">
                  <c:v>35.024131493268</c:v>
                </c:pt>
                <c:pt idx="15">
                  <c:v>35.8121079918302</c:v>
                </c:pt>
                <c:pt idx="16">
                  <c:v>35.8649991178316</c:v>
                </c:pt>
                <c:pt idx="17">
                  <c:v>35.3515589452547</c:v>
                </c:pt>
                <c:pt idx="18">
                  <c:v>34.6330399018802</c:v>
                </c:pt>
                <c:pt idx="19">
                  <c:v>28.89594</c:v>
                </c:pt>
              </c:numCache>
            </c:numRef>
          </c:val>
        </c:ser>
        <c:ser>
          <c:idx val="3"/>
          <c:order val="1"/>
          <c:tx>
            <c:strRef>
              <c:f>[env0101.xls]ENV0101!$A$19</c:f>
              <c:strCache>
                <c:ptCount val="1"/>
                <c:pt idx="0">
                  <c:v>Rail5</c:v>
                </c:pt>
              </c:strCache>
            </c:strRef>
          </c:tx>
          <c:spPr>
            <a:solidFill>
              <a:schemeClr val="accent4"/>
            </a:solidFill>
            <a:ln>
              <a:noFill/>
            </a:ln>
            <a:effectLst/>
          </c:spPr>
          <c:invertIfNegative val="0"/>
          <c:dLbls>
            <c:delete val="1"/>
          </c:dLbls>
          <c:cat>
            <c:strRef>
              <c:f>[env0101.xls]ENV0101!$U$7:$AN$7</c:f>
              <c:strCache>
                <c:ptCount val="20"/>
                <c:pt idx="0">
                  <c:v>2001</c:v>
                </c:pt>
                <c:pt idx="1">
                  <c:v>2002</c:v>
                </c:pt>
                <c:pt idx="2">
                  <c:v>2003</c:v>
                </c:pt>
                <c:pt idx="3">
                  <c:v>2004</c:v>
                </c:pt>
                <c:pt idx="4">
                  <c:v>2005</c:v>
                </c:pt>
                <c:pt idx="5">
                  <c:v>2006</c:v>
                </c:pt>
                <c:pt idx="6">
                  <c:v>2007</c:v>
                </c:pt>
                <c:pt idx="7">
                  <c:v>2008</c:v>
                </c:pt>
                <c:pt idx="8">
                  <c:v>2009</c:v>
                </c:pt>
                <c:pt idx="9">
                  <c:v>2010</c:v>
                </c:pt>
                <c:pt idx="10" c:formatCode="0">
                  <c:v>2011</c:v>
                </c:pt>
                <c:pt idx="11">
                  <c:v>2012</c:v>
                </c:pt>
                <c:pt idx="12">
                  <c:v>2013</c:v>
                </c:pt>
                <c:pt idx="13">
                  <c:v>2014</c:v>
                </c:pt>
                <c:pt idx="14" c:formatCode="0">
                  <c:v>2015</c:v>
                </c:pt>
                <c:pt idx="15" c:formatCode="0">
                  <c:v>2016</c:v>
                </c:pt>
                <c:pt idx="16" c:formatCode="0">
                  <c:v>2017</c:v>
                </c:pt>
                <c:pt idx="17" c:formatCode="@">
                  <c:v>2018</c:v>
                </c:pt>
                <c:pt idx="18" c:formatCode="@">
                  <c:v>2019</c:v>
                </c:pt>
                <c:pt idx="19" c:formatCode="@">
                  <c:v>2020</c:v>
                </c:pt>
              </c:strCache>
            </c:strRef>
          </c:cat>
          <c:val>
            <c:numRef>
              <c:f>[env0101.xls]ENV0101!$U$19:$AN$19</c:f>
              <c:numCache>
                <c:formatCode>[&gt;0.01]#,##0.0;[&lt;-0.01]\-#,##0.0;\-</c:formatCode>
                <c:ptCount val="20"/>
                <c:pt idx="0">
                  <c:v>0.59785</c:v>
                </c:pt>
                <c:pt idx="1">
                  <c:v>0.59529</c:v>
                </c:pt>
                <c:pt idx="2">
                  <c:v>0.60015</c:v>
                </c:pt>
                <c:pt idx="3">
                  <c:v>0.63043</c:v>
                </c:pt>
                <c:pt idx="4">
                  <c:v>0.58104</c:v>
                </c:pt>
                <c:pt idx="5">
                  <c:v>0.57966</c:v>
                </c:pt>
                <c:pt idx="6">
                  <c:v>0.59418</c:v>
                </c:pt>
                <c:pt idx="7">
                  <c:v>0.60452</c:v>
                </c:pt>
                <c:pt idx="8">
                  <c:v>0.60263</c:v>
                </c:pt>
                <c:pt idx="9">
                  <c:v>0.6063</c:v>
                </c:pt>
                <c:pt idx="10">
                  <c:v>0.6</c:v>
                </c:pt>
                <c:pt idx="11">
                  <c:v>0.62</c:v>
                </c:pt>
                <c:pt idx="12">
                  <c:v>0.61489</c:v>
                </c:pt>
                <c:pt idx="13">
                  <c:v>0.62387</c:v>
                </c:pt>
                <c:pt idx="14">
                  <c:v>0.62018</c:v>
                </c:pt>
                <c:pt idx="15">
                  <c:v>0.614188558109096</c:v>
                </c:pt>
                <c:pt idx="16">
                  <c:v>0.609522308522335</c:v>
                </c:pt>
                <c:pt idx="17">
                  <c:v>0.606477440033828</c:v>
                </c:pt>
                <c:pt idx="18">
                  <c:v>0.634525204650766</c:v>
                </c:pt>
                <c:pt idx="19">
                  <c:v>0.52974</c:v>
                </c:pt>
              </c:numCache>
            </c:numRef>
          </c:val>
        </c:ser>
        <c:ser>
          <c:idx val="7"/>
          <c:order val="2"/>
          <c:tx>
            <c:strRef>
              <c:f>[env0101.xls]ENV0101!$A$21</c:f>
              <c:strCache>
                <c:ptCount val="1"/>
                <c:pt idx="0">
                  <c:v>Shipping6</c:v>
                </c:pt>
              </c:strCache>
            </c:strRef>
          </c:tx>
          <c:spPr>
            <a:solidFill>
              <a:schemeClr val="accent2">
                <a:lumMod val="60000"/>
              </a:schemeClr>
            </a:solidFill>
            <a:ln>
              <a:noFill/>
            </a:ln>
            <a:effectLst/>
          </c:spPr>
          <c:invertIfNegative val="0"/>
          <c:dLbls>
            <c:delete val="1"/>
          </c:dLbls>
          <c:cat>
            <c:strRef>
              <c:f>[env0101.xls]ENV0101!$U$7:$AN$7</c:f>
              <c:strCache>
                <c:ptCount val="20"/>
                <c:pt idx="0">
                  <c:v>2001</c:v>
                </c:pt>
                <c:pt idx="1">
                  <c:v>2002</c:v>
                </c:pt>
                <c:pt idx="2">
                  <c:v>2003</c:v>
                </c:pt>
                <c:pt idx="3">
                  <c:v>2004</c:v>
                </c:pt>
                <c:pt idx="4">
                  <c:v>2005</c:v>
                </c:pt>
                <c:pt idx="5">
                  <c:v>2006</c:v>
                </c:pt>
                <c:pt idx="6">
                  <c:v>2007</c:v>
                </c:pt>
                <c:pt idx="7">
                  <c:v>2008</c:v>
                </c:pt>
                <c:pt idx="8">
                  <c:v>2009</c:v>
                </c:pt>
                <c:pt idx="9">
                  <c:v>2010</c:v>
                </c:pt>
                <c:pt idx="10" c:formatCode="0">
                  <c:v>2011</c:v>
                </c:pt>
                <c:pt idx="11">
                  <c:v>2012</c:v>
                </c:pt>
                <c:pt idx="12">
                  <c:v>2013</c:v>
                </c:pt>
                <c:pt idx="13">
                  <c:v>2014</c:v>
                </c:pt>
                <c:pt idx="14" c:formatCode="0">
                  <c:v>2015</c:v>
                </c:pt>
                <c:pt idx="15" c:formatCode="0">
                  <c:v>2016</c:v>
                </c:pt>
                <c:pt idx="16" c:formatCode="0">
                  <c:v>2017</c:v>
                </c:pt>
                <c:pt idx="17" c:formatCode="@">
                  <c:v>2018</c:v>
                </c:pt>
                <c:pt idx="18" c:formatCode="@">
                  <c:v>2019</c:v>
                </c:pt>
                <c:pt idx="19" c:formatCode="@">
                  <c:v>2020</c:v>
                </c:pt>
              </c:strCache>
            </c:strRef>
          </c:cat>
          <c:val>
            <c:numRef>
              <c:f>[env0101.xls]ENV0101!$U$23:$AN$23</c:f>
              <c:numCache>
                <c:formatCode>[&gt;0.01]#,##0.0;[&lt;-0.01]\-#,##0.0;\-</c:formatCode>
                <c:ptCount val="20"/>
                <c:pt idx="0">
                  <c:v>3.05046</c:v>
                </c:pt>
                <c:pt idx="1">
                  <c:v>2.5602</c:v>
                </c:pt>
                <c:pt idx="2">
                  <c:v>2.89953</c:v>
                </c:pt>
                <c:pt idx="3">
                  <c:v>3.19561</c:v>
                </c:pt>
                <c:pt idx="4">
                  <c:v>3.32933</c:v>
                </c:pt>
                <c:pt idx="5">
                  <c:v>4.03718</c:v>
                </c:pt>
                <c:pt idx="6">
                  <c:v>3.88277</c:v>
                </c:pt>
                <c:pt idx="7">
                  <c:v>4.40927</c:v>
                </c:pt>
                <c:pt idx="8">
                  <c:v>4.18402</c:v>
                </c:pt>
                <c:pt idx="9">
                  <c:v>3.68346</c:v>
                </c:pt>
                <c:pt idx="10">
                  <c:v>3.95851</c:v>
                </c:pt>
                <c:pt idx="11">
                  <c:v>3.43544</c:v>
                </c:pt>
                <c:pt idx="12">
                  <c:v>3.39818</c:v>
                </c:pt>
                <c:pt idx="13">
                  <c:v>3.46904</c:v>
                </c:pt>
                <c:pt idx="14">
                  <c:v>3.34337</c:v>
                </c:pt>
                <c:pt idx="15">
                  <c:v>3.52983873697339</c:v>
                </c:pt>
                <c:pt idx="16">
                  <c:v>3.30480396353183</c:v>
                </c:pt>
                <c:pt idx="17">
                  <c:v>3.28722218007064</c:v>
                </c:pt>
                <c:pt idx="18">
                  <c:v>3.19475674254169</c:v>
                </c:pt>
                <c:pt idx="19">
                  <c:v>2.30785</c:v>
                </c:pt>
              </c:numCache>
            </c:numRef>
          </c:val>
        </c:ser>
        <c:ser>
          <c:idx val="10"/>
          <c:order val="3"/>
          <c:tx>
            <c:strRef>
              <c:f>[env0101.xls]ENV0101!$A$24</c:f>
              <c:strCache>
                <c:ptCount val="1"/>
                <c:pt idx="0">
                  <c:v>Aviation6</c:v>
                </c:pt>
              </c:strCache>
            </c:strRef>
          </c:tx>
          <c:spPr>
            <a:solidFill>
              <a:schemeClr val="accent5">
                <a:lumMod val="60000"/>
              </a:schemeClr>
            </a:solidFill>
            <a:ln>
              <a:noFill/>
            </a:ln>
            <a:effectLst/>
          </c:spPr>
          <c:invertIfNegative val="0"/>
          <c:dLbls>
            <c:delete val="1"/>
          </c:dLbls>
          <c:cat>
            <c:strRef>
              <c:f>[env0101.xls]ENV0101!$U$7:$AN$7</c:f>
              <c:strCache>
                <c:ptCount val="20"/>
                <c:pt idx="0">
                  <c:v>2001</c:v>
                </c:pt>
                <c:pt idx="1">
                  <c:v>2002</c:v>
                </c:pt>
                <c:pt idx="2">
                  <c:v>2003</c:v>
                </c:pt>
                <c:pt idx="3">
                  <c:v>2004</c:v>
                </c:pt>
                <c:pt idx="4">
                  <c:v>2005</c:v>
                </c:pt>
                <c:pt idx="5">
                  <c:v>2006</c:v>
                </c:pt>
                <c:pt idx="6">
                  <c:v>2007</c:v>
                </c:pt>
                <c:pt idx="7">
                  <c:v>2008</c:v>
                </c:pt>
                <c:pt idx="8">
                  <c:v>2009</c:v>
                </c:pt>
                <c:pt idx="9">
                  <c:v>2010</c:v>
                </c:pt>
                <c:pt idx="10" c:formatCode="0">
                  <c:v>2011</c:v>
                </c:pt>
                <c:pt idx="11">
                  <c:v>2012</c:v>
                </c:pt>
                <c:pt idx="12">
                  <c:v>2013</c:v>
                </c:pt>
                <c:pt idx="13">
                  <c:v>2014</c:v>
                </c:pt>
                <c:pt idx="14" c:formatCode="0">
                  <c:v>2015</c:v>
                </c:pt>
                <c:pt idx="15" c:formatCode="0">
                  <c:v>2016</c:v>
                </c:pt>
                <c:pt idx="16" c:formatCode="0">
                  <c:v>2017</c:v>
                </c:pt>
                <c:pt idx="17" c:formatCode="@">
                  <c:v>2018</c:v>
                </c:pt>
                <c:pt idx="18" c:formatCode="@">
                  <c:v>2019</c:v>
                </c:pt>
                <c:pt idx="19" c:formatCode="@">
                  <c:v>2020</c:v>
                </c:pt>
              </c:strCache>
            </c:strRef>
          </c:cat>
          <c:val>
            <c:numRef>
              <c:f>[env0101.xls]ENV0101!$U$26:$AN$26</c:f>
              <c:numCache>
                <c:formatCode>[&gt;0.01]#,##0.0;[&lt;-0.01]\-#,##0.0;\-</c:formatCode>
                <c:ptCount val="20"/>
                <c:pt idx="0">
                  <c:v>10.67318</c:v>
                </c:pt>
                <c:pt idx="1">
                  <c:v>10.56846</c:v>
                </c:pt>
                <c:pt idx="2">
                  <c:v>10.81012</c:v>
                </c:pt>
                <c:pt idx="3">
                  <c:v>11.68642</c:v>
                </c:pt>
                <c:pt idx="4">
                  <c:v>12.54949</c:v>
                </c:pt>
                <c:pt idx="5">
                  <c:v>12.68633</c:v>
                </c:pt>
                <c:pt idx="6">
                  <c:v>12.60721</c:v>
                </c:pt>
                <c:pt idx="7">
                  <c:v>12.17221</c:v>
                </c:pt>
                <c:pt idx="8">
                  <c:v>11.55477</c:v>
                </c:pt>
                <c:pt idx="9">
                  <c:v>11.13743</c:v>
                </c:pt>
                <c:pt idx="10">
                  <c:v>11.59441</c:v>
                </c:pt>
                <c:pt idx="11">
                  <c:v>11.23797</c:v>
                </c:pt>
                <c:pt idx="12">
                  <c:v>11.25731</c:v>
                </c:pt>
                <c:pt idx="13">
                  <c:v>11.23785</c:v>
                </c:pt>
                <c:pt idx="14">
                  <c:v>11.3425</c:v>
                </c:pt>
                <c:pt idx="15">
                  <c:v>11.3516025600687</c:v>
                </c:pt>
                <c:pt idx="16">
                  <c:v>12.1989224607178</c:v>
                </c:pt>
                <c:pt idx="17">
                  <c:v>12.2840703795222</c:v>
                </c:pt>
                <c:pt idx="18">
                  <c:v>12.3936647900441</c:v>
                </c:pt>
                <c:pt idx="19">
                  <c:v>4.99284</c:v>
                </c:pt>
              </c:numCache>
            </c:numRef>
          </c:val>
        </c:ser>
        <c:dLbls>
          <c:showLegendKey val="0"/>
          <c:showVal val="0"/>
          <c:showCatName val="0"/>
          <c:showSerName val="0"/>
          <c:showPercent val="0"/>
          <c:showBubbleSize val="0"/>
        </c:dLbls>
        <c:gapWidth val="150"/>
        <c:overlap val="100"/>
        <c:axId val="648091380"/>
        <c:axId val="686942615"/>
      </c:barChart>
      <c:catAx>
        <c:axId val="6480913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86942615"/>
        <c:crosses val="autoZero"/>
        <c:auto val="1"/>
        <c:lblAlgn val="ctr"/>
        <c:lblOffset val="100"/>
        <c:noMultiLvlLbl val="0"/>
      </c:catAx>
      <c:valAx>
        <c:axId val="68694261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480913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800" b="1" i="0" u="none" strike="noStrike" kern="1200" baseline="0">
                <a:solidFill>
                  <a:schemeClr val="dk1">
                    <a:lumMod val="75000"/>
                    <a:lumOff val="25000"/>
                  </a:schemeClr>
                </a:solidFill>
                <a:latin typeface="+mn-lt"/>
                <a:ea typeface="+mn-ea"/>
                <a:cs typeface="+mn-cs"/>
              </a:defRPr>
            </a:pPr>
            <a:r>
              <a:t>Petroleum Supply Sources</a:t>
            </a:r>
          </a:p>
        </c:rich>
      </c:tx>
      <c:layout/>
      <c:overlay val="0"/>
      <c:spPr>
        <a:noFill/>
        <a:ln>
          <a:noFill/>
        </a:ln>
        <a:effectLst/>
      </c:spPr>
    </c:title>
    <c:autoTitleDeleted val="0"/>
    <c:plotArea>
      <c:layout/>
      <c:barChart>
        <c:barDir val="col"/>
        <c:grouping val="percentStacked"/>
        <c:varyColors val="0"/>
        <c:ser>
          <c:idx val="0"/>
          <c:order val="0"/>
          <c:tx>
            <c:strRef>
              <c:f>[Book2]Sheet1!$A$7</c:f>
              <c:strCache>
                <c:ptCount val="1"/>
                <c:pt idx="0">
                  <c:v>Indigenous Production [ 4]</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[Book2]Sheet1!$B$5:$AO$5</c:f>
              <c:numCache>
                <c:formatCode>General</c:formatCode>
                <c:ptCount val="40"/>
                <c:pt idx="0">
                  <c:v>2001</c:v>
                </c:pt>
                <c:pt idx="2">
                  <c:v>2002</c:v>
                </c:pt>
                <c:pt idx="4">
                  <c:v>2003</c:v>
                </c:pt>
                <c:pt idx="6">
                  <c:v>2004</c:v>
                </c:pt>
                <c:pt idx="8">
                  <c:v>2005</c:v>
                </c:pt>
                <c:pt idx="10">
                  <c:v>2006</c:v>
                </c:pt>
                <c:pt idx="12">
                  <c:v>2007</c:v>
                </c:pt>
                <c:pt idx="14">
                  <c:v>2008</c:v>
                </c:pt>
                <c:pt idx="16">
                  <c:v>2009</c:v>
                </c:pt>
                <c:pt idx="18">
                  <c:v>2010</c:v>
                </c:pt>
                <c:pt idx="20">
                  <c:v>2011</c:v>
                </c:pt>
                <c:pt idx="22">
                  <c:v>2012</c:v>
                </c:pt>
                <c:pt idx="24">
                  <c:v>2013</c:v>
                </c:pt>
                <c:pt idx="26">
                  <c:v>2014</c:v>
                </c:pt>
                <c:pt idx="28">
                  <c:v>2015</c:v>
                </c:pt>
                <c:pt idx="30">
                  <c:v>2016</c:v>
                </c:pt>
                <c:pt idx="32">
                  <c:v>2017</c:v>
                </c:pt>
                <c:pt idx="34">
                  <c:v>2018</c:v>
                </c:pt>
                <c:pt idx="36">
                  <c:v>2019</c:v>
                </c:pt>
                <c:pt idx="38">
                  <c:v>2020</c:v>
                </c:pt>
              </c:numCache>
            </c:numRef>
          </c:cat>
          <c:val>
            <c:numRef>
              <c:f>[Book2]Sheet1!$B$7:$AO$7</c:f>
              <c:numCache>
                <c:formatCode>#,##0_);\(#,##0\)</c:formatCode>
                <c:ptCount val="40"/>
                <c:pt idx="0">
                  <c:v>21455.43</c:v>
                </c:pt>
                <c:pt idx="1">
                  <c:v>26796.32</c:v>
                </c:pt>
                <c:pt idx="2">
                  <c:v>22944.04</c:v>
                </c:pt>
                <c:pt idx="3">
                  <c:v>28392.69</c:v>
                </c:pt>
                <c:pt idx="4">
                  <c:v>22627.15</c:v>
                </c:pt>
                <c:pt idx="5">
                  <c:v>27579.22</c:v>
                </c:pt>
                <c:pt idx="6">
                  <c:v>24589.34</c:v>
                </c:pt>
                <c:pt idx="7">
                  <c:v>28838.54</c:v>
                </c:pt>
                <c:pt idx="8">
                  <c:v>22603.77</c:v>
                </c:pt>
                <c:pt idx="9">
                  <c:v>19055.9</c:v>
                </c:pt>
                <c:pt idx="10">
                  <c:v>21443.23</c:v>
                </c:pt>
                <c:pt idx="11">
                  <c:v>15821.24</c:v>
                </c:pt>
                <c:pt idx="12">
                  <c:v>21313.34</c:v>
                </c:pt>
                <c:pt idx="13">
                  <c:v>16138.32</c:v>
                </c:pt>
                <c:pt idx="14">
                  <c:v>19521.04</c:v>
                </c:pt>
                <c:pt idx="15">
                  <c:v>16350.37</c:v>
                </c:pt>
                <c:pt idx="16">
                  <c:v>19184.41</c:v>
                </c:pt>
                <c:pt idx="17">
                  <c:v>15908.24</c:v>
                </c:pt>
                <c:pt idx="18">
                  <c:v>19074.07</c:v>
                </c:pt>
                <c:pt idx="19">
                  <c:v>15332.39</c:v>
                </c:pt>
                <c:pt idx="20">
                  <c:v>18822.76</c:v>
                </c:pt>
                <c:pt idx="21">
                  <c:v>16800.69</c:v>
                </c:pt>
                <c:pt idx="22">
                  <c:v>18650.28</c:v>
                </c:pt>
                <c:pt idx="23">
                  <c:v>15771.58</c:v>
                </c:pt>
                <c:pt idx="24">
                  <c:v>17691</c:v>
                </c:pt>
                <c:pt idx="25">
                  <c:v>14831</c:v>
                </c:pt>
                <c:pt idx="26">
                  <c:v>15709</c:v>
                </c:pt>
                <c:pt idx="27">
                  <c:v>13726</c:v>
                </c:pt>
                <c:pt idx="28">
                  <c:v>16893</c:v>
                </c:pt>
                <c:pt idx="29">
                  <c:v>13483</c:v>
                </c:pt>
                <c:pt idx="30">
                  <c:v>17343</c:v>
                </c:pt>
                <c:pt idx="31">
                  <c:v>13524</c:v>
                </c:pt>
                <c:pt idx="32">
                  <c:v>17417</c:v>
                </c:pt>
                <c:pt idx="33">
                  <c:v>13425</c:v>
                </c:pt>
                <c:pt idx="34">
                  <c:v>16575.39</c:v>
                </c:pt>
                <c:pt idx="35">
                  <c:v>12599.32</c:v>
                </c:pt>
                <c:pt idx="36">
                  <c:v>16487.74</c:v>
                </c:pt>
                <c:pt idx="37">
                  <c:v>13292.15</c:v>
                </c:pt>
                <c:pt idx="38">
                  <c:v>13154.61</c:v>
                </c:pt>
                <c:pt idx="39">
                  <c:v>12428.68</c:v>
                </c:pt>
              </c:numCache>
            </c:numRef>
          </c:val>
        </c:ser>
        <c:ser>
          <c:idx val="1"/>
          <c:order val="1"/>
          <c:tx>
            <c:strRef>
              <c:f>[Book2]Sheet1!$A$8</c:f>
              <c:strCache>
                <c:ptCount val="1"/>
                <c:pt idx="0">
                  <c:v>Imports [ 5]</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[Book2]Sheet1!$B$5:$AO$5</c:f>
              <c:numCache>
                <c:formatCode>General</c:formatCode>
                <c:ptCount val="40"/>
                <c:pt idx="0">
                  <c:v>2001</c:v>
                </c:pt>
                <c:pt idx="2">
                  <c:v>2002</c:v>
                </c:pt>
                <c:pt idx="4">
                  <c:v>2003</c:v>
                </c:pt>
                <c:pt idx="6">
                  <c:v>2004</c:v>
                </c:pt>
                <c:pt idx="8">
                  <c:v>2005</c:v>
                </c:pt>
                <c:pt idx="10">
                  <c:v>2006</c:v>
                </c:pt>
                <c:pt idx="12">
                  <c:v>2007</c:v>
                </c:pt>
                <c:pt idx="14">
                  <c:v>2008</c:v>
                </c:pt>
                <c:pt idx="16">
                  <c:v>2009</c:v>
                </c:pt>
                <c:pt idx="18">
                  <c:v>2010</c:v>
                </c:pt>
                <c:pt idx="20">
                  <c:v>2011</c:v>
                </c:pt>
                <c:pt idx="22">
                  <c:v>2012</c:v>
                </c:pt>
                <c:pt idx="24">
                  <c:v>2013</c:v>
                </c:pt>
                <c:pt idx="26">
                  <c:v>2014</c:v>
                </c:pt>
                <c:pt idx="28">
                  <c:v>2015</c:v>
                </c:pt>
                <c:pt idx="30">
                  <c:v>2016</c:v>
                </c:pt>
                <c:pt idx="32">
                  <c:v>2017</c:v>
                </c:pt>
                <c:pt idx="34">
                  <c:v>2018</c:v>
                </c:pt>
                <c:pt idx="36">
                  <c:v>2019</c:v>
                </c:pt>
                <c:pt idx="38">
                  <c:v>2020</c:v>
                </c:pt>
              </c:numCache>
            </c:numRef>
          </c:cat>
          <c:val>
            <c:numRef>
              <c:f>[Book2]Sheet1!$B$8:$AO$8</c:f>
              <c:numCache>
                <c:formatCode>#,##0_);\(#,##0\)</c:formatCode>
                <c:ptCount val="40"/>
                <c:pt idx="0">
                  <c:v>3702.41</c:v>
                </c:pt>
                <c:pt idx="1">
                  <c:v>4072.66</c:v>
                </c:pt>
                <c:pt idx="2">
                  <c:v>2307.01</c:v>
                </c:pt>
                <c:pt idx="3">
                  <c:v>3219.44</c:v>
                </c:pt>
                <c:pt idx="4">
                  <c:v>2021.94</c:v>
                </c:pt>
                <c:pt idx="5">
                  <c:v>3502.7</c:v>
                </c:pt>
                <c:pt idx="6">
                  <c:v>2174.79</c:v>
                </c:pt>
                <c:pt idx="7">
                  <c:v>4216.32</c:v>
                </c:pt>
                <c:pt idx="8">
                  <c:v>2310.4</c:v>
                </c:pt>
                <c:pt idx="9">
                  <c:v>3146.24</c:v>
                </c:pt>
                <c:pt idx="10">
                  <c:v>3798.91</c:v>
                </c:pt>
                <c:pt idx="11">
                  <c:v>7124.84</c:v>
                </c:pt>
                <c:pt idx="12">
                  <c:v>3495.38</c:v>
                </c:pt>
                <c:pt idx="13">
                  <c:v>6571.09</c:v>
                </c:pt>
                <c:pt idx="14">
                  <c:v>3221.26</c:v>
                </c:pt>
                <c:pt idx="15">
                  <c:v>6583.09</c:v>
                </c:pt>
                <c:pt idx="16">
                  <c:v>2774.17</c:v>
                </c:pt>
                <c:pt idx="17">
                  <c:v>5822.62</c:v>
                </c:pt>
                <c:pt idx="18">
                  <c:v>2873.62</c:v>
                </c:pt>
                <c:pt idx="19">
                  <c:v>7648.48</c:v>
                </c:pt>
                <c:pt idx="20">
                  <c:v>3259.12</c:v>
                </c:pt>
                <c:pt idx="21">
                  <c:v>7735.96</c:v>
                </c:pt>
                <c:pt idx="22">
                  <c:v>4184.15</c:v>
                </c:pt>
                <c:pt idx="23">
                  <c:v>9540.87</c:v>
                </c:pt>
                <c:pt idx="24">
                  <c:v>4442</c:v>
                </c:pt>
                <c:pt idx="25">
                  <c:v>10115</c:v>
                </c:pt>
                <c:pt idx="26">
                  <c:v>3526</c:v>
                </c:pt>
                <c:pt idx="27">
                  <c:v>11470</c:v>
                </c:pt>
                <c:pt idx="28">
                  <c:v>3905</c:v>
                </c:pt>
                <c:pt idx="29">
                  <c:v>12475</c:v>
                </c:pt>
                <c:pt idx="30">
                  <c:v>3900</c:v>
                </c:pt>
                <c:pt idx="31">
                  <c:v>14151</c:v>
                </c:pt>
                <c:pt idx="32">
                  <c:v>3279</c:v>
                </c:pt>
                <c:pt idx="33">
                  <c:v>13774</c:v>
                </c:pt>
                <c:pt idx="34">
                  <c:v>3423.88</c:v>
                </c:pt>
                <c:pt idx="35">
                  <c:v>14400.4</c:v>
                </c:pt>
                <c:pt idx="36">
                  <c:v>2932.98</c:v>
                </c:pt>
                <c:pt idx="37">
                  <c:v>13219.65</c:v>
                </c:pt>
                <c:pt idx="38">
                  <c:v>2741.46</c:v>
                </c:pt>
                <c:pt idx="39">
                  <c:v>10738.48</c:v>
                </c:pt>
              </c:numCache>
            </c:numRef>
          </c:val>
        </c:ser>
        <c:ser>
          <c:idx val="2"/>
          <c:order val="2"/>
          <c:tx>
            <c:strRef>
              <c:f>[Book2]Sheet1!$A$9</c:f>
              <c:strCache>
                <c:ptCount val="1"/>
                <c:pt idx="0">
                  <c:v>Exports [ 5]</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[Book2]Sheet1!$B$5:$AO$5</c:f>
              <c:numCache>
                <c:formatCode>General</c:formatCode>
                <c:ptCount val="40"/>
                <c:pt idx="0">
                  <c:v>2001</c:v>
                </c:pt>
                <c:pt idx="2">
                  <c:v>2002</c:v>
                </c:pt>
                <c:pt idx="4">
                  <c:v>2003</c:v>
                </c:pt>
                <c:pt idx="6">
                  <c:v>2004</c:v>
                </c:pt>
                <c:pt idx="8">
                  <c:v>2005</c:v>
                </c:pt>
                <c:pt idx="10">
                  <c:v>2006</c:v>
                </c:pt>
                <c:pt idx="12">
                  <c:v>2007</c:v>
                </c:pt>
                <c:pt idx="14">
                  <c:v>2008</c:v>
                </c:pt>
                <c:pt idx="16">
                  <c:v>2009</c:v>
                </c:pt>
                <c:pt idx="18">
                  <c:v>2010</c:v>
                </c:pt>
                <c:pt idx="20">
                  <c:v>2011</c:v>
                </c:pt>
                <c:pt idx="22">
                  <c:v>2012</c:v>
                </c:pt>
                <c:pt idx="24">
                  <c:v>2013</c:v>
                </c:pt>
                <c:pt idx="26">
                  <c:v>2014</c:v>
                </c:pt>
                <c:pt idx="28">
                  <c:v>2015</c:v>
                </c:pt>
                <c:pt idx="30">
                  <c:v>2016</c:v>
                </c:pt>
                <c:pt idx="32">
                  <c:v>2017</c:v>
                </c:pt>
                <c:pt idx="34">
                  <c:v>2018</c:v>
                </c:pt>
                <c:pt idx="36">
                  <c:v>2019</c:v>
                </c:pt>
                <c:pt idx="38">
                  <c:v>2020</c:v>
                </c:pt>
              </c:numCache>
            </c:numRef>
          </c:cat>
          <c:val>
            <c:numRef>
              <c:f>[Book2]Sheet1!$B$9:$AO$9</c:f>
              <c:numCache>
                <c:formatCode>#,##0_);\(#,##0\)</c:formatCode>
                <c:ptCount val="40"/>
                <c:pt idx="0">
                  <c:v>4446.77</c:v>
                </c:pt>
                <c:pt idx="1">
                  <c:v>5287.57</c:v>
                </c:pt>
                <c:pt idx="2">
                  <c:v>5532.42</c:v>
                </c:pt>
                <c:pt idx="3">
                  <c:v>6352.09</c:v>
                </c:pt>
                <c:pt idx="4">
                  <c:v>5602.83</c:v>
                </c:pt>
                <c:pt idx="5">
                  <c:v>5527.62</c:v>
                </c:pt>
                <c:pt idx="6">
                  <c:v>7333.73</c:v>
                </c:pt>
                <c:pt idx="7">
                  <c:v>6622.94</c:v>
                </c:pt>
                <c:pt idx="8">
                  <c:v>6586.39</c:v>
                </c:pt>
                <c:pt idx="9">
                  <c:v>1934.72</c:v>
                </c:pt>
                <c:pt idx="10">
                  <c:v>6933.45</c:v>
                </c:pt>
                <c:pt idx="11">
                  <c:v>1129.69</c:v>
                </c:pt>
                <c:pt idx="12">
                  <c:v>7330.95</c:v>
                </c:pt>
                <c:pt idx="13">
                  <c:v>1356.89</c:v>
                </c:pt>
                <c:pt idx="14">
                  <c:v>7016.87</c:v>
                </c:pt>
                <c:pt idx="15">
                  <c:v>2385.26</c:v>
                </c:pt>
                <c:pt idx="16">
                  <c:v>7810.79</c:v>
                </c:pt>
                <c:pt idx="17">
                  <c:v>1850.03</c:v>
                </c:pt>
                <c:pt idx="18">
                  <c:v>8618.95</c:v>
                </c:pt>
                <c:pt idx="19">
                  <c:v>2121.26</c:v>
                </c:pt>
                <c:pt idx="20">
                  <c:v>9363.04</c:v>
                </c:pt>
                <c:pt idx="21">
                  <c:v>3127.05</c:v>
                </c:pt>
                <c:pt idx="22">
                  <c:v>11042.41</c:v>
                </c:pt>
                <c:pt idx="23">
                  <c:v>3376.88</c:v>
                </c:pt>
                <c:pt idx="24">
                  <c:v>10809</c:v>
                </c:pt>
                <c:pt idx="25">
                  <c:v>2843</c:v>
                </c:pt>
                <c:pt idx="26">
                  <c:v>8684</c:v>
                </c:pt>
                <c:pt idx="27">
                  <c:v>1942</c:v>
                </c:pt>
                <c:pt idx="28">
                  <c:v>10340</c:v>
                </c:pt>
                <c:pt idx="29">
                  <c:v>1794</c:v>
                </c:pt>
                <c:pt idx="30">
                  <c:v>11131</c:v>
                </c:pt>
                <c:pt idx="31">
                  <c:v>2380</c:v>
                </c:pt>
                <c:pt idx="32">
                  <c:v>10966</c:v>
                </c:pt>
                <c:pt idx="33">
                  <c:v>1556</c:v>
                </c:pt>
                <c:pt idx="34">
                  <c:v>10291.66</c:v>
                </c:pt>
                <c:pt idx="35">
                  <c:v>1587.54</c:v>
                </c:pt>
                <c:pt idx="36">
                  <c:v>9433.63</c:v>
                </c:pt>
                <c:pt idx="37">
                  <c:v>1565.57</c:v>
                </c:pt>
                <c:pt idx="38">
                  <c:v>7712.85</c:v>
                </c:pt>
                <c:pt idx="39">
                  <c:v>2235.55</c:v>
                </c:pt>
              </c:numCache>
            </c:numRef>
          </c:val>
        </c:ser>
        <c:ser>
          <c:idx val="3"/>
          <c:order val="3"/>
          <c:tx>
            <c:strRef>
              <c:f>[Book2]Sheet1!$A$10</c:f>
              <c:strCache>
                <c:ptCount val="1"/>
                <c:pt idx="0">
                  <c:v>Marine bunkers</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[Book2]Sheet1!$B$5:$AO$5</c:f>
              <c:numCache>
                <c:formatCode>General</c:formatCode>
                <c:ptCount val="40"/>
                <c:pt idx="0">
                  <c:v>2001</c:v>
                </c:pt>
                <c:pt idx="2">
                  <c:v>2002</c:v>
                </c:pt>
                <c:pt idx="4">
                  <c:v>2003</c:v>
                </c:pt>
                <c:pt idx="6">
                  <c:v>2004</c:v>
                </c:pt>
                <c:pt idx="8">
                  <c:v>2005</c:v>
                </c:pt>
                <c:pt idx="10">
                  <c:v>2006</c:v>
                </c:pt>
                <c:pt idx="12">
                  <c:v>2007</c:v>
                </c:pt>
                <c:pt idx="14">
                  <c:v>2008</c:v>
                </c:pt>
                <c:pt idx="16">
                  <c:v>2009</c:v>
                </c:pt>
                <c:pt idx="18">
                  <c:v>2010</c:v>
                </c:pt>
                <c:pt idx="20">
                  <c:v>2011</c:v>
                </c:pt>
                <c:pt idx="22">
                  <c:v>2012</c:v>
                </c:pt>
                <c:pt idx="24">
                  <c:v>2013</c:v>
                </c:pt>
                <c:pt idx="26">
                  <c:v>2014</c:v>
                </c:pt>
                <c:pt idx="28">
                  <c:v>2015</c:v>
                </c:pt>
                <c:pt idx="30">
                  <c:v>2016</c:v>
                </c:pt>
                <c:pt idx="32">
                  <c:v>2017</c:v>
                </c:pt>
                <c:pt idx="34">
                  <c:v>2018</c:v>
                </c:pt>
                <c:pt idx="36">
                  <c:v>2019</c:v>
                </c:pt>
                <c:pt idx="38">
                  <c:v>2020</c:v>
                </c:pt>
              </c:numCache>
            </c:numRef>
          </c:cat>
          <c:val>
            <c:numRef>
              <c:f>[Book2]Sheet1!$B$10:$AO$10</c:f>
              <c:numCache>
                <c:formatCode>#,##0_);\(#,##0\)</c:formatCode>
                <c:ptCount val="40"/>
                <c:pt idx="0">
                  <c:v>0</c:v>
                </c:pt>
                <c:pt idx="1">
                  <c:v>1433.08</c:v>
                </c:pt>
                <c:pt idx="2">
                  <c:v>0</c:v>
                </c:pt>
                <c:pt idx="3">
                  <c:v>1144.23</c:v>
                </c:pt>
                <c:pt idx="4">
                  <c:v>0</c:v>
                </c:pt>
                <c:pt idx="5">
                  <c:v>896.99</c:v>
                </c:pt>
                <c:pt idx="6">
                  <c:v>0</c:v>
                </c:pt>
                <c:pt idx="7">
                  <c:v>1073.23</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numCache>
            </c:numRef>
          </c:val>
        </c:ser>
        <c:ser>
          <c:idx val="4"/>
          <c:order val="4"/>
          <c:tx>
            <c:strRef>
              <c:f>[Book2]Sheet1!$A$11</c:f>
              <c:strCache>
                <c:ptCount val="1"/>
                <c:pt idx="0">
                  <c:v>Stock change [ 6]</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[Book2]Sheet1!$B$5:$AO$5</c:f>
              <c:numCache>
                <c:formatCode>General</c:formatCode>
                <c:ptCount val="40"/>
                <c:pt idx="0">
                  <c:v>2001</c:v>
                </c:pt>
                <c:pt idx="2">
                  <c:v>2002</c:v>
                </c:pt>
                <c:pt idx="4">
                  <c:v>2003</c:v>
                </c:pt>
                <c:pt idx="6">
                  <c:v>2004</c:v>
                </c:pt>
                <c:pt idx="8">
                  <c:v>2005</c:v>
                </c:pt>
                <c:pt idx="10">
                  <c:v>2006</c:v>
                </c:pt>
                <c:pt idx="12">
                  <c:v>2007</c:v>
                </c:pt>
                <c:pt idx="14">
                  <c:v>2008</c:v>
                </c:pt>
                <c:pt idx="16">
                  <c:v>2009</c:v>
                </c:pt>
                <c:pt idx="18">
                  <c:v>2010</c:v>
                </c:pt>
                <c:pt idx="20">
                  <c:v>2011</c:v>
                </c:pt>
                <c:pt idx="22">
                  <c:v>2012</c:v>
                </c:pt>
                <c:pt idx="24">
                  <c:v>2013</c:v>
                </c:pt>
                <c:pt idx="26">
                  <c:v>2014</c:v>
                </c:pt>
                <c:pt idx="28">
                  <c:v>2015</c:v>
                </c:pt>
                <c:pt idx="30">
                  <c:v>2016</c:v>
                </c:pt>
                <c:pt idx="32">
                  <c:v>2017</c:v>
                </c:pt>
                <c:pt idx="34">
                  <c:v>2018</c:v>
                </c:pt>
                <c:pt idx="36">
                  <c:v>2019</c:v>
                </c:pt>
                <c:pt idx="38">
                  <c:v>2020</c:v>
                </c:pt>
              </c:numCache>
            </c:numRef>
          </c:cat>
          <c:val>
            <c:numRef>
              <c:f>[Book2]Sheet1!$B$11:$AO$11</c:f>
              <c:numCache>
                <c:formatCode>\+#,##0;\-#,##0;"-"\ </c:formatCode>
                <c:ptCount val="40"/>
                <c:pt idx="0">
                  <c:v>-377.14</c:v>
                </c:pt>
                <c:pt idx="1">
                  <c:v>48.63</c:v>
                </c:pt>
                <c:pt idx="2">
                  <c:v>272.6</c:v>
                </c:pt>
                <c:pt idx="3">
                  <c:v>193.63</c:v>
                </c:pt>
                <c:pt idx="4">
                  <c:v>-87.96</c:v>
                </c:pt>
                <c:pt idx="5">
                  <c:v>-26.77</c:v>
                </c:pt>
                <c:pt idx="6">
                  <c:v>-40.11</c:v>
                </c:pt>
                <c:pt idx="7">
                  <c:v>-267.67</c:v>
                </c:pt>
                <c:pt idx="8">
                  <c:v>409.85</c:v>
                </c:pt>
                <c:pt idx="9">
                  <c:v>-1.53999999999999</c:v>
                </c:pt>
                <c:pt idx="10">
                  <c:v>-28.73</c:v>
                </c:pt>
                <c:pt idx="11">
                  <c:v>-201.49</c:v>
                </c:pt>
                <c:pt idx="12">
                  <c:v>105.73</c:v>
                </c:pt>
                <c:pt idx="13">
                  <c:v>194.83</c:v>
                </c:pt>
                <c:pt idx="14">
                  <c:v>5.14</c:v>
                </c:pt>
                <c:pt idx="15">
                  <c:v>-114.83</c:v>
                </c:pt>
                <c:pt idx="16">
                  <c:v>29.62</c:v>
                </c:pt>
                <c:pt idx="17">
                  <c:v>172.53</c:v>
                </c:pt>
                <c:pt idx="18">
                  <c:v>290.55</c:v>
                </c:pt>
                <c:pt idx="19">
                  <c:v>61.05</c:v>
                </c:pt>
                <c:pt idx="20">
                  <c:v>39.02</c:v>
                </c:pt>
                <c:pt idx="21">
                  <c:v>82.67</c:v>
                </c:pt>
                <c:pt idx="22">
                  <c:v>25.79</c:v>
                </c:pt>
                <c:pt idx="23">
                  <c:v>-132.77</c:v>
                </c:pt>
                <c:pt idx="24">
                  <c:v>-356</c:v>
                </c:pt>
                <c:pt idx="25">
                  <c:v>46</c:v>
                </c:pt>
                <c:pt idx="26">
                  <c:v>114</c:v>
                </c:pt>
                <c:pt idx="27">
                  <c:v>-62</c:v>
                </c:pt>
                <c:pt idx="28">
                  <c:v>-137</c:v>
                </c:pt>
                <c:pt idx="29">
                  <c:v>-95</c:v>
                </c:pt>
                <c:pt idx="30">
                  <c:v>6</c:v>
                </c:pt>
                <c:pt idx="31">
                  <c:v>-208</c:v>
                </c:pt>
                <c:pt idx="32">
                  <c:v>-49</c:v>
                </c:pt>
                <c:pt idx="33">
                  <c:v>37</c:v>
                </c:pt>
                <c:pt idx="34">
                  <c:v>-41.39</c:v>
                </c:pt>
                <c:pt idx="35">
                  <c:v>25.23</c:v>
                </c:pt>
                <c:pt idx="36">
                  <c:v>134.09</c:v>
                </c:pt>
                <c:pt idx="37">
                  <c:v>-266.92</c:v>
                </c:pt>
                <c:pt idx="38">
                  <c:v>-252.34</c:v>
                </c:pt>
                <c:pt idx="39">
                  <c:v>-181.67</c:v>
                </c:pt>
              </c:numCache>
            </c:numRef>
          </c:val>
        </c:ser>
        <c:ser>
          <c:idx val="5"/>
          <c:order val="5"/>
          <c:tx>
            <c:strRef>
              <c:f>[Book2]Sheet1!$A$12</c:f>
              <c:strCache>
                <c:ptCount val="1"/>
                <c:pt idx="0">
                  <c:v>Transfers [ 7]</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[Book2]Sheet1!$B$5:$AO$5</c:f>
              <c:numCache>
                <c:formatCode>General</c:formatCode>
                <c:ptCount val="40"/>
                <c:pt idx="0">
                  <c:v>2001</c:v>
                </c:pt>
                <c:pt idx="2">
                  <c:v>2002</c:v>
                </c:pt>
                <c:pt idx="4">
                  <c:v>2003</c:v>
                </c:pt>
                <c:pt idx="6">
                  <c:v>2004</c:v>
                </c:pt>
                <c:pt idx="8">
                  <c:v>2005</c:v>
                </c:pt>
                <c:pt idx="10">
                  <c:v>2006</c:v>
                </c:pt>
                <c:pt idx="12">
                  <c:v>2007</c:v>
                </c:pt>
                <c:pt idx="14">
                  <c:v>2008</c:v>
                </c:pt>
                <c:pt idx="16">
                  <c:v>2009</c:v>
                </c:pt>
                <c:pt idx="18">
                  <c:v>2010</c:v>
                </c:pt>
                <c:pt idx="20">
                  <c:v>2011</c:v>
                </c:pt>
                <c:pt idx="22">
                  <c:v>2012</c:v>
                </c:pt>
                <c:pt idx="24">
                  <c:v>2013</c:v>
                </c:pt>
                <c:pt idx="26">
                  <c:v>2014</c:v>
                </c:pt>
                <c:pt idx="28">
                  <c:v>2015</c:v>
                </c:pt>
                <c:pt idx="30">
                  <c:v>2016</c:v>
                </c:pt>
                <c:pt idx="32">
                  <c:v>2017</c:v>
                </c:pt>
                <c:pt idx="34">
                  <c:v>2018</c:v>
                </c:pt>
                <c:pt idx="36">
                  <c:v>2019</c:v>
                </c:pt>
                <c:pt idx="38">
                  <c:v>2020</c:v>
                </c:pt>
              </c:numCache>
            </c:numRef>
          </c:cat>
          <c:val>
            <c:numRef>
              <c:f>[Book2]Sheet1!$B$12:$AO$12</c:f>
              <c:numCache>
                <c:formatCode>#,##0_);\(#,##0\)</c:formatCode>
                <c:ptCount val="40"/>
                <c:pt idx="0">
                  <c:v>1062</c:v>
                </c:pt>
                <c:pt idx="1">
                  <c:v>-1247.05</c:v>
                </c:pt>
                <c:pt idx="2">
                  <c:v>498.51</c:v>
                </c:pt>
                <c:pt idx="3">
                  <c:v>-721.8</c:v>
                </c:pt>
                <c:pt idx="4">
                  <c:v>453.62</c:v>
                </c:pt>
                <c:pt idx="5">
                  <c:v>-624.51</c:v>
                </c:pt>
                <c:pt idx="6">
                  <c:v>-10.63</c:v>
                </c:pt>
                <c:pt idx="7">
                  <c:v>-392.68</c:v>
                </c:pt>
                <c:pt idx="8">
                  <c:v>-3.81000000000001</c:v>
                </c:pt>
                <c:pt idx="9">
                  <c:v>-38.69</c:v>
                </c:pt>
                <c:pt idx="10">
                  <c:v>15.39</c:v>
                </c:pt>
                <c:pt idx="11">
                  <c:v>0</c:v>
                </c:pt>
                <c:pt idx="12">
                  <c:v>59.5</c:v>
                </c:pt>
                <c:pt idx="13">
                  <c:v>-254.13</c:v>
                </c:pt>
                <c:pt idx="14">
                  <c:v>814.88</c:v>
                </c:pt>
                <c:pt idx="15">
                  <c:v>71.94</c:v>
                </c:pt>
                <c:pt idx="16">
                  <c:v>1418</c:v>
                </c:pt>
                <c:pt idx="17">
                  <c:v>-4.01</c:v>
                </c:pt>
                <c:pt idx="18">
                  <c:v>1009.19</c:v>
                </c:pt>
                <c:pt idx="19">
                  <c:v>-179.5</c:v>
                </c:pt>
                <c:pt idx="20">
                  <c:v>1123.64</c:v>
                </c:pt>
                <c:pt idx="21">
                  <c:v>-498.32</c:v>
                </c:pt>
                <c:pt idx="22">
                  <c:v>1400.08</c:v>
                </c:pt>
                <c:pt idx="23">
                  <c:v>-267.58</c:v>
                </c:pt>
                <c:pt idx="24">
                  <c:v>1606</c:v>
                </c:pt>
                <c:pt idx="25">
                  <c:v>-252</c:v>
                </c:pt>
                <c:pt idx="26">
                  <c:v>1661</c:v>
                </c:pt>
                <c:pt idx="27">
                  <c:v>-509</c:v>
                </c:pt>
                <c:pt idx="28">
                  <c:v>1754</c:v>
                </c:pt>
                <c:pt idx="29">
                  <c:v>-422</c:v>
                </c:pt>
                <c:pt idx="30">
                  <c:v>1850</c:v>
                </c:pt>
                <c:pt idx="31">
                  <c:v>-438</c:v>
                </c:pt>
                <c:pt idx="32">
                  <c:v>2123</c:v>
                </c:pt>
                <c:pt idx="33">
                  <c:v>-731</c:v>
                </c:pt>
                <c:pt idx="34">
                  <c:v>1914.17</c:v>
                </c:pt>
                <c:pt idx="35">
                  <c:v>-790.55</c:v>
                </c:pt>
                <c:pt idx="36">
                  <c:v>1598.68</c:v>
                </c:pt>
                <c:pt idx="37">
                  <c:v>-883.17</c:v>
                </c:pt>
                <c:pt idx="38">
                  <c:v>1227.05</c:v>
                </c:pt>
                <c:pt idx="39">
                  <c:v>-1093.22</c:v>
                </c:pt>
              </c:numCache>
            </c:numRef>
          </c:val>
        </c:ser>
        <c:dLbls>
          <c:showLegendKey val="0"/>
          <c:showVal val="1"/>
          <c:showCatName val="0"/>
          <c:showSerName val="0"/>
          <c:showPercent val="0"/>
          <c:showBubbleSize val="0"/>
        </c:dLbls>
        <c:gapWidth val="150"/>
        <c:overlap val="100"/>
        <c:axId val="103291966"/>
        <c:axId val="175009406"/>
        <c:extLst>
          <c:ext xmlns:c15="http://schemas.microsoft.com/office/drawing/2012/chart" uri="{02D57815-91ED-43cb-92C2-25804820EDAC}">
            <c15:filteredBarSeries>
              <c15:ser>
                <c:idx val="6"/>
                <c:order val="6"/>
                <c:tx>
                  <c:strRef>
                    <c:extLst>
                      <c:ext uri="{02D57815-91ED-43cb-92C2-25804820EDAC}">
                        <c15:formulaRef>
                          <c15:sqref>[Book2]Sheet1!$A$13</c15:sqref>
                        </c15:formulaRef>
                      </c:ext>
                    </c:extLst>
                    <c:strCache>
                      <c:ptCount val="1"/>
                      <c:pt idx="0">
                        <c:v>Total supply</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extLst>
                      <c:ext uri="{02D57815-91ED-43cb-92C2-25804820EDAC}">
                        <c15:fullRef>
                          <c15:sqref/>
                        </c15:fullRef>
                        <c15:formulaRef>
                          <c15:sqref>[Book2]Sheet1!$B$5:$AO$5</c15:sqref>
                        </c15:formulaRef>
                      </c:ext>
                    </c:extLst>
                    <c:numCache>
                      <c:formatCode>General</c:formatCode>
                      <c:ptCount val="40"/>
                      <c:pt idx="0">
                        <c:v>2001</c:v>
                      </c:pt>
                      <c:pt idx="2">
                        <c:v>2002</c:v>
                      </c:pt>
                      <c:pt idx="4">
                        <c:v>2003</c:v>
                      </c:pt>
                      <c:pt idx="6">
                        <c:v>2004</c:v>
                      </c:pt>
                      <c:pt idx="8">
                        <c:v>2005</c:v>
                      </c:pt>
                      <c:pt idx="10">
                        <c:v>2006</c:v>
                      </c:pt>
                      <c:pt idx="12">
                        <c:v>2007</c:v>
                      </c:pt>
                      <c:pt idx="14">
                        <c:v>2008</c:v>
                      </c:pt>
                      <c:pt idx="16">
                        <c:v>2009</c:v>
                      </c:pt>
                      <c:pt idx="18">
                        <c:v>2010</c:v>
                      </c:pt>
                      <c:pt idx="20">
                        <c:v>2011</c:v>
                      </c:pt>
                      <c:pt idx="22">
                        <c:v>2012</c:v>
                      </c:pt>
                      <c:pt idx="24">
                        <c:v>2013</c:v>
                      </c:pt>
                      <c:pt idx="26">
                        <c:v>2014</c:v>
                      </c:pt>
                      <c:pt idx="28">
                        <c:v>2015</c:v>
                      </c:pt>
                      <c:pt idx="30">
                        <c:v>2016</c:v>
                      </c:pt>
                      <c:pt idx="32">
                        <c:v>2017</c:v>
                      </c:pt>
                      <c:pt idx="34">
                        <c:v>2018</c:v>
                      </c:pt>
                      <c:pt idx="36">
                        <c:v>2019</c:v>
                      </c:pt>
                      <c:pt idx="38">
                        <c:v>2020</c:v>
                      </c:pt>
                    </c:numCache>
                  </c:numRef>
                </c:cat>
                <c:val>
                  <c:numRef>
                    <c:extLst>
                      <c:ext uri="{02D57815-91ED-43cb-92C2-25804820EDAC}">
                        <c15:formulaRef>
                          <c15:sqref>{21395.94,22949.93,20489.76,23587.63,19411.9,24006.04,19379.66,24698.34,18733.83,20227.18,18295.36,21614.89,17643.01,21293.2,16545.45,20505.32,15595.41,20049.37,14628.48,20741.15,13881.5,20993.97,13217.9,21535.25,12575,21895,12328,22683,12075,23647,11969,24650,11803,24947,11580.41,24646.86,11719.83,23796.15,9157.94,19656.7}</c15:sqref>
                        </c15:formulaRef>
                      </c:ext>
                    </c:extLst>
                    <c:numCache>
                      <c:formatCode>#,##0_);\(#,##0\)</c:formatCode>
                      <c:ptCount val="40"/>
                      <c:pt idx="0">
                        <c:v>21395.94</c:v>
                      </c:pt>
                      <c:pt idx="1">
                        <c:v>22949.93</c:v>
                      </c:pt>
                      <c:pt idx="2">
                        <c:v>20489.76</c:v>
                      </c:pt>
                      <c:pt idx="3">
                        <c:v>23587.63</c:v>
                      </c:pt>
                      <c:pt idx="4">
                        <c:v>19411.9</c:v>
                      </c:pt>
                      <c:pt idx="5">
                        <c:v>24006.04</c:v>
                      </c:pt>
                      <c:pt idx="6">
                        <c:v>19379.66</c:v>
                      </c:pt>
                      <c:pt idx="7">
                        <c:v>24698.34</c:v>
                      </c:pt>
                      <c:pt idx="8">
                        <c:v>18733.83</c:v>
                      </c:pt>
                      <c:pt idx="9">
                        <c:v>20227.18</c:v>
                      </c:pt>
                      <c:pt idx="10">
                        <c:v>18295.36</c:v>
                      </c:pt>
                      <c:pt idx="11">
                        <c:v>21614.89</c:v>
                      </c:pt>
                      <c:pt idx="12">
                        <c:v>17643.01</c:v>
                      </c:pt>
                      <c:pt idx="13">
                        <c:v>21293.2</c:v>
                      </c:pt>
                      <c:pt idx="14">
                        <c:v>16545.45</c:v>
                      </c:pt>
                      <c:pt idx="15">
                        <c:v>20505.32</c:v>
                      </c:pt>
                      <c:pt idx="16">
                        <c:v>15595.41</c:v>
                      </c:pt>
                      <c:pt idx="17">
                        <c:v>20049.37</c:v>
                      </c:pt>
                      <c:pt idx="18">
                        <c:v>14628.48</c:v>
                      </c:pt>
                      <c:pt idx="19">
                        <c:v>20741.15</c:v>
                      </c:pt>
                      <c:pt idx="20">
                        <c:v>13881.5</c:v>
                      </c:pt>
                      <c:pt idx="21">
                        <c:v>20993.97</c:v>
                      </c:pt>
                      <c:pt idx="22">
                        <c:v>13217.9</c:v>
                      </c:pt>
                      <c:pt idx="23">
                        <c:v>21535.25</c:v>
                      </c:pt>
                      <c:pt idx="24">
                        <c:v>12575</c:v>
                      </c:pt>
                      <c:pt idx="25">
                        <c:v>21895</c:v>
                      </c:pt>
                      <c:pt idx="26">
                        <c:v>12328</c:v>
                      </c:pt>
                      <c:pt idx="27">
                        <c:v>22683</c:v>
                      </c:pt>
                      <c:pt idx="28">
                        <c:v>12075</c:v>
                      </c:pt>
                      <c:pt idx="29">
                        <c:v>23647</c:v>
                      </c:pt>
                      <c:pt idx="30">
                        <c:v>11969</c:v>
                      </c:pt>
                      <c:pt idx="31">
                        <c:v>24650</c:v>
                      </c:pt>
                      <c:pt idx="32">
                        <c:v>11803</c:v>
                      </c:pt>
                      <c:pt idx="33">
                        <c:v>24947</c:v>
                      </c:pt>
                      <c:pt idx="34">
                        <c:v>11580.41</c:v>
                      </c:pt>
                      <c:pt idx="35">
                        <c:v>24646.86</c:v>
                      </c:pt>
                      <c:pt idx="36">
                        <c:v>11719.83</c:v>
                      </c:pt>
                      <c:pt idx="37">
                        <c:v>23796.15</c:v>
                      </c:pt>
                      <c:pt idx="38">
                        <c:v>9157.94</c:v>
                      </c:pt>
                      <c:pt idx="39">
                        <c:v>19656.7</c:v>
                      </c:pt>
                    </c:numCache>
                  </c:numRef>
                </c:val>
              </c15:ser>
            </c15:filteredBarSeries>
          </c:ext>
        </c:extLst>
      </c:barChart>
      <c:catAx>
        <c:axId val="103291966"/>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vert="horz" wrap="square" anchor="ctr" anchorCtr="1"/>
          <a:lstStyle/>
          <a:p>
            <a:pPr>
              <a:defRPr lang="en-US" sz="900" b="0" i="0" u="none" strike="noStrike" kern="1200" cap="all" baseline="0">
                <a:solidFill>
                  <a:schemeClr val="dk1">
                    <a:lumMod val="75000"/>
                    <a:lumOff val="25000"/>
                  </a:schemeClr>
                </a:solidFill>
                <a:latin typeface="+mn-lt"/>
                <a:ea typeface="+mn-ea"/>
                <a:cs typeface="+mn-cs"/>
              </a:defRPr>
            </a:pPr>
          </a:p>
        </c:txPr>
        <c:crossAx val="175009406"/>
        <c:crosses val="autoZero"/>
        <c:auto val="1"/>
        <c:lblAlgn val="ctr"/>
        <c:lblOffset val="100"/>
        <c:noMultiLvlLbl val="0"/>
      </c:catAx>
      <c:valAx>
        <c:axId val="17500940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p>
        </c:txPr>
        <c:crossAx val="103291966"/>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0"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[PRICE_DUTY.xlsx]Sheet1!$A$8</c:f>
              <c:strCache>
                <c:ptCount val="1"/>
                <c:pt idx="0">
                  <c:v>Diesel price (pence/litre)</c:v>
                </c:pt>
              </c:strCache>
            </c:strRef>
          </c:tx>
          <c:spPr>
            <a:ln w="28575" cap="rnd">
              <a:solidFill>
                <a:schemeClr val="accent1"/>
              </a:solidFill>
              <a:round/>
            </a:ln>
            <a:effectLst/>
          </c:spPr>
          <c:marker>
            <c:symbol val="none"/>
          </c:marker>
          <c:dLbls>
            <c:delete val="1"/>
          </c:dLbls>
          <c:cat>
            <c:numRef>
              <c:f>[PRICE_DUTY.xlsx]Sheet1!$C$4:$W$4</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cat>
          <c:val>
            <c:numRef>
              <c:f>[PRICE_DUTY.xlsx]Sheet1!$B$8:$W$8</c:f>
              <c:numCache>
                <c:formatCode>General</c:formatCode>
                <c:ptCount val="22"/>
                <c:pt idx="1">
                  <c:v>77.3</c:v>
                </c:pt>
                <c:pt idx="2">
                  <c:v>76.9</c:v>
                </c:pt>
                <c:pt idx="3">
                  <c:v>80.9</c:v>
                </c:pt>
                <c:pt idx="4">
                  <c:v>79.2</c:v>
                </c:pt>
                <c:pt idx="5">
                  <c:v>89.6</c:v>
                </c:pt>
                <c:pt idx="6">
                  <c:v>97.6</c:v>
                </c:pt>
                <c:pt idx="7">
                  <c:v>94.7</c:v>
                </c:pt>
                <c:pt idx="8">
                  <c:v>116.6</c:v>
                </c:pt>
                <c:pt idx="9">
                  <c:v>101.9</c:v>
                </c:pt>
                <c:pt idx="10">
                  <c:v>121</c:v>
                </c:pt>
                <c:pt idx="11">
                  <c:v>141.1</c:v>
                </c:pt>
                <c:pt idx="12">
                  <c:v>147.8</c:v>
                </c:pt>
                <c:pt idx="13">
                  <c:v>141.3</c:v>
                </c:pt>
                <c:pt idx="14">
                  <c:v>135.9</c:v>
                </c:pt>
                <c:pt idx="15">
                  <c:v>119.1</c:v>
                </c:pt>
                <c:pt idx="16">
                  <c:v>106.9</c:v>
                </c:pt>
                <c:pt idx="17">
                  <c:v>119.9</c:v>
                </c:pt>
                <c:pt idx="18">
                  <c:v>124.2</c:v>
                </c:pt>
                <c:pt idx="19">
                  <c:v>132.9</c:v>
                </c:pt>
                <c:pt idx="20">
                  <c:v>115.8</c:v>
                </c:pt>
                <c:pt idx="21">
                  <c:v>129.22</c:v>
                </c:pt>
              </c:numCache>
            </c:numRef>
          </c:val>
          <c:smooth val="0"/>
        </c:ser>
        <c:ser>
          <c:idx val="1"/>
          <c:order val="1"/>
          <c:tx>
            <c:strRef>
              <c:f>[PRICE_DUTY.xlsx]Sheet1!$A$13</c:f>
              <c:strCache>
                <c:ptCount val="1"/>
                <c:pt idx="0">
                  <c:v>diesel demand</c:v>
                </c:pt>
              </c:strCache>
            </c:strRef>
          </c:tx>
          <c:spPr>
            <a:ln w="28575" cap="rnd">
              <a:solidFill>
                <a:schemeClr val="accent2"/>
              </a:solidFill>
              <a:round/>
            </a:ln>
            <a:effectLst/>
          </c:spPr>
          <c:marker>
            <c:symbol val="none"/>
          </c:marker>
          <c:dLbls>
            <c:delete val="1"/>
          </c:dLbls>
          <c:cat>
            <c:numRef>
              <c:f>[PRICE_DUTY.xlsx]Sheet1!$C$4:$W$4</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cat>
          <c:val>
            <c:numRef>
              <c:f>[PRICE_DUTY.xlsx]Sheet1!$C$13:$V$13</c:f>
              <c:numCache>
                <c:formatCode>[&gt;0.01]#,##0.0;[&lt;-0.01]\-#,##0.0;\-</c:formatCode>
                <c:ptCount val="20"/>
                <c:pt idx="0">
                  <c:v>15.7385251641562</c:v>
                </c:pt>
                <c:pt idx="1">
                  <c:v>16.6013819023784</c:v>
                </c:pt>
                <c:pt idx="2">
                  <c:v>17.3830697734164</c:v>
                </c:pt>
                <c:pt idx="3">
                  <c:v>18.1594424478445</c:v>
                </c:pt>
                <c:pt idx="4">
                  <c:v>19.024039727109</c:v>
                </c:pt>
                <c:pt idx="5">
                  <c:v>19.7968975092746</c:v>
                </c:pt>
                <c:pt idx="6">
                  <c:v>20.6615131716391</c:v>
                </c:pt>
                <c:pt idx="7">
                  <c:v>20.1341828069799</c:v>
                </c:pt>
                <c:pt idx="8">
                  <c:v>19.7714569679471</c:v>
                </c:pt>
                <c:pt idx="9">
                  <c:v>20.3753090469326</c:v>
                </c:pt>
                <c:pt idx="10">
                  <c:v>20.6194234760622</c:v>
                </c:pt>
                <c:pt idx="11">
                  <c:v>21.1861698906516</c:v>
                </c:pt>
                <c:pt idx="12">
                  <c:v>21.568856298191</c:v>
                </c:pt>
                <c:pt idx="13">
                  <c:v>22.2913384727251</c:v>
                </c:pt>
                <c:pt idx="14">
                  <c:v>23.2584262049802</c:v>
                </c:pt>
                <c:pt idx="15">
                  <c:v>24.2124249284542</c:v>
                </c:pt>
                <c:pt idx="16">
                  <c:v>24.4454712932123</c:v>
                </c:pt>
                <c:pt idx="17">
                  <c:v>24.1570983292116</c:v>
                </c:pt>
                <c:pt idx="18">
                  <c:v>23.3212682653396</c:v>
                </c:pt>
                <c:pt idx="19">
                  <c:v>19.69349</c:v>
                </c:pt>
              </c:numCache>
            </c:numRef>
          </c:val>
          <c:smooth val="0"/>
        </c:ser>
        <c:ser>
          <c:idx val="2"/>
          <c:order val="2"/>
          <c:tx>
            <c:strRef>
              <c:f>[PRICE_DUTY.xlsx]Sheet1!$B$9</c:f>
              <c:strCache>
                <c:ptCount val="1"/>
                <c:pt idx="0">
                  <c:v>Fuel duty</c:v>
                </c:pt>
              </c:strCache>
            </c:strRef>
          </c:tx>
          <c:spPr>
            <a:ln w="28575" cap="rnd">
              <a:solidFill>
                <a:schemeClr val="accent3"/>
              </a:solidFill>
              <a:round/>
            </a:ln>
            <a:effectLst/>
          </c:spPr>
          <c:marker>
            <c:symbol val="none"/>
          </c:marker>
          <c:dLbls>
            <c:delete val="1"/>
          </c:dLbls>
          <c:cat>
            <c:numRef>
              <c:f>[PRICE_DUTY.xlsx]Sheet1!$C$4:$W$4</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cat>
          <c:val>
            <c:numRef>
              <c:f>[PRICE_DUTY.xlsx]Sheet1!$C$9:$W$9</c:f>
              <c:numCache>
                <c:formatCode>General</c:formatCode>
                <c:ptCount val="21"/>
                <c:pt idx="0">
                  <c:v>51.8</c:v>
                </c:pt>
                <c:pt idx="1">
                  <c:v>51.8</c:v>
                </c:pt>
                <c:pt idx="2">
                  <c:v>51.8</c:v>
                </c:pt>
                <c:pt idx="3">
                  <c:v>53.3</c:v>
                </c:pt>
                <c:pt idx="4">
                  <c:v>53.3</c:v>
                </c:pt>
                <c:pt idx="5">
                  <c:v>53.3</c:v>
                </c:pt>
                <c:pt idx="6">
                  <c:v>54.7</c:v>
                </c:pt>
                <c:pt idx="7">
                  <c:v>56.9</c:v>
                </c:pt>
                <c:pt idx="8">
                  <c:v>54.2</c:v>
                </c:pt>
                <c:pt idx="9">
                  <c:v>57.2</c:v>
                </c:pt>
                <c:pt idx="10">
                  <c:v>58</c:v>
                </c:pt>
                <c:pt idx="11">
                  <c:v>58</c:v>
                </c:pt>
                <c:pt idx="12">
                  <c:v>58</c:v>
                </c:pt>
                <c:pt idx="13">
                  <c:v>58</c:v>
                </c:pt>
                <c:pt idx="14">
                  <c:v>58</c:v>
                </c:pt>
                <c:pt idx="15">
                  <c:v>58</c:v>
                </c:pt>
                <c:pt idx="16">
                  <c:v>58</c:v>
                </c:pt>
                <c:pt idx="17">
                  <c:v>58</c:v>
                </c:pt>
                <c:pt idx="18">
                  <c:v>58</c:v>
                </c:pt>
                <c:pt idx="19">
                  <c:v>58</c:v>
                </c:pt>
                <c:pt idx="20">
                  <c:v>58</c:v>
                </c:pt>
              </c:numCache>
            </c:numRef>
          </c:val>
          <c:smooth val="0"/>
        </c:ser>
        <c:ser>
          <c:idx val="3"/>
          <c:order val="3"/>
          <c:tx>
            <c:strRef>
              <c:f>[PRICE_DUTY.xlsx]Sheet1!$B$10</c:f>
              <c:strCache>
                <c:ptCount val="1"/>
                <c:pt idx="0">
                  <c:v>VAT</c:v>
                </c:pt>
              </c:strCache>
            </c:strRef>
          </c:tx>
          <c:spPr>
            <a:ln w="28575" cap="rnd">
              <a:solidFill>
                <a:schemeClr val="accent4"/>
              </a:solidFill>
              <a:round/>
            </a:ln>
            <a:effectLst/>
          </c:spPr>
          <c:marker>
            <c:symbol val="none"/>
          </c:marker>
          <c:dLbls>
            <c:delete val="1"/>
          </c:dLbls>
          <c:cat>
            <c:numRef>
              <c:f>[PRICE_DUTY.xlsx]Sheet1!$C$4:$W$4</c:f>
              <c:numCache>
                <c:formatCode>General</c:formatCode>
                <c:ptCount val="21"/>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pt idx="20">
                  <c:v>2021</c:v>
                </c:pt>
              </c:numCache>
            </c:numRef>
          </c:cat>
          <c:val>
            <c:numRef>
              <c:f>[PRICE_DUTY.xlsx]Sheet1!$C$10:$W$10</c:f>
              <c:numCache>
                <c:formatCode>General</c:formatCode>
                <c:ptCount val="21"/>
                <c:pt idx="0">
                  <c:v>11.5</c:v>
                </c:pt>
                <c:pt idx="1">
                  <c:v>11.5</c:v>
                </c:pt>
                <c:pt idx="2">
                  <c:v>12</c:v>
                </c:pt>
                <c:pt idx="3">
                  <c:v>11.8</c:v>
                </c:pt>
                <c:pt idx="4">
                  <c:v>13.3</c:v>
                </c:pt>
                <c:pt idx="5">
                  <c:v>14.5</c:v>
                </c:pt>
                <c:pt idx="6">
                  <c:v>14.1</c:v>
                </c:pt>
                <c:pt idx="7">
                  <c:v>17.4</c:v>
                </c:pt>
                <c:pt idx="8">
                  <c:v>13.3</c:v>
                </c:pt>
                <c:pt idx="9">
                  <c:v>18</c:v>
                </c:pt>
                <c:pt idx="10">
                  <c:v>23.5</c:v>
                </c:pt>
                <c:pt idx="11">
                  <c:v>24.6</c:v>
                </c:pt>
                <c:pt idx="12">
                  <c:v>23.5</c:v>
                </c:pt>
                <c:pt idx="13">
                  <c:v>22.6</c:v>
                </c:pt>
                <c:pt idx="14">
                  <c:v>19.8</c:v>
                </c:pt>
                <c:pt idx="15">
                  <c:v>17.8</c:v>
                </c:pt>
                <c:pt idx="16">
                  <c:v>20</c:v>
                </c:pt>
                <c:pt idx="17">
                  <c:v>20.7</c:v>
                </c:pt>
                <c:pt idx="18">
                  <c:v>22.1</c:v>
                </c:pt>
                <c:pt idx="19">
                  <c:v>19.3</c:v>
                </c:pt>
                <c:pt idx="20">
                  <c:v>17.79</c:v>
                </c:pt>
              </c:numCache>
            </c:numRef>
          </c:val>
          <c:smooth val="0"/>
        </c:ser>
        <c:dLbls>
          <c:showLegendKey val="0"/>
          <c:showVal val="0"/>
          <c:showCatName val="0"/>
          <c:showSerName val="0"/>
          <c:showPercent val="0"/>
          <c:showBubbleSize val="0"/>
        </c:dLbls>
        <c:marker val="0"/>
        <c:smooth val="0"/>
        <c:axId val="516361317"/>
        <c:axId val="270326538"/>
      </c:lineChart>
      <c:catAx>
        <c:axId val="51636131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70326538"/>
        <c:crosses val="autoZero"/>
        <c:auto val="1"/>
        <c:lblAlgn val="ctr"/>
        <c:lblOffset val="100"/>
        <c:noMultiLvlLbl val="0"/>
      </c:catAx>
      <c:valAx>
        <c:axId val="2703265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6361317"/>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[Book1]Sheet1!$Q$4:$Q$5</c:f>
              <c:strCache>
                <c:ptCount val="1"/>
                <c:pt idx="0">
                  <c:v>UK FUEL EFFICIENCY BY VEHICLE FUEL TYPES DIESEL</c:v>
                </c:pt>
              </c:strCache>
            </c:strRef>
          </c:tx>
          <c:spPr>
            <a:ln w="28575" cap="rnd">
              <a:solidFill>
                <a:schemeClr val="accent1"/>
              </a:solidFill>
              <a:round/>
            </a:ln>
            <a:effectLst/>
          </c:spPr>
          <c:marker>
            <c:symbol val="none"/>
          </c:marker>
          <c:dLbls>
            <c:delete val="1"/>
          </c:dLbls>
          <c:cat>
            <c:numRef>
              <c:f>[Book1]Sheet1!$P$7:$P$26</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[Book1]Sheet1!$Q$7:$Q$26</c:f>
              <c:numCache>
                <c:formatCode>General</c:formatCode>
                <c:ptCount val="20"/>
                <c:pt idx="0">
                  <c:v>6.2</c:v>
                </c:pt>
                <c:pt idx="1">
                  <c:v>6.1</c:v>
                </c:pt>
                <c:pt idx="2">
                  <c:v>6.2</c:v>
                </c:pt>
                <c:pt idx="3">
                  <c:v>6.2</c:v>
                </c:pt>
                <c:pt idx="4">
                  <c:v>6.2</c:v>
                </c:pt>
                <c:pt idx="5">
                  <c:v>6.3</c:v>
                </c:pt>
                <c:pt idx="6">
                  <c:v>6.2</c:v>
                </c:pt>
                <c:pt idx="7">
                  <c:v>5.9</c:v>
                </c:pt>
                <c:pt idx="8">
                  <c:v>5.7</c:v>
                </c:pt>
                <c:pt idx="9">
                  <c:v>5.5</c:v>
                </c:pt>
                <c:pt idx="10">
                  <c:v>5.2</c:v>
                </c:pt>
                <c:pt idx="11">
                  <c:v>5</c:v>
                </c:pt>
                <c:pt idx="12">
                  <c:v>4.9</c:v>
                </c:pt>
                <c:pt idx="13">
                  <c:v>4.7</c:v>
                </c:pt>
                <c:pt idx="14">
                  <c:v>4.6</c:v>
                </c:pt>
                <c:pt idx="15">
                  <c:v>4.5</c:v>
                </c:pt>
                <c:pt idx="16">
                  <c:v>4.6</c:v>
                </c:pt>
                <c:pt idx="17">
                  <c:v>4.9</c:v>
                </c:pt>
                <c:pt idx="18">
                  <c:v>5.1</c:v>
                </c:pt>
                <c:pt idx="19">
                  <c:v>5</c:v>
                </c:pt>
              </c:numCache>
            </c:numRef>
          </c:val>
          <c:smooth val="0"/>
        </c:ser>
        <c:ser>
          <c:idx val="1"/>
          <c:order val="1"/>
          <c:tx>
            <c:strRef>
              <c:f>[Book1]Sheet1!$L$3</c:f>
              <c:strCache>
                <c:ptCount val="1"/>
                <c:pt idx="0">
                  <c:v>diesel demand</c:v>
                </c:pt>
              </c:strCache>
            </c:strRef>
          </c:tx>
          <c:spPr>
            <a:ln w="28575" cap="rnd">
              <a:solidFill>
                <a:schemeClr val="accent2"/>
              </a:solidFill>
              <a:round/>
            </a:ln>
            <a:effectLst/>
          </c:spPr>
          <c:marker>
            <c:symbol val="none"/>
          </c:marker>
          <c:dLbls>
            <c:delete val="1"/>
          </c:dLbls>
          <c:cat>
            <c:numRef>
              <c:f>[Book1]Sheet1!$P$7:$P$26</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[Book1]Sheet1!$L$5:$L$24</c:f>
              <c:numCache>
                <c:formatCode>[&gt;0.01]#,##0.0;[&lt;-0.01]\-#,##0.0;\-</c:formatCode>
                <c:ptCount val="20"/>
                <c:pt idx="0">
                  <c:v>15.7385251641562</c:v>
                </c:pt>
                <c:pt idx="1">
                  <c:v>16.6013819023784</c:v>
                </c:pt>
                <c:pt idx="2">
                  <c:v>17.3830697734164</c:v>
                </c:pt>
                <c:pt idx="3">
                  <c:v>18.1594424478445</c:v>
                </c:pt>
                <c:pt idx="4">
                  <c:v>19.024039727109</c:v>
                </c:pt>
                <c:pt idx="5">
                  <c:v>19.7968975092746</c:v>
                </c:pt>
                <c:pt idx="6">
                  <c:v>20.6615131716391</c:v>
                </c:pt>
                <c:pt idx="7">
                  <c:v>20.1341828069799</c:v>
                </c:pt>
                <c:pt idx="8">
                  <c:v>19.7714569679471</c:v>
                </c:pt>
                <c:pt idx="9">
                  <c:v>20.3753090469326</c:v>
                </c:pt>
                <c:pt idx="10">
                  <c:v>20.6194234760622</c:v>
                </c:pt>
                <c:pt idx="11">
                  <c:v>21.1861698906516</c:v>
                </c:pt>
                <c:pt idx="12">
                  <c:v>21.568856298191</c:v>
                </c:pt>
                <c:pt idx="13">
                  <c:v>22.2913384727251</c:v>
                </c:pt>
                <c:pt idx="14">
                  <c:v>23.2584262049802</c:v>
                </c:pt>
                <c:pt idx="15">
                  <c:v>24.2124249284542</c:v>
                </c:pt>
                <c:pt idx="16">
                  <c:v>24.4454712932123</c:v>
                </c:pt>
                <c:pt idx="17">
                  <c:v>24.1570983292116</c:v>
                </c:pt>
                <c:pt idx="18">
                  <c:v>23.3212682653396</c:v>
                </c:pt>
                <c:pt idx="19">
                  <c:v>19.69349</c:v>
                </c:pt>
              </c:numCache>
            </c:numRef>
          </c:val>
          <c:smooth val="0"/>
        </c:ser>
        <c:dLbls>
          <c:showLegendKey val="0"/>
          <c:showVal val="0"/>
          <c:showCatName val="0"/>
          <c:showSerName val="0"/>
          <c:showPercent val="0"/>
          <c:showBubbleSize val="0"/>
        </c:dLbls>
        <c:marker val="0"/>
        <c:smooth val="0"/>
        <c:axId val="250326518"/>
        <c:axId val="44394045"/>
      </c:lineChart>
      <c:catAx>
        <c:axId val="25032651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394045"/>
        <c:crosses val="autoZero"/>
        <c:auto val="1"/>
        <c:lblAlgn val="ctr"/>
        <c:lblOffset val="100"/>
        <c:noMultiLvlLbl val="0"/>
      </c:catAx>
      <c:valAx>
        <c:axId val="443940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50326518"/>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UK FUEL EFFICIENCY</a:t>
            </a:r>
          </a:p>
        </c:rich>
      </c:tx>
      <c:layout/>
      <c:overlay val="0"/>
      <c:spPr>
        <a:noFill/>
        <a:ln>
          <a:noFill/>
        </a:ln>
        <a:effectLst/>
      </c:spPr>
    </c:title>
    <c:autoTitleDeleted val="0"/>
    <c:plotArea>
      <c:layout/>
      <c:barChart>
        <c:barDir val="col"/>
        <c:grouping val="clustered"/>
        <c:varyColors val="0"/>
        <c:ser>
          <c:idx val="1"/>
          <c:order val="0"/>
          <c:tx>
            <c:strRef>
              <c:f>[DEMAND_SUPPLY_EFFICIENCY.xlsx]Sheet1!$AS$3:$AS$5</c:f>
              <c:strCache>
                <c:ptCount val="1"/>
                <c:pt idx="0">
                  <c:v>LITRES PER 100 KILOMETRE UK FUEL EFFICIENCY BY VEHICLE FUEL TYPES DIESEL</c:v>
                </c:pt>
              </c:strCache>
            </c:strRef>
          </c:tx>
          <c:spPr>
            <a:solidFill>
              <a:schemeClr val="accent2"/>
            </a:solidFill>
            <a:ln>
              <a:noFill/>
            </a:ln>
            <a:effectLst/>
          </c:spPr>
          <c:invertIfNegative val="0"/>
          <c:dLbls>
            <c:delete val="1"/>
          </c:dLbls>
          <c:cat>
            <c:numRef>
              <c:f>[DEMAND_SUPPLY_EFFICIENCY.xlsx]Sheet1!$AR$6:$AR$26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[DEMAND_SUPPLY_EFFICIENCY.xlsx]Sheet1!$AS$6:$AS$26</c:f>
              <c:numCache>
                <c:formatCode>General</c:formatCode>
                <c:ptCount val="21"/>
                <c:pt idx="0">
                  <c:v>6.3</c:v>
                </c:pt>
                <c:pt idx="1">
                  <c:v>6.2</c:v>
                </c:pt>
                <c:pt idx="2">
                  <c:v>6.1</c:v>
                </c:pt>
                <c:pt idx="3">
                  <c:v>6.2</c:v>
                </c:pt>
                <c:pt idx="4">
                  <c:v>6.2</c:v>
                </c:pt>
                <c:pt idx="5">
                  <c:v>6.2</c:v>
                </c:pt>
                <c:pt idx="6">
                  <c:v>6.3</c:v>
                </c:pt>
                <c:pt idx="7">
                  <c:v>6.2</c:v>
                </c:pt>
                <c:pt idx="8">
                  <c:v>5.9</c:v>
                </c:pt>
                <c:pt idx="9">
                  <c:v>5.7</c:v>
                </c:pt>
                <c:pt idx="10">
                  <c:v>5.5</c:v>
                </c:pt>
                <c:pt idx="11">
                  <c:v>5.2</c:v>
                </c:pt>
                <c:pt idx="12">
                  <c:v>5</c:v>
                </c:pt>
                <c:pt idx="13">
                  <c:v>4.9</c:v>
                </c:pt>
                <c:pt idx="14">
                  <c:v>4.7</c:v>
                </c:pt>
                <c:pt idx="15">
                  <c:v>4.6</c:v>
                </c:pt>
                <c:pt idx="16">
                  <c:v>4.5</c:v>
                </c:pt>
                <c:pt idx="17">
                  <c:v>4.6</c:v>
                </c:pt>
                <c:pt idx="18">
                  <c:v>4.9</c:v>
                </c:pt>
                <c:pt idx="19">
                  <c:v>5.1</c:v>
                </c:pt>
                <c:pt idx="20">
                  <c:v>5</c:v>
                </c:pt>
              </c:numCache>
            </c:numRef>
          </c:val>
        </c:ser>
        <c:ser>
          <c:idx val="2"/>
          <c:order val="1"/>
          <c:tx>
            <c:strRef>
              <c:f>[DEMAND_SUPPLY_EFFICIENCY.xlsx]Sheet1!$AT$3:$AT$5</c:f>
              <c:strCache>
                <c:ptCount val="1"/>
                <c:pt idx="0">
                  <c:v>LITRES PER 100 KILOMETRE UK FUEL EFFICIENCY BY VEHICLE FUEL TYPES PETROL</c:v>
                </c:pt>
              </c:strCache>
            </c:strRef>
          </c:tx>
          <c:spPr>
            <a:solidFill>
              <a:schemeClr val="accent3"/>
            </a:solidFill>
            <a:ln>
              <a:noFill/>
            </a:ln>
            <a:effectLst/>
          </c:spPr>
          <c:invertIfNegative val="0"/>
          <c:dLbls>
            <c:delete val="1"/>
          </c:dLbls>
          <c:cat>
            <c:numRef>
              <c:f>[DEMAND_SUPPLY_EFFICIENCY.xlsx]Sheet1!$AR$6:$AR$26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[DEMAND_SUPPLY_EFFICIENCY.xlsx]Sheet1!$AT$6:$AT$26</c:f>
              <c:numCache>
                <c:formatCode>General</c:formatCode>
                <c:ptCount val="21"/>
                <c:pt idx="0">
                  <c:v>8</c:v>
                </c:pt>
                <c:pt idx="1">
                  <c:v>7.9</c:v>
                </c:pt>
                <c:pt idx="2">
                  <c:v>7.8</c:v>
                </c:pt>
                <c:pt idx="3">
                  <c:v>7.7</c:v>
                </c:pt>
                <c:pt idx="4">
                  <c:v>7.6</c:v>
                </c:pt>
                <c:pt idx="5">
                  <c:v>7.5</c:v>
                </c:pt>
                <c:pt idx="6">
                  <c:v>7.4</c:v>
                </c:pt>
                <c:pt idx="7">
                  <c:v>7.2</c:v>
                </c:pt>
                <c:pt idx="8">
                  <c:v>7</c:v>
                </c:pt>
                <c:pt idx="9">
                  <c:v>6.5</c:v>
                </c:pt>
                <c:pt idx="10">
                  <c:v>6.3</c:v>
                </c:pt>
                <c:pt idx="11">
                  <c:v>6.1</c:v>
                </c:pt>
                <c:pt idx="12">
                  <c:v>5.8</c:v>
                </c:pt>
                <c:pt idx="13">
                  <c:v>5.6</c:v>
                </c:pt>
                <c:pt idx="14">
                  <c:v>5.5</c:v>
                </c:pt>
                <c:pt idx="15">
                  <c:v>5.4</c:v>
                </c:pt>
                <c:pt idx="16">
                  <c:v>5.4</c:v>
                </c:pt>
                <c:pt idx="17">
                  <c:v>5.5</c:v>
                </c:pt>
                <c:pt idx="18">
                  <c:v>5.6</c:v>
                </c:pt>
                <c:pt idx="19">
                  <c:v>5.7</c:v>
                </c:pt>
                <c:pt idx="20">
                  <c:v>5.4</c:v>
                </c:pt>
              </c:numCache>
            </c:numRef>
          </c:val>
        </c:ser>
        <c:dLbls>
          <c:showLegendKey val="0"/>
          <c:showVal val="0"/>
          <c:showCatName val="0"/>
          <c:showSerName val="0"/>
          <c:showPercent val="0"/>
          <c:showBubbleSize val="0"/>
        </c:dLbls>
        <c:gapWidth val="219"/>
        <c:overlap val="-27"/>
        <c:axId val="116804303"/>
        <c:axId val="77273995"/>
      </c:barChart>
      <c:catAx>
        <c:axId val="1168043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7273995"/>
        <c:crosses val="autoZero"/>
        <c:auto val="1"/>
        <c:lblAlgn val="ctr"/>
        <c:lblOffset val="100"/>
        <c:noMultiLvlLbl val="0"/>
      </c:catAx>
      <c:valAx>
        <c:axId val="772739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680430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2773991526985"/>
          <c:y val="0.164857465779229"/>
          <c:w val="0.609710812304292"/>
          <c:h val="0.83137510988321"/>
        </c:manualLayout>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Pt>
            <c:idx val="11"/>
            <c:bubble3D val="0"/>
            <c:spPr>
              <a:solidFill>
                <a:schemeClr val="accent6">
                  <a:lumMod val="60000"/>
                </a:schemeClr>
              </a:solidFill>
              <a:ln>
                <a:noFill/>
              </a:ln>
              <a:effectLst>
                <a:outerShdw blurRad="63500" sx="102000" sy="102000" algn="ctr" rotWithShape="0">
                  <a:prstClr val="black">
                    <a:alpha val="20000"/>
                  </a:prstClr>
                </a:outerShdw>
              </a:effectLst>
            </c:spPr>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4"/>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5"/>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5"/>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6"/>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6"/>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1">
                          <a:lumMod val="60000"/>
                        </a:schemeClr>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7"/>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2">
                          <a:lumMod val="60000"/>
                        </a:schemeClr>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8"/>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3">
                          <a:lumMod val="60000"/>
                        </a:schemeClr>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9"/>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4">
                          <a:lumMod val="60000"/>
                        </a:schemeClr>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0"/>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5">
                          <a:lumMod val="60000"/>
                        </a:schemeClr>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1"/>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6">
                          <a:lumMod val="60000"/>
                        </a:schemeClr>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2"/>
              <c:layout/>
              <c:numFmt formatCode="General" sourceLinked="1"/>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1">
                          <a:lumMod val="80000"/>
                          <a:lumOff val="20000"/>
                        </a:schemeClr>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en-US" sz="5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'[Export 12_01_2022 20_13.xlsx]Results'!$B$2:$K$14</c:f>
              <c:strCache>
                <c:ptCount val="13"/>
                <c:pt idx="0">
                  <c:v>LINDE PUBLIC LIMITED COMPANY</c:v>
                </c:pt>
                <c:pt idx="1">
                  <c:v>PHILLIPS 66 LIMITED</c:v>
                </c:pt>
                <c:pt idx="2">
                  <c:v>ESSAR OIL (UK) LIMITED</c:v>
                </c:pt>
                <c:pt idx="3">
                  <c:v>KINGSPAN GROUP PUBLIC LIMITED COMPANY</c:v>
                </c:pt>
                <c:pt idx="4">
                  <c:v>PENINSULA PETROLEUM LIMITED</c:v>
                </c:pt>
                <c:pt idx="5">
                  <c:v>SHELL U.K. LIMITED</c:v>
                </c:pt>
                <c:pt idx="6">
                  <c:v>PRAX LINDSEY OIL REFINERY LIMITED</c:v>
                </c:pt>
                <c:pt idx="7">
                  <c:v>BP OIL UK LIMITED</c:v>
                </c:pt>
                <c:pt idx="8">
                  <c:v>INEOS SALES (UK) LIMITED</c:v>
                </c:pt>
                <c:pt idx="9">
                  <c:v>EXXONMOBIL MARINE LIMITED</c:v>
                </c:pt>
                <c:pt idx="10">
                  <c:v>CIRCLE K IRELAND ENERGY LIMITED</c:v>
                </c:pt>
                <c:pt idx="11">
                  <c:v>ESSAR MIDLANDS LIMITED</c:v>
                </c:pt>
                <c:pt idx="12">
                  <c:v>CIRCLE K IRELAND FUELS LIMITED</c:v>
                </c:pt>
              </c:strCache>
            </c:strRef>
          </c:cat>
          <c:val>
            <c:numRef>
              <c:f>'[Export 12_01_2022 20_13.xlsx]Results'!$L$2:$L$14</c:f>
              <c:numCache>
                <c:formatCode>#,##0</c:formatCode>
                <c:ptCount val="13"/>
                <c:pt idx="0">
                  <c:v>20371481.4734048</c:v>
                </c:pt>
                <c:pt idx="1">
                  <c:v>7235599.795</c:v>
                </c:pt>
                <c:pt idx="2">
                  <c:v>4649299.372</c:v>
                </c:pt>
                <c:pt idx="3">
                  <c:v>3943536.71606281</c:v>
                </c:pt>
                <c:pt idx="4">
                  <c:v>3685809.42818766</c:v>
                </c:pt>
                <c:pt idx="5">
                  <c:v>3461000</c:v>
                </c:pt>
                <c:pt idx="6">
                  <c:v>3024356</c:v>
                </c:pt>
                <c:pt idx="7">
                  <c:v>2713000</c:v>
                </c:pt>
                <c:pt idx="8">
                  <c:v>1379880.973</c:v>
                </c:pt>
                <c:pt idx="9">
                  <c:v>1310941</c:v>
                </c:pt>
                <c:pt idx="10">
                  <c:v>1078235.30746163</c:v>
                </c:pt>
                <c:pt idx="11">
                  <c:v>1069830.455</c:v>
                </c:pt>
                <c:pt idx="12">
                  <c:v>367453.288279594</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Raytheon Australia Pty Ltd</Company>
  <Pages>1</Pages>
  <Words>3220</Words>
  <Characters>18358</Characters>
  <Lines>152</Lines>
  <Paragraphs>43</Paragraphs>
  <TotalTime>13</TotalTime>
  <ScaleCrop>false</ScaleCrop>
  <LinksUpToDate>false</LinksUpToDate>
  <CharactersWithSpaces>21535</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2022-01-12T18:05:00Z</dcterms:created>
  <dc:creator>Microsoft Office User</dc:creator>
  <cp:lastModifiedBy>User</cp:lastModifiedBy>
  <cp:lastPrinted>2017-11-20T08:46:00Z</cp:lastPrinted>
  <dcterms:modified xsi:type="dcterms:W3CDTF">2022-01-17T14:42:41Z</dcterms:modified>
  <dc:title>Economic Market Analysis Report of the UK ROAD TRANSPORT FUEL MARKET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DBUS365@derby.ac.uk</vt:lpwstr>
  </property>
  <property fmtid="{D5CDD505-2E9C-101B-9397-08002B2CF9AE}" pid="5" name="MSIP_Label_b47d098f-2640-4837-b575-e0be04df0525_SetDate">
    <vt:lpwstr>2019-11-25T16:41:22.4192542Z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DBUS365@derby.ac.uk</vt:lpwstr>
  </property>
  <property fmtid="{D5CDD505-2E9C-101B-9397-08002B2CF9AE}" pid="12" name="MSIP_Label_501a0944-9d81-4c75-b857-2ec7863455b7_SetDate">
    <vt:lpwstr>2019-11-25T16:41:22.4192542Z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KSOProductBuildVer">
    <vt:lpwstr>1033-11.2.0.10307</vt:lpwstr>
  </property>
  <property fmtid="{D5CDD505-2E9C-101B-9397-08002B2CF9AE}" pid="19" name="ICV">
    <vt:lpwstr>6F06E649F81640BF822A4DDF8A3594AD</vt:lpwstr>
  </property>
</Properties>
</file>