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14532D"/>
          <w:sz w:val="24"/>
        </w:rPr>
        <w:t>ACCORD · OSUN STATE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sz w:val="32"/>
        </w:rPr>
        <w:t>ONE-PAGE EXECUTIVE BRIEF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sz w:val="24"/>
        </w:rPr>
        <w:t>Election Monitoring, Command &amp; Vote Protection Platform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/>
          <w:sz w:val="22"/>
        </w:rPr>
        <w:t>Budget Request: ₦38,000,000  |  Coverage: Osun State Only (30 LGAs · 332 Wards)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14532D"/>
          <w:sz w:val="24"/>
        </w:rPr>
        <w:t>Purpose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sz w:val="20"/>
        </w:rPr>
        <w:t>Approve ₦38 million for statewide deployment of ACCORD’s digital election monitoring platform in Osun State — enabling real-time polling-unit visibility, evidence capture, controlled agent support (airtime/data), and election-day command coordination.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14532D"/>
          <w:sz w:val="24"/>
        </w:rPr>
        <w:t>What Leadership Gets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sz w:val="20"/>
        </w:rPr>
        <w:t>• Live monitoring dashboard across all 30 LGAs and 332 wards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sz w:val="20"/>
        </w:rPr>
        <w:t>• Evidence archive (snapshots + recordings) for legal and strategic use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sz w:val="20"/>
        </w:rPr>
        <w:t>• Controlled airtime/data claims with anti-abuse rules and full audit trail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sz w:val="20"/>
        </w:rPr>
        <w:t>• Agent training, election-day command centre, and technical standby support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sz w:val="20"/>
        </w:rPr>
        <w:t>• Post-election operational report and evidence pack</w:t>
      </w:r>
    </w:p>
    <w:p>
      <w:pPr>
        <w:spacing w:after="80" w:before="120" w:line="240" w:lineRule="auto"/>
        <w:jc w:val="left"/>
      </w:pPr>
      <w:r>
        <w:rPr>
          <w:rFonts w:ascii="Calibri" w:hAnsi="Calibri" w:eastAsia="Calibri"/>
          <w:b/>
          <w:color w:val="14532D"/>
          <w:sz w:val="24"/>
        </w:rPr>
        <w:t>Budget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Component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₦</w:t>
            </w:r>
          </w:p>
        </w:tc>
      </w:tr>
      <w:tr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Platform, branding &amp; Osun catalog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6,500,000</w:t>
            </w:r>
          </w:p>
        </w:tc>
      </w:tr>
      <w:tr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Hosting, storage &amp; security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4,000,000</w:t>
            </w:r>
          </w:p>
        </w:tc>
      </w:tr>
      <w:tr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Live streaming infrastructure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3,500,000</w:t>
            </w:r>
          </w:p>
        </w:tc>
      </w:tr>
      <w:tr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Agent airtime/data wallet (VTpass)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8,000,000</w:t>
            </w:r>
          </w:p>
        </w:tc>
      </w:tr>
      <w:tr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Training (30 LGAs)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3,000,000</w:t>
            </w:r>
          </w:p>
        </w:tc>
      </w:tr>
      <w:tr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Election-day command centre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4,500,000</w:t>
            </w:r>
          </w:p>
        </w:tc>
      </w:tr>
      <w:tr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 standby &amp; field support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3,500,000</w:t>
            </w:r>
          </w:p>
        </w:tc>
      </w:tr>
      <w:tr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Devices &amp; contingency kits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2,000,000</w:t>
            </w:r>
          </w:p>
        </w:tc>
      </w:tr>
      <w:tr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 management &amp; documentation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1,500,000</w:t>
            </w:r>
          </w:p>
        </w:tc>
      </w:tr>
      <w:tr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Contingency (~5%)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1,500,000</w:t>
            </w:r>
          </w:p>
        </w:tc>
      </w:tr>
      <w:tr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38,000,000</w:t>
            </w:r>
          </w:p>
        </w:tc>
      </w:tr>
    </w:tbl>
    <w:p>
      <w:pPr>
        <w:spacing w:after="40" w:before="160" w:line="240" w:lineRule="auto"/>
        <w:jc w:val="left"/>
      </w:pPr>
      <w:r>
        <w:rPr>
          <w:rFonts w:ascii="Calibri" w:hAnsi="Calibri" w:eastAsia="Calibri"/>
          <w:b/>
          <w:color w:val="14532D"/>
          <w:sz w:val="24"/>
        </w:rPr>
        <w:t>Disbursement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sz w:val="20"/>
        </w:rPr>
        <w:t>40% on approval/kickoff (₦15.2m) · 35% on statewide activation (₦13.3m) · 25% on election-day readiness/final delivery (₦9.5m).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14532D"/>
          <w:sz w:val="24"/>
        </w:rPr>
        <w:t>Decision Requested</w:t>
      </w:r>
    </w:p>
    <w:p>
      <w:pPr>
        <w:spacing w:after="200" w:before="0" w:line="240" w:lineRule="auto"/>
        <w:jc w:val="both"/>
      </w:pPr>
      <w:r>
        <w:rPr>
          <w:rFonts w:ascii="Calibri" w:hAnsi="Calibri" w:eastAsia="Calibri"/>
          <w:b w:val="0"/>
          <w:sz w:val="20"/>
        </w:rPr>
        <w:t>Approve ₦38,000,000 for Osun-only implementation; nominate LGA focal persons; authorize phased disbursement; schedule leadership demo within 7 days.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/>
          <w:color w:val="14532D"/>
          <w:sz w:val="22"/>
        </w:rPr>
        <w:t>Approval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0"/>
        </w:rPr>
        <w:t>Name: ___________________________    Title: 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0"/>
        </w:rPr>
        <w:t>Signature: ________________________    Date: 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sz w:val="20"/>
        </w:rPr>
        <w:t>Amount Approved: ₦38,000,000 (Osun State Only)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