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bookmarkStart w:id="0" w:name="_GoBack"/>
      <w:bookmarkEnd w:id="0"/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ASAMBLEA LEGISLATIVA DE LA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REPÚBLICA DE COSTA RICA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PLENARIO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LEY DE INICIATIVA POPULAR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DECRETO LEGISLATIVO N.º 8491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EXPEDIENTE N.º 14.799</w:t>
      </w: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/>
          <w:b/>
        </w:rPr>
      </w:pPr>
    </w:p>
    <w:p w:rsidR="00000000" w:rsidRDefault="007C6490">
      <w:pPr>
        <w:pStyle w:val="Ttulo1"/>
        <w:jc w:val="center"/>
      </w:pPr>
      <w:r>
        <w:t>SAN JOSÉ - COSTA RICA</w:t>
      </w:r>
    </w:p>
    <w:p w:rsidR="00000000" w:rsidRDefault="007C6490">
      <w:pPr>
        <w:jc w:val="center"/>
        <w:rPr>
          <w:rFonts w:ascii="Arial" w:hAnsi="Arial"/>
          <w:b/>
        </w:rPr>
        <w:sectPr w:rsidR="00000000">
          <w:headerReference w:type="default" r:id="rId7"/>
          <w:footerReference w:type="default" r:id="rId8"/>
          <w:pgSz w:w="12240" w:h="15840" w:code="1"/>
          <w:pgMar w:top="1417" w:right="1701" w:bottom="1417" w:left="1701" w:header="720" w:footer="720" w:gutter="0"/>
          <w:cols w:space="720"/>
          <w:titlePg/>
        </w:sectPr>
      </w:pPr>
    </w:p>
    <w:p w:rsidR="00000000" w:rsidRDefault="007C6490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8491</w:t>
      </w:r>
    </w:p>
    <w:p w:rsidR="00000000" w:rsidRDefault="007C6490">
      <w:pPr>
        <w:jc w:val="center"/>
        <w:rPr>
          <w:rFonts w:ascii="Arial" w:hAnsi="Arial"/>
        </w:rPr>
      </w:pPr>
    </w:p>
    <w:p w:rsidR="00000000" w:rsidRDefault="007C6490">
      <w:pPr>
        <w:jc w:val="center"/>
        <w:rPr>
          <w:rFonts w:ascii="Arial" w:hAnsi="Arial"/>
        </w:rPr>
      </w:pPr>
      <w:r>
        <w:rPr>
          <w:rFonts w:ascii="Arial" w:hAnsi="Arial"/>
        </w:rPr>
        <w:t>LA ASAMBLEA LEGISLATIVA DE LA REPÚBLICA DE COSTA RICA</w:t>
      </w:r>
    </w:p>
    <w:p w:rsidR="00000000" w:rsidRDefault="007C6490">
      <w:pPr>
        <w:jc w:val="center"/>
        <w:rPr>
          <w:rFonts w:ascii="Arial" w:hAnsi="Arial"/>
        </w:rPr>
      </w:pPr>
    </w:p>
    <w:p w:rsidR="00000000" w:rsidRDefault="007C6490">
      <w:pPr>
        <w:jc w:val="center"/>
        <w:rPr>
          <w:rFonts w:ascii="Arial" w:hAnsi="Arial"/>
        </w:rPr>
      </w:pPr>
      <w:r>
        <w:rPr>
          <w:rFonts w:ascii="Arial" w:hAnsi="Arial"/>
        </w:rPr>
        <w:t>DECRETA:</w:t>
      </w: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LEY DE INICIATIVA POPULAR</w:t>
      </w:r>
    </w:p>
    <w:p w:rsidR="00000000" w:rsidRDefault="007C6490">
      <w:pPr>
        <w:pStyle w:val="Ttulo2"/>
      </w:pPr>
    </w:p>
    <w:p w:rsidR="00000000" w:rsidRDefault="007C6490"/>
    <w:p w:rsidR="00000000" w:rsidRDefault="007C6490"/>
    <w:p w:rsidR="00000000" w:rsidRDefault="007C6490">
      <w:pPr>
        <w:pStyle w:val="Ttulo2"/>
      </w:pPr>
      <w:r>
        <w:t>ARTÍCULO 1.-</w:t>
      </w:r>
      <w:r>
        <w:tab/>
        <w:t>Iniciativa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Durante el período de sesiones ordinarias de la Asamblea Legislativa, un cinco por ciento (5%), como mínimo, de los ciudadanos inscritos en el padrón electoral podrá ejercer la iniciativa para formar las leyes o reformar parcialmente la Constitución Política.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La iniciativa popular no procederá cuando se trate de proyectos relativos a materia presupuestaria, tributaria, fiscal, de aprobación de empréstitos y contratos o actos de naturaleza ad</w:t>
      </w:r>
      <w:r>
        <w:rPr>
          <w:rFonts w:ascii="Arial" w:hAnsi="Arial"/>
        </w:rPr>
        <w:t>ministrativa.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pStyle w:val="Ttulo2"/>
      </w:pPr>
      <w:r>
        <w:t>ARTÍCULO 2.-</w:t>
      </w:r>
      <w:r>
        <w:tab/>
        <w:t>Procedimiento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Para ejercer el derecho de iniciativa, se aplicará el siguiente procedimiento: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ind w:left="851"/>
        <w:jc w:val="both"/>
        <w:rPr>
          <w:rFonts w:ascii="Arial" w:hAnsi="Arial"/>
        </w:rPr>
      </w:pPr>
      <w:r>
        <w:rPr>
          <w:rFonts w:ascii="Arial" w:hAnsi="Arial"/>
          <w:b/>
        </w:rPr>
        <w:t>a)</w:t>
      </w:r>
      <w:r>
        <w:rPr>
          <w:rFonts w:ascii="Arial" w:hAnsi="Arial"/>
        </w:rPr>
        <w:tab/>
        <w:t xml:space="preserve">Cualquier ciudadano o grupo de ciudadanos, organizados de hecho o de derecho, interesados en someter al conocimiento de la Asamblea Legislativa un proyecto de ley o una forma parcial a la Constitución Política, depositarán en la Asamblea Legislativa el correspondiente proyecto de ley, con las respectivas hojas, en las que se ha recolectado el porcentaje al que se refiere el artículo </w:t>
      </w:r>
      <w:r>
        <w:rPr>
          <w:rFonts w:ascii="Arial" w:hAnsi="Arial"/>
        </w:rPr>
        <w:t>1 de esta Ley.  La Asamblea ordenará publicarlo en La Gaceta, a cargo del Estado; el encabezado de la publicación deberá de referirse expresamente a que se trata de un proyecto de ley bajo el procedimiento especial de iniciativa popular.</w:t>
      </w:r>
    </w:p>
    <w:p w:rsidR="00000000" w:rsidRDefault="007C6490">
      <w:pPr>
        <w:ind w:left="851"/>
        <w:jc w:val="both"/>
        <w:rPr>
          <w:rFonts w:ascii="Arial" w:hAnsi="Arial"/>
          <w:b/>
        </w:rPr>
      </w:pPr>
    </w:p>
    <w:p w:rsidR="00000000" w:rsidRDefault="007C6490">
      <w:pPr>
        <w:ind w:left="851"/>
        <w:jc w:val="both"/>
        <w:rPr>
          <w:rFonts w:ascii="Arial" w:hAnsi="Arial"/>
        </w:rPr>
      </w:pPr>
      <w:r>
        <w:rPr>
          <w:rFonts w:ascii="Arial" w:hAnsi="Arial"/>
          <w:b/>
        </w:rPr>
        <w:t>b)</w:t>
      </w:r>
      <w:r>
        <w:rPr>
          <w:rFonts w:ascii="Arial" w:hAnsi="Arial"/>
        </w:rPr>
        <w:tab/>
        <w:t>El ciudadano o el grupo de ciudadanos a los que se refiere el inciso anterior deberán de indicar, a la Asamblea Legislativa, su nombre, número de cédula de identidad y calidades, y serán los responsables de las firmas recolectadas.</w:t>
      </w:r>
    </w:p>
    <w:p w:rsidR="00000000" w:rsidRDefault="007C6490">
      <w:pPr>
        <w:ind w:left="851"/>
        <w:jc w:val="both"/>
        <w:rPr>
          <w:rFonts w:ascii="Arial" w:hAnsi="Arial"/>
          <w:b/>
        </w:rPr>
      </w:pPr>
    </w:p>
    <w:p w:rsidR="00000000" w:rsidRDefault="007C6490">
      <w:pPr>
        <w:ind w:left="851"/>
        <w:jc w:val="both"/>
        <w:rPr>
          <w:rFonts w:ascii="Arial" w:hAnsi="Arial"/>
        </w:rPr>
      </w:pPr>
      <w:r>
        <w:rPr>
          <w:rFonts w:ascii="Arial" w:hAnsi="Arial"/>
          <w:b/>
        </w:rPr>
        <w:t>c)</w:t>
      </w:r>
      <w:r>
        <w:rPr>
          <w:rFonts w:ascii="Arial" w:hAnsi="Arial"/>
        </w:rPr>
        <w:tab/>
        <w:t>Cada una de las páginas en las que</w:t>
      </w:r>
      <w:r>
        <w:rPr>
          <w:rFonts w:ascii="Arial" w:hAnsi="Arial"/>
        </w:rPr>
        <w:t xml:space="preserve"> se recojan las firmas deberá contener los siguientes elementos:  la reseña del proyecto, el nombre, el número de cédula y la firma de los ciudadanos que apoyan el proyecto.</w:t>
      </w:r>
    </w:p>
    <w:p w:rsidR="00000000" w:rsidRDefault="007C6490">
      <w:pPr>
        <w:ind w:left="851"/>
        <w:jc w:val="both"/>
        <w:rPr>
          <w:rFonts w:ascii="Arial" w:hAnsi="Arial"/>
          <w:b/>
        </w:rPr>
      </w:pPr>
    </w:p>
    <w:p w:rsidR="00000000" w:rsidRDefault="007C6490">
      <w:pPr>
        <w:ind w:left="851"/>
        <w:jc w:val="both"/>
        <w:rPr>
          <w:rFonts w:ascii="Arial" w:hAnsi="Arial"/>
        </w:rPr>
      </w:pPr>
      <w:r>
        <w:rPr>
          <w:rFonts w:ascii="Arial" w:hAnsi="Arial"/>
          <w:b/>
        </w:rPr>
        <w:lastRenderedPageBreak/>
        <w:t>d)</w:t>
      </w:r>
      <w:r>
        <w:rPr>
          <w:rFonts w:ascii="Arial" w:hAnsi="Arial"/>
        </w:rPr>
        <w:tab/>
        <w:t>Una vez presentada la iniciativa ante la Asamblea Legislativa, esta, en un plazo máximo de ocho días, deberá remitirla al Tribunal Supremo de Elecciones (TSE).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pStyle w:val="Ttulo2"/>
      </w:pPr>
      <w:r>
        <w:t>ARTÍCULO 3.-</w:t>
      </w:r>
      <w:r>
        <w:tab/>
        <w:t>Revisión de firmas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Una vez recibidos el proyecto de ley y las firmas correspondientes, el TSE dispondrá de un plazo de treinta días naturales para verificar su</w:t>
      </w:r>
      <w:r>
        <w:rPr>
          <w:rFonts w:ascii="Arial" w:hAnsi="Arial"/>
        </w:rPr>
        <w:t xml:space="preserve"> legitimidad. Cualquier interesado podrá estar presente en el proceso.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El TSE solo computará una vez las firmas repetidas y excluirá aquellas que presenten dudas sobre su legitimidad.  Si, una vez computadas las firmas, no se alcanza el porcentaje requerido, el Tribunal prevendrá a los responsables de la recolección de firmas sobre el faltante y les concederá un plazo improrrogable de noventa días naturales para que cumplan con las firmas faltantes; en caso contrario, la iniciativa se tendrá por archivada.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Los actos emitidos sobre el conteo, la verificación y la legitimidad estarán sujetos al régimen de impugnaciones de la Ley general de Administración Pública. El recurso podrá ser presentado por cualquier ciudadano.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pStyle w:val="Ttulo2"/>
      </w:pPr>
      <w:r>
        <w:t>ARTÍCULO 4.-</w:t>
      </w:r>
      <w:r>
        <w:tab/>
        <w:t>Traslado a la Asamblea Legislativa</w:t>
      </w: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Revisadas las firmas y verificado el porcentaje requerido, el TSE trasladará el proyecto a la Asamblea Legislativa.</w:t>
      </w:r>
    </w:p>
    <w:p w:rsidR="00000000" w:rsidRDefault="007C6490">
      <w:pPr>
        <w:pStyle w:val="Encabezado"/>
        <w:tabs>
          <w:tab w:val="clear" w:pos="4252"/>
          <w:tab w:val="clear" w:pos="8504"/>
        </w:tabs>
        <w:rPr>
          <w:rFonts w:ascii="Arial" w:hAnsi="Arial"/>
          <w:lang w:val="es-CR"/>
        </w:rPr>
      </w:pPr>
    </w:p>
    <w:p w:rsidR="00000000" w:rsidRDefault="007C6490">
      <w:pPr>
        <w:pStyle w:val="Ttulo2"/>
      </w:pPr>
      <w:r>
        <w:t>ARTÍCULO 5.-</w:t>
      </w:r>
      <w:r>
        <w:tab/>
        <w:t>Trámite legislativo</w:t>
      </w:r>
    </w:p>
    <w:p w:rsidR="00000000" w:rsidRDefault="007C6490">
      <w:pPr>
        <w:rPr>
          <w:rFonts w:ascii="Arial" w:hAnsi="Arial"/>
          <w:b/>
        </w:rPr>
      </w:pPr>
    </w:p>
    <w:p w:rsidR="00000000" w:rsidRDefault="007C6490">
      <w:pPr>
        <w:pStyle w:val="BodyText20"/>
      </w:pPr>
      <w:r>
        <w:t>El proyecto deberá tramitarse por los procedimientos legislativos ordinarios. Iniciará el trám</w:t>
      </w:r>
      <w:r>
        <w:t>ite legislativo sin necesidad de ser publicado.  En todo caso, deberá publicarse un extracto de referencia que permita ubicarlo en la corriente legislativa.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pStyle w:val="Ttulo2"/>
      </w:pPr>
      <w:r>
        <w:t>ARTÍCULO 6.-</w:t>
      </w:r>
      <w:r>
        <w:tab/>
        <w:t>Plazo para la votación definitiva de los proyectos de ley</w:t>
      </w:r>
    </w:p>
    <w:p w:rsidR="00000000" w:rsidRDefault="007C6490">
      <w:pPr>
        <w:rPr>
          <w:rFonts w:ascii="Arial" w:hAnsi="Arial"/>
          <w:b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 xml:space="preserve">Los proyectos de iniciativa popular deberán ser votados en la Asamblea Legislativa, en un plazo máximo de dos años, salvo si se refieren a reformas constitucionales, en cuyo caso, seguirán el trámite previsto en el artículo 195 de la Constitución Política.  El cómputo del plazo se </w:t>
      </w:r>
      <w:r>
        <w:rPr>
          <w:rFonts w:ascii="Arial" w:hAnsi="Arial"/>
        </w:rPr>
        <w:t>iniciará a partir de la fecha en que la Secretaría del Directorio Legislativo reciba el proyecto, y se suspenderá durante los recesos legislativos y las sesiones extraordinarias, si no es convocado por el Poder Ejecutivo.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ind w:firstLine="709"/>
        <w:jc w:val="both"/>
        <w:rPr>
          <w:rFonts w:ascii="Arial" w:hAnsi="Arial"/>
        </w:rPr>
      </w:pPr>
      <w:r>
        <w:rPr>
          <w:rFonts w:ascii="Arial" w:hAnsi="Arial"/>
        </w:rPr>
        <w:t>Si vencido este plazo, el proyecto de ley no ha sido votado en primer debate, deberá de ser conocido y sometido a votación, en la sesión inmediata siguiente del Plenario Legislativo o de la Comisión con Potestad Legislativa Plena, según sea el caso.  Para estos efectos, si la iniciativa n</w:t>
      </w:r>
      <w:r>
        <w:rPr>
          <w:rFonts w:ascii="Arial" w:hAnsi="Arial"/>
        </w:rPr>
        <w:t>o ha sido dictaminada, se tendrá por dispensada de todos los trámites.  Las mismas reglas serán aplicables al trámite en segundo debate y al conocimiento de los informes de la Comisión de Consultas de Constitucionalidad.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rPr>
          <w:rFonts w:ascii="Arial" w:hAnsi="Arial"/>
          <w:b/>
        </w:rPr>
      </w:pPr>
      <w:r>
        <w:rPr>
          <w:rFonts w:ascii="Arial" w:hAnsi="Arial"/>
          <w:b/>
        </w:rPr>
        <w:t>ARTÍCULO 7.-</w:t>
      </w:r>
    </w:p>
    <w:p w:rsidR="00000000" w:rsidRDefault="007C6490">
      <w:pPr>
        <w:rPr>
          <w:rFonts w:ascii="Arial" w:hAnsi="Arial"/>
          <w:b/>
        </w:rPr>
      </w:pPr>
    </w:p>
    <w:p w:rsidR="00000000" w:rsidRDefault="007C6490">
      <w:pPr>
        <w:pStyle w:val="BodyText20"/>
      </w:pPr>
      <w:r>
        <w:t xml:space="preserve">La Oficina de Iniciativa Popular de la Asamblea Legislativa brindará asesoramiento técnico gratuito para la redacción de los proyectos, así como en los procedimientos por seguir, a los ciudadanos interesados en ejercer el derecho de iniciativa popular de conformidad con esta </w:t>
      </w:r>
      <w:r>
        <w:t>Ley.  Asimismo, la Defensoría de los Habitantes ofrecerá estos servicios a la ciudadanía, por medio de sus oficinas en todo el país.</w:t>
      </w:r>
    </w:p>
    <w:p w:rsidR="00000000" w:rsidRDefault="007C6490">
      <w:pPr>
        <w:rPr>
          <w:rFonts w:ascii="Arial" w:hAnsi="Arial"/>
        </w:rPr>
      </w:pPr>
    </w:p>
    <w:p w:rsidR="00000000" w:rsidRDefault="007C6490">
      <w:pPr>
        <w:pStyle w:val="BodyText20"/>
      </w:pPr>
      <w:r>
        <w:t>Rige a partir de su publicación.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  <w:r>
        <w:rPr>
          <w:rFonts w:ascii="Arial" w:hAnsi="Arial"/>
          <w:b/>
        </w:rPr>
        <w:t>ASAMBLEA LEGISLATIVA.-</w:t>
      </w:r>
      <w:r>
        <w:rPr>
          <w:rFonts w:ascii="Arial" w:hAnsi="Arial"/>
        </w:rPr>
        <w:t xml:space="preserve">  San José, a los veintiún días del mes de febrero de dos mil seis.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pStyle w:val="Ttulo7"/>
        <w:spacing w:line="240" w:lineRule="auto"/>
        <w:jc w:val="center"/>
        <w:rPr>
          <w:b/>
          <w:sz w:val="24"/>
          <w:u w:val="none"/>
        </w:rPr>
      </w:pPr>
      <w:r>
        <w:rPr>
          <w:b/>
          <w:sz w:val="24"/>
          <w:u w:val="none"/>
        </w:rPr>
        <w:t>COMUNÍCASE AL PODER EJECUTIVO</w:t>
      </w: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jc w:val="center"/>
        <w:rPr>
          <w:rFonts w:ascii="Arial" w:hAnsi="Arial"/>
          <w:color w:val="000000"/>
        </w:rPr>
      </w:pPr>
      <w:r>
        <w:rPr>
          <w:rFonts w:ascii="Arial" w:hAnsi="Arial"/>
        </w:rPr>
        <w:t>Juan José Vargas Fallas</w:t>
      </w:r>
    </w:p>
    <w:p w:rsidR="00000000" w:rsidRDefault="007C6490">
      <w:pPr>
        <w:pStyle w:val="Ttulo9"/>
        <w:spacing w:line="240" w:lineRule="auto"/>
      </w:pPr>
      <w:r>
        <w:t>VICEPRESIDENTE EN EJERCICIO DE LA PRESIDENCIA</w:t>
      </w:r>
    </w:p>
    <w:p w:rsidR="00000000" w:rsidRDefault="007C6490">
      <w:pPr>
        <w:jc w:val="center"/>
        <w:rPr>
          <w:rFonts w:ascii="Arial" w:hAnsi="Arial"/>
          <w:color w:val="000000"/>
        </w:rPr>
      </w:pPr>
    </w:p>
    <w:p w:rsidR="00000000" w:rsidRDefault="007C6490">
      <w:pPr>
        <w:pStyle w:val="BodyText2"/>
      </w:pPr>
    </w:p>
    <w:p w:rsidR="00000000" w:rsidRDefault="007C6490">
      <w:pPr>
        <w:pStyle w:val="BodyText2"/>
      </w:pPr>
    </w:p>
    <w:p w:rsidR="00000000" w:rsidRDefault="007C6490">
      <w:pPr>
        <w:pStyle w:val="BodyText2"/>
      </w:pPr>
    </w:p>
    <w:p w:rsidR="00000000" w:rsidRDefault="007C6490">
      <w:pPr>
        <w:pStyle w:val="BodyText2"/>
      </w:pPr>
    </w:p>
    <w:p w:rsidR="00000000" w:rsidRDefault="007C6490">
      <w:pPr>
        <w:pStyle w:val="BodyText2"/>
      </w:pPr>
      <w:r>
        <w:t>Luis Paulino Rodríguez Mena</w:t>
      </w:r>
      <w:r>
        <w:tab/>
      </w:r>
      <w:r>
        <w:tab/>
      </w:r>
      <w:r>
        <w:tab/>
        <w:t xml:space="preserve">        Elvia Navarro Vargas</w:t>
      </w:r>
    </w:p>
    <w:p w:rsidR="00000000" w:rsidRDefault="007C6490">
      <w:pPr>
        <w:pStyle w:val="BodyText2"/>
        <w:rPr>
          <w:b/>
        </w:rPr>
      </w:pPr>
      <w:r>
        <w:rPr>
          <w:b/>
        </w:rPr>
        <w:t xml:space="preserve"> SEGUNDO SECRETARIO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PRIMERA PROSECRETARIA</w:t>
      </w:r>
    </w:p>
    <w:p w:rsidR="00000000" w:rsidRDefault="007C6490">
      <w:pPr>
        <w:pStyle w:val="BodyText2"/>
      </w:pPr>
    </w:p>
    <w:p w:rsidR="00000000" w:rsidRDefault="007C6490">
      <w:pPr>
        <w:pStyle w:val="BodyText2"/>
        <w:rPr>
          <w:b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center"/>
        <w:rPr>
          <w:rFonts w:ascii="Arial" w:hAnsi="Arial"/>
          <w:b/>
          <w:lang w:val="es-ES"/>
        </w:rPr>
      </w:pPr>
    </w:p>
    <w:p w:rsidR="00000000" w:rsidRDefault="007C6490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mrr.</w:t>
      </w:r>
    </w:p>
    <w:p w:rsidR="00000000" w:rsidRDefault="007C6490">
      <w:pPr>
        <w:jc w:val="both"/>
        <w:rPr>
          <w:rFonts w:ascii="Arial" w:hAnsi="Arial"/>
        </w:rPr>
      </w:pPr>
      <w:r>
        <w:rPr>
          <w:rFonts w:ascii="Arial" w:hAnsi="Arial"/>
          <w:b/>
        </w:rPr>
        <w:br w:type="page"/>
      </w:r>
      <w:r>
        <w:rPr>
          <w:rFonts w:ascii="Arial" w:hAnsi="Arial"/>
          <w:b/>
        </w:rPr>
        <w:tab/>
        <w:t xml:space="preserve">Dado en la Presidencia </w:t>
      </w:r>
      <w:r>
        <w:rPr>
          <w:rFonts w:ascii="Arial" w:hAnsi="Arial"/>
          <w:b/>
        </w:rPr>
        <w:t xml:space="preserve">de la República.-  </w:t>
      </w:r>
      <w:r>
        <w:rPr>
          <w:rFonts w:ascii="Arial" w:hAnsi="Arial"/>
        </w:rPr>
        <w:t>San José, a los nueve días del mes de marzo del dos mil seis.</w:t>
      </w:r>
    </w:p>
    <w:p w:rsidR="00000000" w:rsidRDefault="007C6490">
      <w:pPr>
        <w:jc w:val="both"/>
        <w:rPr>
          <w:rFonts w:ascii="Arial" w:hAnsi="Arial"/>
        </w:rPr>
      </w:pPr>
    </w:p>
    <w:p w:rsidR="00000000" w:rsidRDefault="007C6490">
      <w:pPr>
        <w:pStyle w:val="BodyText2"/>
        <w:rPr>
          <w:b/>
          <w:lang w:val="es-CR"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Ejecútese y publíquese</w:t>
      </w: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LINETH SABORÍO CHAVERRI</w:t>
      </w: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  <w:b/>
        </w:rPr>
      </w:pPr>
    </w:p>
    <w:p w:rsidR="00000000" w:rsidRDefault="007C6490">
      <w:pPr>
        <w:jc w:val="center"/>
        <w:rPr>
          <w:rFonts w:ascii="Arial" w:hAnsi="Arial"/>
        </w:rPr>
      </w:pPr>
      <w:r>
        <w:rPr>
          <w:rFonts w:ascii="Arial" w:hAnsi="Arial"/>
        </w:rPr>
        <w:t>Luis A. Madrigal Pacheco</w:t>
      </w:r>
    </w:p>
    <w:p w:rsidR="00000000" w:rsidRDefault="007C6490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MINISTRO DE LA PRESIDENCIA A.I.</w:t>
      </w: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</w:p>
    <w:p w:rsidR="00000000" w:rsidRDefault="007C6490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Sanción: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>09-03-2006</w:t>
      </w:r>
    </w:p>
    <w:p w:rsidR="00000000" w:rsidRDefault="007C6490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Publicación:</w:t>
      </w:r>
      <w:r>
        <w:rPr>
          <w:rFonts w:ascii="Arial" w:hAnsi="Arial"/>
          <w:b/>
        </w:rPr>
        <w:tab/>
        <w:t>03-04-2006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>Gaceta:  66</w:t>
      </w:r>
    </w:p>
    <w:sectPr w:rsidR="00000000">
      <w:pgSz w:w="12240" w:h="15840" w:code="1"/>
      <w:pgMar w:top="1417" w:right="170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C6490">
      <w:r>
        <w:separator/>
      </w:r>
    </w:p>
  </w:endnote>
  <w:endnote w:type="continuationSeparator" w:id="0">
    <w:p w:rsidR="00000000" w:rsidRDefault="007C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7C6490">
    <w:pPr>
      <w:pStyle w:val="Piedepgina"/>
      <w:pBdr>
        <w:top w:val="single" w:sz="6" w:space="1" w:color="auto"/>
      </w:pBdr>
      <w:tabs>
        <w:tab w:val="clear" w:pos="4252"/>
        <w:tab w:val="clear" w:pos="8504"/>
      </w:tabs>
      <w:jc w:val="center"/>
      <w:rPr>
        <w:rFonts w:ascii="Arial" w:hAnsi="Arial"/>
        <w:b/>
        <w:sz w:val="20"/>
        <w:lang w:val="es-ES"/>
      </w:rPr>
    </w:pPr>
    <w:r>
      <w:rPr>
        <w:rFonts w:ascii="Arial" w:hAnsi="Arial"/>
        <w:b/>
        <w:sz w:val="20"/>
        <w:lang w:val="es-ES"/>
      </w:rPr>
      <w:t>ASAMBLEA LEGISLATIVA</w:t>
    </w:r>
  </w:p>
  <w:p w:rsidR="00000000" w:rsidRDefault="007C6490">
    <w:pPr>
      <w:pStyle w:val="Piedepgina"/>
      <w:rPr>
        <w:rFonts w:ascii="Arial" w:hAnsi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C6490">
      <w:r>
        <w:separator/>
      </w:r>
    </w:p>
  </w:footnote>
  <w:footnote w:type="continuationSeparator" w:id="0">
    <w:p w:rsidR="00000000" w:rsidRDefault="007C64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7C6490">
    <w:pPr>
      <w:pStyle w:val="Encabezado"/>
      <w:framePr w:wrap="auto" w:vAnchor="text" w:hAnchor="page" w:x="6022" w:y="-59"/>
      <w:rPr>
        <w:rStyle w:val="Nmerodepgina"/>
        <w:rFonts w:ascii="Arial" w:hAnsi="Arial"/>
        <w:b/>
        <w:sz w:val="20"/>
      </w:rPr>
    </w:pPr>
    <w:r>
      <w:rPr>
        <w:rStyle w:val="Nmerodepgina"/>
        <w:rFonts w:ascii="Arial" w:hAnsi="Arial"/>
        <w:b/>
        <w:sz w:val="20"/>
      </w:rPr>
      <w:fldChar w:fldCharType="begin"/>
    </w:r>
    <w:r>
      <w:rPr>
        <w:rStyle w:val="Nmerodepgina"/>
        <w:rFonts w:ascii="Arial" w:hAnsi="Arial"/>
        <w:b/>
        <w:sz w:val="20"/>
      </w:rPr>
      <w:instrText xml:space="preserve">PAGE  </w:instrText>
    </w:r>
    <w:r>
      <w:rPr>
        <w:rStyle w:val="Nmerodepgina"/>
        <w:rFonts w:ascii="Arial" w:hAnsi="Arial"/>
        <w:b/>
        <w:sz w:val="20"/>
      </w:rPr>
      <w:fldChar w:fldCharType="separate"/>
    </w:r>
    <w:r>
      <w:rPr>
        <w:rStyle w:val="Nmerodepgina"/>
        <w:rFonts w:ascii="Arial" w:hAnsi="Arial"/>
        <w:b/>
        <w:noProof/>
        <w:sz w:val="20"/>
      </w:rPr>
      <w:t>4</w:t>
    </w:r>
    <w:r>
      <w:rPr>
        <w:rStyle w:val="Nmerodepgina"/>
        <w:rFonts w:ascii="Arial" w:hAnsi="Arial"/>
        <w:b/>
        <w:sz w:val="20"/>
      </w:rPr>
      <w:fldChar w:fldCharType="end"/>
    </w:r>
  </w:p>
  <w:p w:rsidR="00000000" w:rsidRDefault="007C6490">
    <w:pPr>
      <w:pStyle w:val="Encabezado"/>
      <w:pBdr>
        <w:bottom w:val="single" w:sz="6" w:space="1" w:color="auto"/>
      </w:pBdr>
      <w:tabs>
        <w:tab w:val="clear" w:pos="4252"/>
        <w:tab w:val="clear" w:pos="8504"/>
      </w:tabs>
      <w:rPr>
        <w:rFonts w:ascii="Arial" w:hAnsi="Arial"/>
      </w:rPr>
    </w:pPr>
    <w:r>
      <w:rPr>
        <w:rFonts w:ascii="Arial" w:hAnsi="Arial"/>
        <w:b/>
        <w:sz w:val="20"/>
      </w:rPr>
      <w:t xml:space="preserve">  PLENARIO</w:t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</w:r>
    <w:r>
      <w:rPr>
        <w:rFonts w:ascii="Arial" w:hAnsi="Arial"/>
        <w:b/>
        <w:sz w:val="20"/>
      </w:rPr>
      <w:tab/>
      <w:t xml:space="preserve">    LEY N.º 8491</w:t>
    </w:r>
  </w:p>
  <w:p w:rsidR="00000000" w:rsidRDefault="007C6490">
    <w:pPr>
      <w:pStyle w:val="Encabezado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09B"/>
    <w:rsid w:val="007C6490"/>
    <w:rsid w:val="00A4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</w:rPr>
  </w:style>
  <w:style w:type="paragraph" w:styleId="Ttulo1">
    <w:name w:val="heading 1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both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ind w:right="432"/>
      <w:jc w:val="both"/>
      <w:outlineLvl w:val="6"/>
    </w:pPr>
    <w:rPr>
      <w:rFonts w:ascii="Arial" w:hAnsi="Arial"/>
      <w:sz w:val="20"/>
      <w:u w:val="single"/>
      <w:lang w:val="es-ES"/>
    </w:rPr>
  </w:style>
  <w:style w:type="paragraph" w:styleId="Ttulo9">
    <w:name w:val="heading 9"/>
    <w:basedOn w:val="Normal"/>
    <w:next w:val="Normal"/>
    <w:qFormat/>
    <w:pPr>
      <w:keepNext/>
      <w:spacing w:line="480" w:lineRule="auto"/>
      <w:jc w:val="center"/>
      <w:outlineLvl w:val="8"/>
    </w:pPr>
    <w:rPr>
      <w:rFonts w:ascii="Arial" w:hAnsi="Arial"/>
      <w:b/>
      <w:color w:val="00000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Text2">
    <w:name w:val="Body Text 2"/>
    <w:basedOn w:val="Normal"/>
    <w:pPr>
      <w:jc w:val="both"/>
    </w:pPr>
    <w:rPr>
      <w:rFonts w:ascii="Arial" w:hAnsi="Arial"/>
      <w:lang w:val="es-ES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Times New Roman" w:hAnsi="Times New Roman"/>
      <w:lang w:val="es-ES"/>
    </w:rPr>
  </w:style>
  <w:style w:type="paragraph" w:customStyle="1" w:styleId="BodyText20">
    <w:name w:val="Body Text 2"/>
    <w:basedOn w:val="Normal"/>
    <w:pPr>
      <w:ind w:firstLine="709"/>
      <w:jc w:val="both"/>
    </w:pPr>
    <w:rPr>
      <w:rFonts w:ascii="Arial" w:hAnsi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</w:rPr>
  </w:style>
  <w:style w:type="paragraph" w:styleId="Ttulo1">
    <w:name w:val="heading 1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both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ind w:right="432"/>
      <w:jc w:val="both"/>
      <w:outlineLvl w:val="6"/>
    </w:pPr>
    <w:rPr>
      <w:rFonts w:ascii="Arial" w:hAnsi="Arial"/>
      <w:sz w:val="20"/>
      <w:u w:val="single"/>
      <w:lang w:val="es-ES"/>
    </w:rPr>
  </w:style>
  <w:style w:type="paragraph" w:styleId="Ttulo9">
    <w:name w:val="heading 9"/>
    <w:basedOn w:val="Normal"/>
    <w:next w:val="Normal"/>
    <w:qFormat/>
    <w:pPr>
      <w:keepNext/>
      <w:spacing w:line="480" w:lineRule="auto"/>
      <w:jc w:val="center"/>
      <w:outlineLvl w:val="8"/>
    </w:pPr>
    <w:rPr>
      <w:rFonts w:ascii="Arial" w:hAnsi="Arial"/>
      <w:b/>
      <w:color w:val="00000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Text2">
    <w:name w:val="Body Text 2"/>
    <w:basedOn w:val="Normal"/>
    <w:pPr>
      <w:jc w:val="both"/>
    </w:pPr>
    <w:rPr>
      <w:rFonts w:ascii="Arial" w:hAnsi="Arial"/>
      <w:lang w:val="es-ES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Times New Roman" w:hAnsi="Times New Roman"/>
      <w:lang w:val="es-ES"/>
    </w:rPr>
  </w:style>
  <w:style w:type="paragraph" w:customStyle="1" w:styleId="BodyText20">
    <w:name w:val="Body Text 2"/>
    <w:basedOn w:val="Normal"/>
    <w:pPr>
      <w:ind w:firstLine="709"/>
      <w:jc w:val="both"/>
    </w:pPr>
    <w:rPr>
      <w:rFonts w:ascii="Arial" w:hAnsi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4770</Characters>
  <Application>Microsoft Office Word</Application>
  <DocSecurity>0</DocSecurity>
  <Lines>39</Lines>
  <Paragraphs>11</Paragraphs>
  <ScaleCrop>false</ScaleCrop>
  <Company>Legislativa</Company>
  <LinksUpToDate>false</LinksUpToDate>
  <CharactersWithSpaces>5626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ASAMBLEA LEGISLATIVA DE LA</dc:title>
  <dc:subject/>
  <dc:creator>MRR</dc:creator>
  <cp:keywords/>
  <dc:description/>
  <cp:lastModifiedBy>Eduardo Villalobos Oviedo</cp:lastModifiedBy>
  <cp:revision>3</cp:revision>
  <cp:lastPrinted>2006-03-08T22:38:00Z</cp:lastPrinted>
  <dcterms:created xsi:type="dcterms:W3CDTF">2014-08-08T19:55:00Z</dcterms:created>
  <dcterms:modified xsi:type="dcterms:W3CDTF">2014-08-08T19:55:00Z</dcterms:modified>
</cp:coreProperties>
</file>