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bookmarkStart w:id="0" w:name="_GoBack"/>
      <w:bookmarkEnd w:id="0"/>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ASAMBLEA LEGISLATIVA DE LA</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REPÚBLICA DE COSTA RICA</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PLENARIO</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REGULACIÓN DEL REFERÉNDUM</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DECRETO LEGISLATIVO N.º 8492</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EXPEDIENTE N.º 14.850</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r>
        <w:rPr>
          <w:rFonts w:ascii="Arial" w:hAnsi="Arial"/>
          <w:sz w:val="24"/>
          <w:lang w:val="es-ES"/>
        </w:rPr>
        <w:t>SAN JOSÉ - COSTA RICA</w:t>
      </w:r>
    </w:p>
    <w:p w:rsidR="00000000" w:rsidRDefault="005173F0">
      <w:pPr>
        <w:pStyle w:val="Textoindependiente"/>
        <w:widowControl/>
        <w:pBdr>
          <w:top w:val="single" w:sz="6" w:space="1" w:color="auto"/>
          <w:left w:val="single" w:sz="6" w:space="4" w:color="auto"/>
          <w:bottom w:val="single" w:sz="6" w:space="1" w:color="auto"/>
          <w:right w:val="single" w:sz="6" w:space="4" w:color="auto"/>
        </w:pBdr>
        <w:jc w:val="center"/>
        <w:rPr>
          <w:rFonts w:ascii="Arial" w:hAnsi="Arial"/>
          <w:sz w:val="24"/>
          <w:lang w:val="es-ES"/>
        </w:rPr>
      </w:pPr>
    </w:p>
    <w:p w:rsidR="00000000" w:rsidRDefault="005173F0">
      <w:pPr>
        <w:pStyle w:val="Textoindependiente"/>
        <w:widowControl/>
        <w:jc w:val="center"/>
        <w:rPr>
          <w:rFonts w:ascii="Arial" w:hAnsi="Arial"/>
          <w:sz w:val="24"/>
          <w:lang w:val="es-ES"/>
        </w:rPr>
        <w:sectPr w:rsidR="00000000">
          <w:headerReference w:type="default" r:id="rId7"/>
          <w:footerReference w:type="default" r:id="rId8"/>
          <w:pgSz w:w="12240" w:h="15840" w:code="1"/>
          <w:pgMar w:top="1418" w:right="1701" w:bottom="1418" w:left="1701" w:header="720" w:footer="720" w:gutter="0"/>
          <w:cols w:space="708"/>
          <w:titlePg/>
        </w:sectPr>
      </w:pPr>
    </w:p>
    <w:p w:rsidR="00000000" w:rsidRDefault="005173F0">
      <w:pPr>
        <w:pStyle w:val="Textoindependiente"/>
        <w:widowControl/>
        <w:jc w:val="center"/>
        <w:rPr>
          <w:rFonts w:ascii="Arial" w:hAnsi="Arial"/>
          <w:sz w:val="24"/>
          <w:lang w:val="es-ES"/>
        </w:rPr>
      </w:pPr>
      <w:r>
        <w:rPr>
          <w:rFonts w:ascii="Arial" w:hAnsi="Arial"/>
          <w:sz w:val="24"/>
          <w:lang w:val="es-ES"/>
        </w:rPr>
        <w:lastRenderedPageBreak/>
        <w:t>8492</w:t>
      </w:r>
    </w:p>
    <w:p w:rsidR="00000000" w:rsidRDefault="005173F0">
      <w:pPr>
        <w:pStyle w:val="Textoindependiente"/>
        <w:widowControl/>
        <w:jc w:val="center"/>
        <w:rPr>
          <w:rFonts w:ascii="Arial" w:hAnsi="Arial"/>
          <w:sz w:val="24"/>
          <w:lang w:val="es-ES"/>
        </w:rPr>
      </w:pPr>
    </w:p>
    <w:p w:rsidR="00000000" w:rsidRDefault="005173F0">
      <w:pPr>
        <w:pStyle w:val="Textoindependiente"/>
        <w:widowControl/>
        <w:jc w:val="center"/>
        <w:rPr>
          <w:rFonts w:ascii="Arial" w:hAnsi="Arial"/>
          <w:sz w:val="24"/>
          <w:lang w:val="es-ES"/>
        </w:rPr>
      </w:pPr>
    </w:p>
    <w:p w:rsidR="00000000" w:rsidRDefault="005173F0">
      <w:pPr>
        <w:pStyle w:val="Textoindependiente"/>
        <w:widowControl/>
        <w:jc w:val="center"/>
        <w:rPr>
          <w:rFonts w:ascii="Arial" w:hAnsi="Arial"/>
          <w:b w:val="0"/>
          <w:sz w:val="24"/>
        </w:rPr>
      </w:pPr>
      <w:r>
        <w:rPr>
          <w:rFonts w:ascii="Arial" w:hAnsi="Arial"/>
          <w:b w:val="0"/>
          <w:sz w:val="24"/>
        </w:rPr>
        <w:t>LA ASAMBLEA LEGISLATIVA DE LA REPÚBLICA DE COSTA RI</w:t>
      </w:r>
      <w:r>
        <w:rPr>
          <w:rFonts w:ascii="Arial" w:hAnsi="Arial"/>
          <w:b w:val="0"/>
          <w:sz w:val="24"/>
        </w:rPr>
        <w:t>CA</w:t>
      </w:r>
    </w:p>
    <w:p w:rsidR="00000000" w:rsidRDefault="005173F0">
      <w:pPr>
        <w:pStyle w:val="Textoindependiente"/>
        <w:widowControl/>
        <w:jc w:val="center"/>
        <w:rPr>
          <w:rFonts w:ascii="Arial" w:hAnsi="Arial"/>
          <w:b w:val="0"/>
          <w:sz w:val="24"/>
        </w:rPr>
      </w:pPr>
      <w:r>
        <w:rPr>
          <w:rFonts w:ascii="Arial" w:hAnsi="Arial"/>
          <w:b w:val="0"/>
          <w:sz w:val="24"/>
        </w:rPr>
        <w:t>DECRETA:</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REGULACIÓN DEL REFERÉNDUM</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CAPÍTULO I</w:t>
      </w:r>
    </w:p>
    <w:p w:rsidR="00000000" w:rsidRDefault="005173F0">
      <w:pPr>
        <w:pStyle w:val="Textoindependiente"/>
        <w:widowControl/>
        <w:jc w:val="center"/>
        <w:rPr>
          <w:rFonts w:ascii="Arial" w:hAnsi="Arial"/>
          <w:sz w:val="24"/>
        </w:rPr>
      </w:pPr>
      <w:r>
        <w:rPr>
          <w:rFonts w:ascii="Arial" w:hAnsi="Arial"/>
          <w:sz w:val="24"/>
        </w:rPr>
        <w:t>DISPOSICIONES GENERALES</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w:t>
      </w:r>
      <w:r>
        <w:rPr>
          <w:rFonts w:ascii="Arial" w:hAnsi="Arial"/>
          <w:sz w:val="24"/>
        </w:rPr>
        <w:tab/>
        <w:t>Objeto</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presente Ley tiene por objeto regular e instrumentar el instituto de la democracia participativa denominado referéndum, mediante el cual el pueblo ejerce la potestad de aprobar o derogar leyes y hacer reformas parciales de la Constitución Política, de conformidad con los artículos 105, 124, 129 y 195 de la Constitución Política.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regulación de este instrumento no impedirá el desarrollo de otras formas d</w:t>
      </w:r>
      <w:r>
        <w:rPr>
          <w:rFonts w:ascii="Arial" w:hAnsi="Arial"/>
          <w:b w:val="0"/>
          <w:sz w:val="24"/>
        </w:rPr>
        <w:t>e participación ciudadana en la vida política, económica, social y cultural del país, ni el ejercicio de otros derechos políticos no mencionados en esta Ley.</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w:t>
      </w:r>
      <w:r>
        <w:rPr>
          <w:rFonts w:ascii="Arial" w:hAnsi="Arial"/>
          <w:sz w:val="24"/>
        </w:rPr>
        <w:tab/>
        <w:t>Materias no sujetas a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De conformidad con el artículo 105 de la Constitución Política, no podrán someterse a referéndum proyectos de ley sobre materias presupuestaria, tributaria, fiscal, monetaria, crediticia, de pensiones, seguridad, aprobación de empréstitos y contratos, ni actos de naturaleza administrativa.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No podrá convo</w:t>
      </w:r>
      <w:r>
        <w:rPr>
          <w:rFonts w:ascii="Arial" w:hAnsi="Arial"/>
          <w:b w:val="0"/>
          <w:sz w:val="24"/>
        </w:rPr>
        <w:t>carse a más de un referéndum al año, tampoco durante los seis meses anteriores ni posteriores a la elección presidencial.  El Tribunal Supremo de Elecciones (TSE) velará por el cumplimiento de esta norma.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De declararse estado de emergencia, necesidad pública u otras circunstancias igualmente calificadas que imposibiliten la realización del referéndum, será potestad del TSE decretar su suspensión y reprogramación.</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3.-</w:t>
      </w:r>
      <w:r>
        <w:rPr>
          <w:rFonts w:ascii="Arial" w:hAnsi="Arial"/>
          <w:sz w:val="24"/>
        </w:rPr>
        <w:tab/>
        <w:t>Modalidades del referéndum</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b w:val="0"/>
          <w:sz w:val="24"/>
        </w:rPr>
      </w:pPr>
      <w:r>
        <w:rPr>
          <w:rFonts w:ascii="Arial" w:hAnsi="Arial"/>
          <w:sz w:val="24"/>
        </w:rPr>
        <w:tab/>
      </w:r>
      <w:r>
        <w:rPr>
          <w:rFonts w:ascii="Arial" w:hAnsi="Arial"/>
          <w:b w:val="0"/>
          <w:sz w:val="24"/>
        </w:rPr>
        <w:t>Son modalidades del referéndum las siguientes:</w:t>
      </w:r>
    </w:p>
    <w:p w:rsidR="00000000" w:rsidRDefault="005173F0">
      <w:pPr>
        <w:pStyle w:val="Textoindependiente"/>
        <w:widowControl/>
        <w:jc w:val="both"/>
        <w:rPr>
          <w:rFonts w:ascii="Arial" w:hAnsi="Arial"/>
          <w:b w:val="0"/>
          <w:sz w:val="24"/>
        </w:rPr>
      </w:pPr>
    </w:p>
    <w:p w:rsidR="00000000" w:rsidRDefault="005173F0">
      <w:pPr>
        <w:pStyle w:val="Textoindependiente"/>
        <w:widowControl/>
        <w:ind w:left="850"/>
        <w:jc w:val="both"/>
        <w:rPr>
          <w:rFonts w:ascii="Arial" w:hAnsi="Arial"/>
          <w:b w:val="0"/>
          <w:sz w:val="24"/>
        </w:rPr>
      </w:pPr>
      <w:r>
        <w:rPr>
          <w:rFonts w:ascii="Arial" w:hAnsi="Arial"/>
          <w:sz w:val="24"/>
        </w:rPr>
        <w:lastRenderedPageBreak/>
        <w:t>a)</w:t>
      </w:r>
      <w:r>
        <w:rPr>
          <w:rFonts w:ascii="Arial" w:hAnsi="Arial"/>
          <w:sz w:val="24"/>
        </w:rPr>
        <w:tab/>
      </w:r>
      <w:r>
        <w:rPr>
          <w:rFonts w:ascii="Arial" w:hAnsi="Arial"/>
          <w:b w:val="0"/>
          <w:sz w:val="24"/>
        </w:rPr>
        <w:t>De iniciativa ciudadana:  convocado al menos por un cinco por ciento (5%) de los ciudadanos inscritos en el padrón electoral.</w:t>
      </w:r>
    </w:p>
    <w:p w:rsidR="00000000" w:rsidRDefault="005173F0">
      <w:pPr>
        <w:pStyle w:val="Textoindependiente"/>
        <w:widowControl/>
        <w:ind w:left="850"/>
        <w:jc w:val="both"/>
        <w:rPr>
          <w:rFonts w:ascii="Arial" w:hAnsi="Arial"/>
          <w:b w:val="0"/>
          <w:sz w:val="24"/>
        </w:rPr>
      </w:pPr>
      <w:r>
        <w:rPr>
          <w:rFonts w:ascii="Arial" w:hAnsi="Arial"/>
          <w:sz w:val="24"/>
        </w:rPr>
        <w:t>b)</w:t>
      </w:r>
      <w:r>
        <w:rPr>
          <w:rFonts w:ascii="Arial" w:hAnsi="Arial"/>
          <w:b w:val="0"/>
          <w:sz w:val="24"/>
        </w:rPr>
        <w:tab/>
        <w:t>Legislativo:  convocado por la Asamblea Legislativa mediante la  aprobación de dos terceras partes del total de sus miembros.</w:t>
      </w:r>
    </w:p>
    <w:p w:rsidR="00000000" w:rsidRDefault="005173F0">
      <w:pPr>
        <w:pStyle w:val="Textoindependiente"/>
        <w:widowControl/>
        <w:ind w:left="850"/>
        <w:jc w:val="both"/>
        <w:rPr>
          <w:rFonts w:ascii="Arial" w:hAnsi="Arial"/>
          <w:b w:val="0"/>
          <w:sz w:val="24"/>
        </w:rPr>
      </w:pPr>
      <w:r>
        <w:rPr>
          <w:rFonts w:ascii="Arial" w:hAnsi="Arial"/>
          <w:sz w:val="24"/>
        </w:rPr>
        <w:t>c)</w:t>
      </w:r>
      <w:r>
        <w:rPr>
          <w:rFonts w:ascii="Arial" w:hAnsi="Arial"/>
          <w:b w:val="0"/>
          <w:sz w:val="24"/>
        </w:rPr>
        <w:tab/>
        <w:t>Ejecutivo:  convocado por el Poder Ejecutivo junto con la mayoría absoluta de la totalidad de los miembros de la Asamblea Legislativa.</w:t>
      </w:r>
    </w:p>
    <w:p w:rsidR="00000000" w:rsidRDefault="005173F0">
      <w:pPr>
        <w:pStyle w:val="Textoindependiente"/>
        <w:widowControl/>
        <w:jc w:val="both"/>
        <w:rPr>
          <w:rFonts w:ascii="Arial" w:hAnsi="Arial"/>
          <w:b w:val="0"/>
          <w:sz w:val="24"/>
        </w:rPr>
      </w:pPr>
    </w:p>
    <w:p w:rsidR="00000000" w:rsidRDefault="005173F0">
      <w:pPr>
        <w:pStyle w:val="Textoindependiente"/>
        <w:widowControl/>
        <w:jc w:val="both"/>
        <w:rPr>
          <w:rFonts w:ascii="Arial" w:hAnsi="Arial"/>
          <w:sz w:val="24"/>
        </w:rPr>
      </w:pPr>
      <w:r>
        <w:rPr>
          <w:rFonts w:ascii="Arial" w:hAnsi="Arial"/>
          <w:sz w:val="24"/>
        </w:rPr>
        <w:t>ARTÍCULO 4.-</w:t>
      </w:r>
      <w:r>
        <w:rPr>
          <w:rFonts w:ascii="Arial" w:hAnsi="Arial"/>
          <w:sz w:val="24"/>
        </w:rPr>
        <w:tab/>
        <w:t>Carácter vinculante del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Cuando participe por lo menos un treinta por ciento (30%) de los ciud</w:t>
      </w:r>
      <w:r>
        <w:rPr>
          <w:rFonts w:ascii="Arial" w:hAnsi="Arial"/>
          <w:b w:val="0"/>
          <w:sz w:val="24"/>
        </w:rPr>
        <w:t>adanos inscritos en el padrón electoral para la legislación ordinaria y un cuarenta por ciento (40%), como mínimo, en los asuntos que requieran la aprobación legislativa por mayoría calificada, el resultado del referéndum será vinculante para el Estado; en tal caso, la ley promulgada será obligatoria y surtirá efectos desde el día en que dicha norma lo designe o, en su defecto, diez días después de su publicación en La Gaceta.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b w:val="0"/>
          <w:sz w:val="24"/>
        </w:rPr>
      </w:pPr>
      <w:r>
        <w:rPr>
          <w:rFonts w:ascii="Arial" w:hAnsi="Arial"/>
          <w:sz w:val="24"/>
        </w:rPr>
        <w:t>ARTÍCULO 5.-</w:t>
      </w:r>
      <w:r>
        <w:rPr>
          <w:rFonts w:ascii="Arial" w:hAnsi="Arial"/>
          <w:sz w:val="24"/>
        </w:rPr>
        <w:tab/>
        <w:t>Normativa supletoria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Para realizar el referéndum, se aplicarán, de</w:t>
      </w:r>
      <w:r>
        <w:rPr>
          <w:rFonts w:ascii="Arial" w:hAnsi="Arial"/>
          <w:b w:val="0"/>
          <w:sz w:val="24"/>
        </w:rPr>
        <w:t xml:space="preserve"> manera supletoria, las normas contenidas en el Código Electoral.</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CAPÍTULO II</w:t>
      </w:r>
    </w:p>
    <w:p w:rsidR="00000000" w:rsidRDefault="005173F0">
      <w:pPr>
        <w:pStyle w:val="Textoindependiente"/>
        <w:widowControl/>
        <w:jc w:val="center"/>
        <w:rPr>
          <w:rFonts w:ascii="Arial" w:hAnsi="Arial"/>
          <w:sz w:val="24"/>
        </w:rPr>
      </w:pPr>
      <w:r>
        <w:rPr>
          <w:rFonts w:ascii="Arial" w:hAnsi="Arial"/>
          <w:sz w:val="24"/>
        </w:rPr>
        <w:t>MODALIDADES DE REFERÉNDUM</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SECCIÓN I</w:t>
      </w:r>
    </w:p>
    <w:p w:rsidR="00000000" w:rsidRDefault="005173F0">
      <w:pPr>
        <w:pStyle w:val="Textoindependiente"/>
        <w:widowControl/>
        <w:jc w:val="center"/>
        <w:rPr>
          <w:rFonts w:ascii="Arial" w:hAnsi="Arial"/>
          <w:sz w:val="24"/>
        </w:rPr>
      </w:pPr>
      <w:r>
        <w:rPr>
          <w:rFonts w:ascii="Arial" w:hAnsi="Arial"/>
          <w:sz w:val="24"/>
        </w:rPr>
        <w:t>REFERÉNDUM CIUDADANO</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6.-</w:t>
      </w:r>
      <w:r>
        <w:rPr>
          <w:rFonts w:ascii="Arial" w:hAnsi="Arial"/>
          <w:sz w:val="24"/>
        </w:rPr>
        <w:tab/>
        <w:t>Solicitud de recolección de firmas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trámite del referéndum de iniciativa ciudadana será el siguiente:</w:t>
      </w:r>
    </w:p>
    <w:p w:rsidR="00000000" w:rsidRDefault="005173F0">
      <w:pPr>
        <w:pStyle w:val="Textoindependiente"/>
        <w:widowControl/>
        <w:ind w:left="851" w:hanging="284"/>
        <w:jc w:val="both"/>
        <w:rPr>
          <w:rFonts w:ascii="Arial" w:hAnsi="Arial"/>
          <w:b w:val="0"/>
          <w:sz w:val="24"/>
        </w:rPr>
      </w:pPr>
    </w:p>
    <w:p w:rsidR="00000000" w:rsidRDefault="005173F0">
      <w:pPr>
        <w:pStyle w:val="Textoindependiente"/>
        <w:widowControl/>
        <w:ind w:left="850"/>
        <w:jc w:val="both"/>
        <w:rPr>
          <w:rFonts w:ascii="Arial" w:hAnsi="Arial"/>
          <w:b w:val="0"/>
          <w:sz w:val="24"/>
        </w:rPr>
      </w:pPr>
      <w:r>
        <w:rPr>
          <w:rFonts w:ascii="Arial" w:hAnsi="Arial"/>
          <w:sz w:val="24"/>
        </w:rPr>
        <w:t>a)</w:t>
      </w:r>
      <w:r>
        <w:rPr>
          <w:rFonts w:ascii="Arial" w:hAnsi="Arial"/>
          <w:sz w:val="24"/>
        </w:rPr>
        <w:tab/>
      </w:r>
      <w:r>
        <w:rPr>
          <w:rFonts w:ascii="Arial" w:hAnsi="Arial"/>
          <w:b w:val="0"/>
          <w:sz w:val="24"/>
        </w:rPr>
        <w:t>Cualquier interesado en la convocatoria a referéndum podrá solicitar, ante el TSE, autorización para recoger firmas.</w:t>
      </w:r>
    </w:p>
    <w:p w:rsidR="00000000" w:rsidRDefault="005173F0">
      <w:pPr>
        <w:pStyle w:val="Textoindependiente"/>
        <w:widowControl/>
        <w:ind w:left="850"/>
        <w:jc w:val="both"/>
        <w:rPr>
          <w:rFonts w:ascii="Arial" w:hAnsi="Arial"/>
          <w:b w:val="0"/>
          <w:sz w:val="24"/>
        </w:rPr>
      </w:pPr>
      <w:r>
        <w:rPr>
          <w:rFonts w:ascii="Arial" w:hAnsi="Arial"/>
          <w:sz w:val="24"/>
        </w:rPr>
        <w:t>b)</w:t>
      </w:r>
      <w:r>
        <w:rPr>
          <w:rFonts w:ascii="Arial" w:hAnsi="Arial"/>
          <w:b w:val="0"/>
          <w:sz w:val="24"/>
        </w:rPr>
        <w:tab/>
        <w:t>La solicitud deberá indicar el texto por consultar en referéndum, las razones que justifican la propuesta, así como los nombres, l</w:t>
      </w:r>
      <w:r>
        <w:rPr>
          <w:rFonts w:ascii="Arial" w:hAnsi="Arial"/>
          <w:b w:val="0"/>
          <w:sz w:val="24"/>
        </w:rPr>
        <w:t>os números de cédula y las calidades de ley de los interesados, y el lugar para recibir notificaciones.</w:t>
      </w:r>
    </w:p>
    <w:p w:rsidR="00000000" w:rsidRDefault="005173F0">
      <w:pPr>
        <w:pStyle w:val="Textoindependiente"/>
        <w:widowControl/>
        <w:ind w:left="850"/>
        <w:jc w:val="both"/>
        <w:rPr>
          <w:rFonts w:ascii="Arial" w:hAnsi="Arial"/>
          <w:b w:val="0"/>
          <w:sz w:val="24"/>
        </w:rPr>
      </w:pPr>
      <w:r>
        <w:rPr>
          <w:rFonts w:ascii="Arial" w:hAnsi="Arial"/>
          <w:sz w:val="24"/>
        </w:rPr>
        <w:t>c)</w:t>
      </w:r>
      <w:r>
        <w:rPr>
          <w:rFonts w:ascii="Arial" w:hAnsi="Arial"/>
          <w:sz w:val="24"/>
        </w:rPr>
        <w:tab/>
      </w:r>
      <w:r>
        <w:rPr>
          <w:rFonts w:ascii="Arial" w:hAnsi="Arial"/>
          <w:b w:val="0"/>
          <w:sz w:val="24"/>
        </w:rPr>
        <w:t>El TSE remitirá el texto del proyecto normativo a la Asamblea Legislativa, a fin de que sea evaluado desde el punto de vista formal por el Departamento de Servicios Técnicos, el cual se pronunciará en un lapso de ocho días hábiles, luego de realizar las consultas obligatorias correspondientes.  Si el texto contiene vicios formales, dicho Departamento los subsanará de oficio y devolverá el texto corregi</w:t>
      </w:r>
      <w:r>
        <w:rPr>
          <w:rFonts w:ascii="Arial" w:hAnsi="Arial"/>
          <w:b w:val="0"/>
          <w:sz w:val="24"/>
        </w:rPr>
        <w:t>do al Tribunal.</w:t>
      </w:r>
    </w:p>
    <w:p w:rsidR="00000000" w:rsidRDefault="005173F0">
      <w:pPr>
        <w:pStyle w:val="Textoindependiente"/>
        <w:widowControl/>
        <w:ind w:left="850"/>
        <w:jc w:val="both"/>
        <w:rPr>
          <w:rFonts w:ascii="Arial" w:hAnsi="Arial"/>
          <w:b w:val="0"/>
          <w:sz w:val="24"/>
        </w:rPr>
      </w:pPr>
      <w:r>
        <w:rPr>
          <w:rFonts w:ascii="Arial" w:hAnsi="Arial"/>
          <w:sz w:val="24"/>
        </w:rPr>
        <w:t>d)</w:t>
      </w:r>
      <w:r>
        <w:rPr>
          <w:rFonts w:ascii="Arial" w:hAnsi="Arial"/>
          <w:b w:val="0"/>
          <w:sz w:val="24"/>
        </w:rPr>
        <w:tab/>
        <w:t>Si el proyecto carece de vicios formales, el Tribunal ordenará su publicación en La Gaceta y el interesado procederá a recolectar las firmas de por lo menos un cinco por ciento (5%) de los ciudadanos inscritos en el padrón electoral en los formularios brindados por el Tribunal.</w:t>
      </w:r>
    </w:p>
    <w:p w:rsidR="00000000" w:rsidRDefault="005173F0">
      <w:pPr>
        <w:pStyle w:val="Textoindependiente"/>
        <w:widowControl/>
        <w:ind w:left="850"/>
        <w:jc w:val="both"/>
        <w:rPr>
          <w:rFonts w:ascii="Arial" w:hAnsi="Arial"/>
          <w:b w:val="0"/>
          <w:sz w:val="24"/>
        </w:rPr>
      </w:pPr>
      <w:r>
        <w:rPr>
          <w:rFonts w:ascii="Arial" w:hAnsi="Arial"/>
          <w:sz w:val="24"/>
        </w:rPr>
        <w:t>e)</w:t>
      </w:r>
      <w:r>
        <w:rPr>
          <w:rFonts w:ascii="Arial" w:hAnsi="Arial"/>
          <w:sz w:val="24"/>
        </w:rPr>
        <w:tab/>
      </w:r>
      <w:r>
        <w:rPr>
          <w:rFonts w:ascii="Arial" w:hAnsi="Arial"/>
          <w:b w:val="0"/>
          <w:sz w:val="24"/>
        </w:rPr>
        <w:t>El interesado en la convocatoria a referéndum contará con un plazo hasta de nueve meses para recolectar las firmas a partir de la publicación indicada.  De vencerse dicho plazo sin haber recolectado las firmas r</w:t>
      </w:r>
      <w:r>
        <w:rPr>
          <w:rFonts w:ascii="Arial" w:hAnsi="Arial"/>
          <w:b w:val="0"/>
          <w:sz w:val="24"/>
        </w:rPr>
        <w:t>espectivas, el interesado podrá solicitar ante el Tribunal una prórroga hasta por un mes más.  Expirado este plazo adicional, se denegará cualquier petición de prórroga adicional y la gestión se archivará sin más trámite.</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7.-</w:t>
      </w:r>
      <w:r>
        <w:rPr>
          <w:rFonts w:ascii="Arial" w:hAnsi="Arial"/>
          <w:sz w:val="24"/>
        </w:rPr>
        <w:tab/>
        <w:t>Admisión de la solicitud para iniciar la recolección de firmas</w:t>
      </w:r>
    </w:p>
    <w:p w:rsidR="00000000" w:rsidRDefault="005173F0">
      <w:pPr>
        <w:pStyle w:val="Textoindependiente"/>
        <w:widowControl/>
        <w:jc w:val="both"/>
        <w:rPr>
          <w:rFonts w:ascii="Arial" w:hAnsi="Arial"/>
          <w:b w:val="0"/>
          <w:sz w:val="24"/>
        </w:rPr>
      </w:pPr>
    </w:p>
    <w:p w:rsidR="00000000" w:rsidRDefault="005173F0">
      <w:pPr>
        <w:pStyle w:val="Textoindependiente"/>
        <w:widowControl/>
        <w:jc w:val="both"/>
        <w:rPr>
          <w:rFonts w:ascii="Arial" w:hAnsi="Arial"/>
          <w:b w:val="0"/>
          <w:sz w:val="24"/>
        </w:rPr>
      </w:pPr>
      <w:r>
        <w:rPr>
          <w:rFonts w:ascii="Arial" w:hAnsi="Arial"/>
          <w:b w:val="0"/>
          <w:sz w:val="24"/>
        </w:rPr>
        <w:tab/>
        <w:t>Admitida la solicitud por el TSE, este autorizará los formularios para la recolección de las firmas, los cuales deberán contener lo siguiente:</w:t>
      </w:r>
    </w:p>
    <w:p w:rsidR="00000000" w:rsidRDefault="005173F0">
      <w:pPr>
        <w:pStyle w:val="Textoindependiente"/>
        <w:widowControl/>
        <w:ind w:left="1410" w:hanging="1410"/>
        <w:jc w:val="both"/>
        <w:rPr>
          <w:rFonts w:ascii="Arial" w:hAnsi="Arial"/>
          <w:sz w:val="24"/>
        </w:rPr>
      </w:pPr>
    </w:p>
    <w:p w:rsidR="00000000" w:rsidRDefault="005173F0">
      <w:pPr>
        <w:pStyle w:val="Textoindependiente"/>
        <w:widowControl/>
        <w:ind w:left="850"/>
        <w:jc w:val="both"/>
        <w:rPr>
          <w:rFonts w:ascii="Arial" w:hAnsi="Arial"/>
          <w:b w:val="0"/>
          <w:sz w:val="24"/>
        </w:rPr>
      </w:pPr>
      <w:r>
        <w:rPr>
          <w:rFonts w:ascii="Arial" w:hAnsi="Arial"/>
          <w:sz w:val="24"/>
        </w:rPr>
        <w:t>a)</w:t>
      </w:r>
      <w:r>
        <w:rPr>
          <w:rFonts w:ascii="Arial" w:hAnsi="Arial"/>
          <w:b w:val="0"/>
          <w:sz w:val="24"/>
        </w:rPr>
        <w:tab/>
        <w:t>Espacios para consignar, de manera clara, la siguiente informaci</w:t>
      </w:r>
      <w:r>
        <w:rPr>
          <w:rFonts w:ascii="Arial" w:hAnsi="Arial"/>
          <w:b w:val="0"/>
          <w:sz w:val="24"/>
        </w:rPr>
        <w:t>ón: los nombres, las firmas y los números de cédula de identidad de los ciudadanos que respalden la convocatoria.</w:t>
      </w:r>
    </w:p>
    <w:p w:rsidR="00000000" w:rsidRDefault="005173F0">
      <w:pPr>
        <w:pStyle w:val="Textoindependiente"/>
        <w:widowControl/>
        <w:ind w:left="850"/>
        <w:jc w:val="both"/>
        <w:rPr>
          <w:rFonts w:ascii="Arial" w:hAnsi="Arial"/>
          <w:b w:val="0"/>
          <w:sz w:val="24"/>
        </w:rPr>
      </w:pPr>
      <w:r>
        <w:rPr>
          <w:rFonts w:ascii="Arial" w:hAnsi="Arial"/>
          <w:sz w:val="24"/>
        </w:rPr>
        <w:t>b)</w:t>
      </w:r>
      <w:r>
        <w:rPr>
          <w:rFonts w:ascii="Arial" w:hAnsi="Arial"/>
          <w:b w:val="0"/>
          <w:sz w:val="24"/>
        </w:rPr>
        <w:tab/>
        <w:t>Una explicación del texto objeto del referéndum, con la indicación de la fecha de publicación del proyecto y, adjunto, el número suficiente de copias del texto que será sometido a referéndum, el cual podrá imprimirse en el reverso del formulario.</w:t>
      </w:r>
    </w:p>
    <w:p w:rsidR="00000000" w:rsidRDefault="005173F0">
      <w:pPr>
        <w:pStyle w:val="Textoindependiente"/>
        <w:widowControl/>
        <w:jc w:val="both"/>
        <w:rPr>
          <w:rFonts w:ascii="Arial" w:hAnsi="Arial"/>
          <w:b w:val="0"/>
          <w:sz w:val="24"/>
        </w:rPr>
      </w:pPr>
    </w:p>
    <w:p w:rsidR="00000000" w:rsidRDefault="005173F0">
      <w:pPr>
        <w:pStyle w:val="Textoindependiente"/>
        <w:widowControl/>
        <w:jc w:val="both"/>
        <w:rPr>
          <w:rFonts w:ascii="Arial" w:hAnsi="Arial"/>
          <w:b w:val="0"/>
          <w:sz w:val="24"/>
        </w:rPr>
      </w:pPr>
      <w:r>
        <w:rPr>
          <w:rFonts w:ascii="Arial" w:hAnsi="Arial"/>
          <w:b w:val="0"/>
          <w:sz w:val="24"/>
        </w:rPr>
        <w:tab/>
        <w:t>El ciudadano que apoye la convocatoria a referéndum deberá escribir, de su propia mano y legible, su nombre, número de cédula y la firma registrad</w:t>
      </w:r>
      <w:r>
        <w:rPr>
          <w:rFonts w:ascii="Arial" w:hAnsi="Arial"/>
          <w:b w:val="0"/>
          <w:sz w:val="24"/>
        </w:rPr>
        <w:t>a en esta.  En caso de que el ciudadano no pueda o no sepa hacerlo, un tercero podrá firmar, a su ruego, en presencia de dos testigos, y dejará constancia en el formulario de las razones por las que realiza así la firma, así como las calidades y las firmas del tercero y los testigos.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Cada ciudadano podrá firmar solo una vez la convocatoria.  Si el ciudadano firma varias veces, solamente una de esas firmas será admitida.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Una vez que un ciudadano haya firmado la convocatoria a un referéndum,  no podrá retir</w:t>
      </w:r>
      <w:r>
        <w:rPr>
          <w:rFonts w:ascii="Arial" w:hAnsi="Arial"/>
          <w:b w:val="0"/>
          <w:sz w:val="24"/>
        </w:rPr>
        <w:t>ar su firma.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8.-</w:t>
      </w:r>
      <w:r>
        <w:rPr>
          <w:rFonts w:ascii="Arial" w:hAnsi="Arial"/>
          <w:sz w:val="24"/>
        </w:rPr>
        <w:tab/>
        <w:t>Recolección de firmas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TSE fijará los lugares para la recolección de las firmas.  Para tales efectos, las municipalidades, las escuelas, los colegios y las instituciones públicas quedan autorizadas para  facilitar el espacio físico de sus instalaciones, cuando así lo consideren oportuno, en coordinación con el Tribunal.  El TSE podrá autorizar, a propuesta de las personas responsables de la gestión, el señalamiento de los lugares para la recolección de firmas y las personas que</w:t>
      </w:r>
      <w:r>
        <w:rPr>
          <w:rFonts w:ascii="Arial" w:hAnsi="Arial"/>
          <w:b w:val="0"/>
          <w:sz w:val="24"/>
        </w:rPr>
        <w:t xml:space="preserve"> las custodiarán.</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Tribunal acreditará previamente a los responsables de custodiar los formularios de firmas, así como la recolección de dichos formularios, cuando corresponda.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9.-</w:t>
      </w:r>
      <w:r>
        <w:rPr>
          <w:rFonts w:ascii="Arial" w:hAnsi="Arial"/>
          <w:sz w:val="24"/>
        </w:rPr>
        <w:tab/>
        <w:t>Revisión de las firmas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Tribunal contará con un período máximo de treinta días hábiles para verificar la autenticidad de los nombres, las firmas y los números de cédula.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Deberá pronunciarse en torno a la validez de los nombres, las firmas y los números de cédula presentados.  De no haberse completado el mínimo de</w:t>
      </w:r>
      <w:r>
        <w:rPr>
          <w:rFonts w:ascii="Arial" w:hAnsi="Arial"/>
          <w:b w:val="0"/>
          <w:sz w:val="24"/>
        </w:rPr>
        <w:t xml:space="preserve"> firmas previsto en la Constitución y si algunas firmas no son verificables, el Tribunal solicitará al responsable de la gestión que estas sean aportadas o sustituidas, según corresponda, en un plazo de quince días hábiles.  Para tales efectos, se aplicará lo dispuesto para la recolección de firmas.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De resultar no verificable el quince por ciento (15%) de las firmas necesarias para convocar a referéndum, el proyecto de ley o la reforma parcial a la Constitución Política quedará invalidado para dicho fin.</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10.-</w:t>
      </w:r>
      <w:r>
        <w:rPr>
          <w:rFonts w:ascii="Arial" w:hAnsi="Arial"/>
          <w:sz w:val="24"/>
        </w:rPr>
        <w:tab/>
        <w:t>Acumulación de consultas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Cuando se presente más de una solicitud de convocatoria, siempre y cuando se reciban dentro de los plazos establecidos en esta Ley, el TSE podrá acumular las distintas consultas para que se conozcan en un solo acto comicial.</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11.-</w:t>
      </w:r>
      <w:r>
        <w:rPr>
          <w:rFonts w:ascii="Arial" w:hAnsi="Arial"/>
          <w:sz w:val="24"/>
        </w:rPr>
        <w:tab/>
        <w:t>Convocatoria oficial a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Cuando se haya reunido satisfactoriamente un número de firmas equivalente al menos a un cinco por ciento (5%) de los ciudadanos inscritos en el padrón electoral, se tendrá por convocado el referénd</w:t>
      </w:r>
      <w:r>
        <w:rPr>
          <w:rFonts w:ascii="Arial" w:hAnsi="Arial"/>
          <w:b w:val="0"/>
          <w:sz w:val="24"/>
        </w:rPr>
        <w:t>um.  El TSE hará la convocatoria oficial del referéndum comunicándolo así en La Gaceta, dentro de los siete días hábiles siguientes, y procederá a la organización y demás actos administrativos necesarios para realizar la consulta, la cual deberá efectuarse dentro de los tres meses siguientes a la publicación del aviso.</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br w:type="page"/>
        <w:t>SECCIÓN II</w:t>
      </w:r>
    </w:p>
    <w:p w:rsidR="00000000" w:rsidRDefault="005173F0">
      <w:pPr>
        <w:pStyle w:val="Textoindependiente"/>
        <w:widowControl/>
        <w:jc w:val="center"/>
        <w:rPr>
          <w:rFonts w:ascii="Arial" w:hAnsi="Arial"/>
          <w:sz w:val="24"/>
        </w:rPr>
      </w:pPr>
      <w:r>
        <w:rPr>
          <w:rFonts w:ascii="Arial" w:hAnsi="Arial"/>
          <w:sz w:val="24"/>
        </w:rPr>
        <w:t>REFERÉNDUM LEGISLATIVO Y POR GESTIÓN DEL EJECUTIVO</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12.-</w:t>
      </w:r>
      <w:r>
        <w:rPr>
          <w:rFonts w:ascii="Arial" w:hAnsi="Arial"/>
          <w:sz w:val="24"/>
        </w:rPr>
        <w:tab/>
        <w:t>Referéndum legislativo</w:t>
      </w:r>
    </w:p>
    <w:p w:rsidR="00000000" w:rsidRDefault="005173F0">
      <w:pPr>
        <w:pStyle w:val="Textoindependiente"/>
        <w:widowControl/>
        <w:jc w:val="both"/>
        <w:rPr>
          <w:rFonts w:ascii="Arial" w:hAnsi="Arial"/>
          <w:b w:val="0"/>
          <w:sz w:val="24"/>
        </w:rPr>
      </w:pPr>
    </w:p>
    <w:p w:rsidR="00000000" w:rsidRDefault="005173F0">
      <w:pPr>
        <w:pStyle w:val="Textoindependiente"/>
        <w:widowControl/>
        <w:ind w:firstLine="705"/>
        <w:jc w:val="both"/>
        <w:rPr>
          <w:rFonts w:ascii="Arial" w:hAnsi="Arial"/>
          <w:b w:val="0"/>
          <w:sz w:val="24"/>
        </w:rPr>
      </w:pPr>
      <w:r>
        <w:rPr>
          <w:rFonts w:ascii="Arial" w:hAnsi="Arial"/>
          <w:b w:val="0"/>
          <w:sz w:val="24"/>
        </w:rPr>
        <w:t>La Asamblea Legislativa podrá convocar a referéndum cuando concurran los siguientes req</w:t>
      </w:r>
      <w:r>
        <w:rPr>
          <w:rFonts w:ascii="Arial" w:hAnsi="Arial"/>
          <w:b w:val="0"/>
          <w:sz w:val="24"/>
        </w:rPr>
        <w:t>uisitos y procedimiento:</w:t>
      </w:r>
    </w:p>
    <w:p w:rsidR="00000000" w:rsidRDefault="005173F0">
      <w:pPr>
        <w:pStyle w:val="Textoindependiente"/>
        <w:widowControl/>
        <w:jc w:val="both"/>
        <w:rPr>
          <w:rFonts w:ascii="Arial" w:hAnsi="Arial"/>
          <w:b w:val="0"/>
          <w:sz w:val="24"/>
        </w:rPr>
      </w:pPr>
    </w:p>
    <w:p w:rsidR="00000000" w:rsidRDefault="005173F0">
      <w:pPr>
        <w:ind w:left="850"/>
        <w:jc w:val="both"/>
        <w:rPr>
          <w:rFonts w:ascii="Arial" w:hAnsi="Arial"/>
        </w:rPr>
      </w:pPr>
      <w:r>
        <w:rPr>
          <w:rFonts w:ascii="Arial" w:hAnsi="Arial"/>
          <w:b/>
        </w:rPr>
        <w:t>a)</w:t>
      </w:r>
      <w:r>
        <w:rPr>
          <w:rFonts w:ascii="Arial" w:hAnsi="Arial"/>
          <w:b/>
        </w:rPr>
        <w:tab/>
      </w:r>
      <w:r>
        <w:rPr>
          <w:rFonts w:ascii="Arial" w:hAnsi="Arial"/>
        </w:rPr>
        <w:t>Que se presente un proyecto de acuerdo firmado por uno o más diputados, acompañado del texto del proyecto de ley que se someterá a referéndum.  El proyecto de ley podrá ser cualquiera que se encuentre en trámite en la corriente legislativa o que no haya ingresado a esta.  En caso de referéndum de un proyecto de reforma parcial de la Constitución, el proyecto de acuerdo deberá presentarse después de haber sido aprobada la reforma en una legislatura y antes de la siguiente.</w:t>
      </w:r>
    </w:p>
    <w:p w:rsidR="00000000" w:rsidRDefault="005173F0">
      <w:pPr>
        <w:ind w:left="850"/>
        <w:jc w:val="both"/>
        <w:rPr>
          <w:rFonts w:ascii="Arial" w:hAnsi="Arial"/>
        </w:rPr>
      </w:pPr>
      <w:r>
        <w:rPr>
          <w:rFonts w:ascii="Arial" w:hAnsi="Arial"/>
          <w:b/>
        </w:rPr>
        <w:t>b)</w:t>
      </w:r>
      <w:r>
        <w:rPr>
          <w:rFonts w:ascii="Arial" w:hAnsi="Arial"/>
        </w:rPr>
        <w:tab/>
        <w:t>Que</w:t>
      </w:r>
      <w:r>
        <w:rPr>
          <w:rFonts w:ascii="Arial" w:hAnsi="Arial"/>
        </w:rPr>
        <w:t xml:space="preserve"> la propuesta sea presentada en el período de sesiones ordinarias y se tramite por los procedimientos reglamentarios al efecto.</w:t>
      </w:r>
    </w:p>
    <w:p w:rsidR="00000000" w:rsidRDefault="005173F0">
      <w:pPr>
        <w:ind w:left="850"/>
        <w:jc w:val="both"/>
        <w:rPr>
          <w:rFonts w:ascii="Arial" w:hAnsi="Arial"/>
        </w:rPr>
      </w:pPr>
      <w:r>
        <w:rPr>
          <w:rFonts w:ascii="Arial" w:hAnsi="Arial"/>
          <w:b/>
        </w:rPr>
        <w:t>c)</w:t>
      </w:r>
      <w:r>
        <w:rPr>
          <w:rFonts w:ascii="Arial" w:hAnsi="Arial"/>
        </w:rPr>
        <w:tab/>
        <w:t>Que concurran dos terceras partes del total de los miembros de la Asamblea Legislativa para la aprobación del acuerdo.  Si no se obtiene la votación requerida, el proyecto de acuerdo se archivará.</w:t>
      </w:r>
    </w:p>
    <w:p w:rsidR="00000000" w:rsidRDefault="005173F0">
      <w:pPr>
        <w:pStyle w:val="Textoindependiente"/>
        <w:widowControl/>
        <w:jc w:val="both"/>
        <w:rPr>
          <w:rFonts w:ascii="Arial" w:hAnsi="Arial"/>
          <w:b w:val="0"/>
          <w:sz w:val="24"/>
        </w:rPr>
      </w:pPr>
    </w:p>
    <w:p w:rsidR="00000000" w:rsidRDefault="005173F0">
      <w:pPr>
        <w:jc w:val="both"/>
        <w:rPr>
          <w:rFonts w:ascii="Arial" w:hAnsi="Arial"/>
        </w:rPr>
      </w:pPr>
      <w:r>
        <w:rPr>
          <w:rFonts w:ascii="Arial" w:hAnsi="Arial"/>
        </w:rPr>
        <w:tab/>
        <w:t>Dentro del plazo de ocho días hábiles después de la convocatoria, el presidente de la Asamblea Legislativa presentará el acuerdo y el proyecto de ley ante el TSE, para la comunicació</w:t>
      </w:r>
      <w:r>
        <w:rPr>
          <w:rFonts w:ascii="Arial" w:hAnsi="Arial"/>
        </w:rPr>
        <w:t>n, la organización y los demás trámites del referéndum.</w:t>
      </w:r>
    </w:p>
    <w:p w:rsidR="00000000" w:rsidRDefault="005173F0">
      <w:pPr>
        <w:pStyle w:val="Textoindependiente"/>
        <w:widowControl/>
        <w:jc w:val="both"/>
        <w:rPr>
          <w:rFonts w:ascii="Arial" w:hAnsi="Arial"/>
          <w:sz w:val="24"/>
          <w:lang w:val="es-ES"/>
        </w:rPr>
      </w:pPr>
    </w:p>
    <w:p w:rsidR="00000000" w:rsidRDefault="005173F0">
      <w:pPr>
        <w:pStyle w:val="Textoindependiente"/>
        <w:widowControl/>
        <w:jc w:val="both"/>
        <w:rPr>
          <w:rFonts w:ascii="Arial" w:hAnsi="Arial"/>
          <w:sz w:val="24"/>
        </w:rPr>
      </w:pPr>
      <w:r>
        <w:rPr>
          <w:rFonts w:ascii="Arial" w:hAnsi="Arial"/>
          <w:sz w:val="24"/>
        </w:rPr>
        <w:t>ARTÍCULO 13.-</w:t>
      </w:r>
      <w:r>
        <w:rPr>
          <w:rFonts w:ascii="Arial" w:hAnsi="Arial"/>
          <w:sz w:val="24"/>
        </w:rPr>
        <w:tab/>
        <w:t>Iniciativa conjunta del Poder Ejecutivo y de la Asamblea Legislativa</w:t>
      </w:r>
    </w:p>
    <w:p w:rsidR="00000000" w:rsidRDefault="005173F0">
      <w:pPr>
        <w:pStyle w:val="Textoindependiente"/>
        <w:widowControl/>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convocatoria conjunta del Poder Ejecutivo y la Asamblea Legislativa para referéndum, deberá ajustarse a lo siguiente:</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left="850"/>
        <w:jc w:val="both"/>
        <w:rPr>
          <w:rFonts w:ascii="Arial" w:hAnsi="Arial"/>
          <w:b w:val="0"/>
          <w:sz w:val="24"/>
        </w:rPr>
      </w:pPr>
      <w:r>
        <w:rPr>
          <w:rFonts w:ascii="Arial" w:hAnsi="Arial"/>
          <w:sz w:val="24"/>
        </w:rPr>
        <w:t>a)</w:t>
      </w:r>
      <w:r>
        <w:rPr>
          <w:rFonts w:ascii="Arial" w:hAnsi="Arial"/>
          <w:b w:val="0"/>
          <w:sz w:val="24"/>
        </w:rPr>
        <w:tab/>
        <w:t>La iniciativa del Poder Ejecutivo tendrá la forma de decreto y contendrá adjunto el texto del proyecto de ley que se desea someter a consulta popular.</w:t>
      </w:r>
    </w:p>
    <w:p w:rsidR="00000000" w:rsidRDefault="005173F0">
      <w:pPr>
        <w:pStyle w:val="Textoindependiente"/>
        <w:widowControl/>
        <w:ind w:left="850"/>
        <w:jc w:val="both"/>
        <w:rPr>
          <w:rFonts w:ascii="Arial" w:hAnsi="Arial"/>
          <w:b w:val="0"/>
          <w:sz w:val="24"/>
        </w:rPr>
      </w:pPr>
      <w:r>
        <w:rPr>
          <w:rFonts w:ascii="Arial" w:hAnsi="Arial"/>
          <w:sz w:val="24"/>
        </w:rPr>
        <w:t>b)</w:t>
      </w:r>
      <w:r>
        <w:rPr>
          <w:rFonts w:ascii="Arial" w:hAnsi="Arial"/>
          <w:b w:val="0"/>
          <w:sz w:val="24"/>
        </w:rPr>
        <w:tab/>
        <w:t>Una vez recibida por la Asamblea Legislativa, seguirá el trámite previsto en el artículo ant</w:t>
      </w:r>
      <w:r>
        <w:rPr>
          <w:rFonts w:ascii="Arial" w:hAnsi="Arial"/>
          <w:b w:val="0"/>
          <w:sz w:val="24"/>
        </w:rPr>
        <w:t>erior relativo al procedimiento para la convocatoria a referéndum por iniciativa de la Asamblea Legislativa.  La Asamblea, mediante acuerdo aprobado por la mayoría de la totalidad de sus integrantes, decidirá someter o no a referéndum para aprobar o derogar leyes y reformas parciales de la Constitución.</w:t>
      </w:r>
    </w:p>
    <w:p w:rsidR="00000000" w:rsidRDefault="005173F0">
      <w:pPr>
        <w:pStyle w:val="Textoindependiente"/>
        <w:widowControl/>
        <w:ind w:left="850"/>
        <w:jc w:val="both"/>
        <w:rPr>
          <w:rFonts w:ascii="Arial" w:hAnsi="Arial"/>
          <w:b w:val="0"/>
          <w:sz w:val="24"/>
        </w:rPr>
      </w:pPr>
      <w:r>
        <w:rPr>
          <w:rFonts w:ascii="Arial" w:hAnsi="Arial"/>
          <w:sz w:val="24"/>
        </w:rPr>
        <w:t>c)</w:t>
      </w:r>
      <w:r>
        <w:rPr>
          <w:rFonts w:ascii="Arial" w:hAnsi="Arial"/>
          <w:b w:val="0"/>
          <w:sz w:val="24"/>
        </w:rPr>
        <w:tab/>
        <w:t>Si la Asamblea Legislativa aprueba la propuesta de convocatoria a referéndum, el texto será enviado por el presidente de la Asamblea Legislativa al TSE en un plazo máximo de ocho días hábiles, a fin de qu</w:t>
      </w:r>
      <w:r>
        <w:rPr>
          <w:rFonts w:ascii="Arial" w:hAnsi="Arial"/>
          <w:b w:val="0"/>
          <w:sz w:val="24"/>
        </w:rPr>
        <w:t>e este realice las actividades necesarias para el trámite respectivo.</w:t>
      </w:r>
    </w:p>
    <w:p w:rsidR="00000000" w:rsidRDefault="005173F0">
      <w:pPr>
        <w:pStyle w:val="Textoindependiente"/>
        <w:widowControl/>
        <w:ind w:left="850"/>
        <w:jc w:val="both"/>
        <w:rPr>
          <w:rFonts w:ascii="Arial" w:hAnsi="Arial"/>
          <w:b w:val="0"/>
          <w:sz w:val="24"/>
        </w:rPr>
      </w:pPr>
      <w:r>
        <w:rPr>
          <w:rFonts w:ascii="Arial" w:hAnsi="Arial"/>
          <w:sz w:val="24"/>
        </w:rPr>
        <w:t>d)</w:t>
      </w:r>
      <w:r>
        <w:rPr>
          <w:rFonts w:ascii="Arial" w:hAnsi="Arial"/>
          <w:b w:val="0"/>
          <w:sz w:val="24"/>
        </w:rPr>
        <w:tab/>
        <w:t>Si la Asamblea Legislativa no aprueba la propuesta de convocatoria a referéndum, se ordenará su archivo.</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SECCIÓN III</w:t>
      </w:r>
    </w:p>
    <w:p w:rsidR="00000000" w:rsidRDefault="005173F0">
      <w:pPr>
        <w:pStyle w:val="Textoindependiente"/>
        <w:widowControl/>
        <w:jc w:val="center"/>
        <w:rPr>
          <w:rFonts w:ascii="Arial" w:hAnsi="Arial"/>
          <w:sz w:val="24"/>
        </w:rPr>
      </w:pPr>
      <w:r>
        <w:rPr>
          <w:rFonts w:ascii="Arial" w:hAnsi="Arial"/>
          <w:sz w:val="24"/>
        </w:rPr>
        <w:t>REFERÉNDUM EN REFORMAS CONSTITUCIONALES</w:t>
      </w:r>
    </w:p>
    <w:p w:rsidR="00000000" w:rsidRDefault="005173F0">
      <w:pPr>
        <w:pStyle w:val="Ttulo5"/>
        <w:rPr>
          <w:lang w:val="es-MX"/>
        </w:rPr>
      </w:pPr>
    </w:p>
    <w:p w:rsidR="00000000" w:rsidRDefault="005173F0">
      <w:pPr>
        <w:rPr>
          <w:lang w:val="es-MX"/>
        </w:rPr>
      </w:pPr>
    </w:p>
    <w:p w:rsidR="00000000" w:rsidRDefault="005173F0">
      <w:pPr>
        <w:pStyle w:val="Ttulo5"/>
        <w:rPr>
          <w:u w:val="single"/>
        </w:rPr>
      </w:pPr>
      <w:r>
        <w:t>ARTÍCULO 14.-</w:t>
      </w:r>
      <w:r>
        <w:tab/>
        <w:t>Convocatoria del referéndum de reforma constitucional</w:t>
      </w:r>
    </w:p>
    <w:p w:rsidR="00000000" w:rsidRDefault="005173F0">
      <w:pPr>
        <w:jc w:val="both"/>
        <w:rPr>
          <w:rFonts w:ascii="Arial" w:hAnsi="Arial"/>
        </w:rPr>
      </w:pPr>
    </w:p>
    <w:p w:rsidR="00000000" w:rsidRDefault="005173F0">
      <w:pPr>
        <w:ind w:firstLine="708"/>
        <w:jc w:val="both"/>
        <w:rPr>
          <w:rFonts w:ascii="Arial" w:hAnsi="Arial"/>
        </w:rPr>
      </w:pPr>
      <w:r>
        <w:rPr>
          <w:rFonts w:ascii="Arial" w:hAnsi="Arial"/>
        </w:rPr>
        <w:t xml:space="preserve">Para reformar parcialmente la Constitución, el referéndum podrá ser convocado al menos por un cinco por ciento (5%) de los ciudadanos inscritos en el padrón electoral; por la Asamblea Legislativa, mediante la </w:t>
      </w:r>
      <w:r>
        <w:rPr>
          <w:rFonts w:ascii="Arial" w:hAnsi="Arial"/>
        </w:rPr>
        <w:t>aprobación de las dos terceras partes del total de sus miembros, o por el Poder Ejecutivo junto con la mayoría absoluta de la totalidad de los miembros de la Asamblea Legislativa.  El referéndum únicamente podrá realizarse después de que el proyecto de reforma haya sido aprobado en la primera legislatura y antes de la segunda, de conformidad con el inciso 8) del artículo 195 de la Constitución Política.</w:t>
      </w:r>
    </w:p>
    <w:p w:rsidR="00000000" w:rsidRDefault="005173F0">
      <w:pPr>
        <w:rPr>
          <w:rFonts w:ascii="Arial" w:hAnsi="Arial"/>
        </w:rPr>
      </w:pPr>
    </w:p>
    <w:p w:rsidR="00000000" w:rsidRDefault="005173F0">
      <w:pPr>
        <w:pStyle w:val="BodyText2"/>
      </w:pPr>
      <w:r>
        <w:t>ARTÍCULO 15.-</w:t>
      </w:r>
      <w:r>
        <w:tab/>
        <w:t>Tramitación de las reformas constitucionales aprobadas mediante referéndum</w:t>
      </w:r>
    </w:p>
    <w:p w:rsidR="00000000" w:rsidRDefault="005173F0">
      <w:pPr>
        <w:jc w:val="both"/>
        <w:rPr>
          <w:rFonts w:ascii="Arial" w:hAnsi="Arial"/>
        </w:rPr>
      </w:pPr>
    </w:p>
    <w:p w:rsidR="00000000" w:rsidRDefault="005173F0">
      <w:pPr>
        <w:ind w:firstLine="708"/>
        <w:jc w:val="both"/>
        <w:rPr>
          <w:rFonts w:ascii="Arial" w:hAnsi="Arial"/>
        </w:rPr>
      </w:pPr>
      <w:r>
        <w:rPr>
          <w:rFonts w:ascii="Arial" w:hAnsi="Arial"/>
        </w:rPr>
        <w:t>De aprobarse l</w:t>
      </w:r>
      <w:r>
        <w:rPr>
          <w:rFonts w:ascii="Arial" w:hAnsi="Arial"/>
        </w:rPr>
        <w:t>a convocatoria y alcanzarse el porcentaje establecido en el artículo 102 de la Constitución para las reformas constitucionales, el TSE, una vez finalizado el escrutinio, hará la declaratoria oficial de los resultados del referéndum, y lo notificará al Poder Legislativo, para la confección del correspondiente decreto legislativo.  La Asamblea Legislativa lo comunicará al Poder Ejecutivo para su publicación y observancia.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Si el referéndum obtiene un resultado negativo, el proyecto de reforma se archivará sin</w:t>
      </w:r>
      <w:r>
        <w:rPr>
          <w:rFonts w:ascii="Arial" w:hAnsi="Arial"/>
          <w:b w:val="0"/>
          <w:sz w:val="24"/>
        </w:rPr>
        <w:t xml:space="preserve"> más trámite.  De no alcanzarse el porcentaje de participación necesario, al no ser vinculante el referéndum, el TSE enviará el proyecto de reforma a la Asamblea Legislativa, a fin de que continúe con el trámite constitucional ordinario, establecido en el artículo 195 constitucional.</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CAPÍTULO III</w:t>
      </w:r>
    </w:p>
    <w:p w:rsidR="00000000" w:rsidRDefault="005173F0">
      <w:pPr>
        <w:pStyle w:val="Textoindependiente"/>
        <w:widowControl/>
        <w:jc w:val="center"/>
        <w:rPr>
          <w:rFonts w:ascii="Arial" w:hAnsi="Arial"/>
          <w:sz w:val="24"/>
        </w:rPr>
      </w:pPr>
      <w:r>
        <w:rPr>
          <w:rFonts w:ascii="Arial" w:hAnsi="Arial"/>
          <w:sz w:val="24"/>
        </w:rPr>
        <w:t>ACTOS PREPARATORIOS PARA REALIZAR EL REFERÉNDUM</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16.-</w:t>
      </w:r>
      <w:r>
        <w:rPr>
          <w:rFonts w:ascii="Arial" w:hAnsi="Arial"/>
          <w:sz w:val="24"/>
        </w:rPr>
        <w:tab/>
        <w:t>Trámite ante el TSE</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Corresponderá al TSE organizar, dirigir y fiscalizar los procesos de realización del referéndum, así como escrutar y declarar s</w:t>
      </w:r>
      <w:r>
        <w:rPr>
          <w:rFonts w:ascii="Arial" w:hAnsi="Arial"/>
          <w:b w:val="0"/>
          <w:sz w:val="24"/>
        </w:rPr>
        <w:t>us resultados.</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b w:val="0"/>
          <w:sz w:val="24"/>
        </w:rPr>
      </w:pPr>
      <w:r>
        <w:rPr>
          <w:rFonts w:ascii="Arial" w:hAnsi="Arial"/>
          <w:sz w:val="24"/>
        </w:rPr>
        <w:tab/>
      </w:r>
      <w:r>
        <w:rPr>
          <w:rFonts w:ascii="Arial" w:hAnsi="Arial"/>
          <w:b w:val="0"/>
          <w:sz w:val="24"/>
        </w:rPr>
        <w:t>La convocatoria a referéndum, acompañada del texto del proyecto, será presentada ante el TSE por quienes tienen legitimación para convocar, de conformidad con el artículo 105 de la Constitución Política.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17.-</w:t>
      </w:r>
      <w:r>
        <w:rPr>
          <w:rFonts w:ascii="Arial" w:hAnsi="Arial"/>
          <w:sz w:val="24"/>
        </w:rPr>
        <w:tab/>
        <w:t>Comunicación y publicación de la convocatoria y el proyecto</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TSE, en un acto formal, comunicará la convocatoria a referéndum y la publicará en La Gaceta, junto con el texto normativo que será sometido a la consulta popular y las preguntas que lo acompañen.</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 xml:space="preserve">La celebración </w:t>
      </w:r>
      <w:r>
        <w:rPr>
          <w:rFonts w:ascii="Arial" w:hAnsi="Arial"/>
          <w:b w:val="0"/>
          <w:sz w:val="24"/>
        </w:rPr>
        <w:t>del referéndum tendrá que efectuarse, a más tardar, dentro de los noventa días naturales posteriores a la comunicación de la convocatoria.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18.-</w:t>
      </w:r>
      <w:r>
        <w:rPr>
          <w:rFonts w:ascii="Arial" w:hAnsi="Arial"/>
          <w:sz w:val="24"/>
        </w:rPr>
        <w:tab/>
        <w:t>Formalidades de la comunicación de la convocatoria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comunicación del TSE deberá contener el proyecto o los proyectos sometidos a referéndum, la fecha y los lugares de votación, así como  las preguntas que se efectuarán.  El Tribunal ubicará los textos en lugares visibles, en las municipalidades y las instituciones públicas que considere oportuno y neces</w:t>
      </w:r>
      <w:r>
        <w:rPr>
          <w:rFonts w:ascii="Arial" w:hAnsi="Arial"/>
          <w:b w:val="0"/>
          <w:sz w:val="24"/>
        </w:rPr>
        <w:t>ario.</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19.-</w:t>
      </w:r>
      <w:r>
        <w:rPr>
          <w:rFonts w:ascii="Arial" w:hAnsi="Arial"/>
          <w:sz w:val="24"/>
        </w:rPr>
        <w:tab/>
        <w:t>Difusión del texto sometido a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aviso de convocatoria al referéndum y su texto serán publicados en La Gaceta por el TSE, que podrá difundir, además, en la medida de sus posibilidades, una síntesis del texto, por medio de las estaciones de televisión y radio nacionales y regionales y los periódicos de circulación nacional y regional.</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20.-</w:t>
      </w:r>
      <w:r>
        <w:rPr>
          <w:rFonts w:ascii="Arial" w:hAnsi="Arial"/>
          <w:sz w:val="24"/>
        </w:rPr>
        <w:tab/>
        <w:t>Prohibiciones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Establécense las siguientes prohibiciones:</w:t>
      </w:r>
    </w:p>
    <w:p w:rsidR="00000000" w:rsidRDefault="005173F0">
      <w:pPr>
        <w:pStyle w:val="Textoindependiente"/>
        <w:widowControl/>
        <w:ind w:left="1068" w:hanging="360"/>
        <w:jc w:val="both"/>
        <w:rPr>
          <w:rFonts w:ascii="Arial" w:hAnsi="Arial"/>
          <w:sz w:val="24"/>
        </w:rPr>
      </w:pPr>
    </w:p>
    <w:p w:rsidR="00000000" w:rsidRDefault="005173F0">
      <w:pPr>
        <w:pStyle w:val="Textoindependiente"/>
        <w:widowControl/>
        <w:ind w:left="850"/>
        <w:jc w:val="both"/>
        <w:rPr>
          <w:rFonts w:ascii="Arial" w:hAnsi="Arial"/>
          <w:b w:val="0"/>
          <w:sz w:val="24"/>
        </w:rPr>
      </w:pPr>
      <w:r>
        <w:rPr>
          <w:rFonts w:ascii="Arial" w:hAnsi="Arial"/>
          <w:sz w:val="24"/>
        </w:rPr>
        <w:t>a)</w:t>
      </w:r>
      <w:r>
        <w:rPr>
          <w:rFonts w:ascii="Arial" w:hAnsi="Arial"/>
          <w:b w:val="0"/>
          <w:sz w:val="24"/>
        </w:rPr>
        <w:tab/>
        <w:t>Prohíbese al Poder Ejecutivo, las entidades autónomas, las semiaut</w:t>
      </w:r>
      <w:r>
        <w:rPr>
          <w:rFonts w:ascii="Arial" w:hAnsi="Arial"/>
          <w:b w:val="0"/>
          <w:sz w:val="24"/>
        </w:rPr>
        <w:t>ónomas, las empresas del Estado y los demás órganos públicos, utilizar dineros de sus presupuestos para efectuar campañas a favor o en contra de los textos o proyectos sometidos a la consulta del referéndum; asimismo, queda prohibido usar, para tal fin, dinero procedente del exterior donado por entidades privadas o públicas.</w:t>
      </w:r>
    </w:p>
    <w:p w:rsidR="00000000" w:rsidRDefault="005173F0">
      <w:pPr>
        <w:pStyle w:val="Textoindependiente"/>
        <w:widowControl/>
        <w:ind w:left="850"/>
        <w:jc w:val="both"/>
        <w:rPr>
          <w:rFonts w:ascii="Arial" w:hAnsi="Arial"/>
          <w:b w:val="0"/>
          <w:sz w:val="24"/>
        </w:rPr>
      </w:pPr>
      <w:r>
        <w:rPr>
          <w:rFonts w:ascii="Arial" w:hAnsi="Arial"/>
          <w:sz w:val="24"/>
        </w:rPr>
        <w:t>b)</w:t>
      </w:r>
      <w:r>
        <w:rPr>
          <w:rFonts w:ascii="Arial" w:hAnsi="Arial"/>
          <w:b w:val="0"/>
          <w:sz w:val="24"/>
        </w:rPr>
        <w:tab/>
        <w:t xml:space="preserve">Prohíbese a toda persona física o jurídica extranjera, participar en la recolección de firmas, en la solicitud de celebración de referéndum, o en campañas de publicidad o propaganda </w:t>
      </w:r>
      <w:r>
        <w:rPr>
          <w:rFonts w:ascii="Arial" w:hAnsi="Arial"/>
          <w:b w:val="0"/>
          <w:sz w:val="24"/>
        </w:rPr>
        <w:t>a favor o en contra del proyecto sometido a referéndum.</w:t>
      </w:r>
    </w:p>
    <w:p w:rsidR="00000000" w:rsidRDefault="005173F0">
      <w:pPr>
        <w:pStyle w:val="Textoindependiente"/>
        <w:widowControl/>
        <w:ind w:left="850"/>
        <w:jc w:val="both"/>
        <w:rPr>
          <w:rFonts w:ascii="Arial" w:hAnsi="Arial"/>
          <w:b w:val="0"/>
          <w:sz w:val="24"/>
        </w:rPr>
      </w:pPr>
      <w:r>
        <w:rPr>
          <w:rFonts w:ascii="Arial" w:hAnsi="Arial"/>
          <w:sz w:val="24"/>
        </w:rPr>
        <w:t>c)</w:t>
      </w:r>
      <w:r>
        <w:rPr>
          <w:rFonts w:ascii="Arial" w:hAnsi="Arial"/>
          <w:b w:val="0"/>
          <w:sz w:val="24"/>
        </w:rPr>
        <w:tab/>
        <w:t>Los particulares costarricenses, sean personas jurídicas o físicas, podrán contribuir, para campañas a favor o en contra del proyecto sometido a referéndum, con sumas que no excedan de veinte salarios base, conforme se define en la Ley N.º 7337, de 5 de mayo de 1993.  Se entenderá que la persona responsable de la publicación es también quien sufraga su costo, a menos que se compruebe lo contrario.</w:t>
      </w:r>
    </w:p>
    <w:p w:rsidR="00000000" w:rsidRDefault="005173F0">
      <w:pPr>
        <w:pStyle w:val="Textoindependiente"/>
        <w:widowControl/>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Para los efectos del inciso c), los medios de comun</w:t>
      </w:r>
      <w:r>
        <w:rPr>
          <w:rFonts w:ascii="Arial" w:hAnsi="Arial"/>
          <w:b w:val="0"/>
          <w:sz w:val="24"/>
        </w:rPr>
        <w:t>icación informarán al TSE quien ha contratado la publicación de campos pagados a favor o en contra del proyecto sometido a referéndum, y el costo de la publicación.  El Tribunal llevará un registro de las publicaciones, en el que indicará el costo de estas a fin de corroborar el gasto incurrido por cada persona.</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21.-</w:t>
      </w:r>
      <w:r>
        <w:rPr>
          <w:rFonts w:ascii="Arial" w:hAnsi="Arial"/>
          <w:sz w:val="24"/>
        </w:rPr>
        <w:tab/>
        <w:t>Regulación de la publicación de encuestas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Prohíbense la publicación, la difusión total o parcial o el comentario de los resultados de cualquier encuesta o sondeo de opinión, dos días</w:t>
      </w:r>
      <w:r>
        <w:rPr>
          <w:rFonts w:ascii="Arial" w:hAnsi="Arial"/>
          <w:b w:val="0"/>
          <w:sz w:val="24"/>
        </w:rPr>
        <w:t xml:space="preserve"> antes de la votación y el día de la celebración del referéndum, así como las operaciones de simulación de voto realizadas a partir de sondeos de opinión, directa o indirectamente relacionados con la consulta sometida a referéndum.</w:t>
      </w: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p>
    <w:p w:rsidR="00000000" w:rsidRDefault="005173F0">
      <w:pPr>
        <w:pStyle w:val="Textoindependiente"/>
        <w:widowControl/>
        <w:jc w:val="center"/>
        <w:rPr>
          <w:rFonts w:ascii="Arial" w:hAnsi="Arial"/>
          <w:sz w:val="24"/>
        </w:rPr>
      </w:pPr>
      <w:r>
        <w:rPr>
          <w:rFonts w:ascii="Arial" w:hAnsi="Arial"/>
          <w:sz w:val="24"/>
        </w:rPr>
        <w:t>CAPÍTULO IV</w:t>
      </w:r>
    </w:p>
    <w:p w:rsidR="00000000" w:rsidRDefault="005173F0">
      <w:pPr>
        <w:pStyle w:val="Textoindependiente"/>
        <w:widowControl/>
        <w:jc w:val="center"/>
        <w:rPr>
          <w:rFonts w:ascii="Arial" w:hAnsi="Arial"/>
          <w:sz w:val="24"/>
        </w:rPr>
      </w:pPr>
      <w:r>
        <w:rPr>
          <w:rFonts w:ascii="Arial" w:hAnsi="Arial"/>
          <w:sz w:val="24"/>
        </w:rPr>
        <w:t>REALIZACIÓN DEL REFERÉNDUM</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22.-</w:t>
      </w:r>
      <w:r>
        <w:rPr>
          <w:rFonts w:ascii="Arial" w:hAnsi="Arial"/>
          <w:sz w:val="24"/>
        </w:rPr>
        <w:tab/>
        <w:t>Celebración del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referéndum se efectuará un domingo y la votación se realizará entre las seis y las dieciocho horas.</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23.-</w:t>
      </w:r>
      <w:r>
        <w:rPr>
          <w:rFonts w:ascii="Arial" w:hAnsi="Arial"/>
          <w:sz w:val="24"/>
        </w:rPr>
        <w:tab/>
        <w:t>Juntas receptoras de votos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Las juntas receptoras de votos se constituirán, p</w:t>
      </w:r>
      <w:r>
        <w:rPr>
          <w:rFonts w:ascii="Arial" w:hAnsi="Arial"/>
          <w:b w:val="0"/>
          <w:sz w:val="24"/>
        </w:rPr>
        <w:t>ara el desempeño de sus funciones, dentro de los treinta días naturales siguientes a la publicación de la convocatoria a referéndum realizada por el TSE.  El número de juntas en cada cantón y distrito, así como el lugar de su asiento, serán establecidos por el Tribunal, el cual también designará a un delegado suyo, que estará a cargo de la junta receptora de votos correspondiente.</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En todo lo que sea compatible, se aplicarán las disposiciones que contiene, al efecto, el Código Electoral.</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24.-</w:t>
      </w:r>
      <w:r>
        <w:rPr>
          <w:rFonts w:ascii="Arial" w:hAnsi="Arial"/>
          <w:sz w:val="24"/>
        </w:rPr>
        <w:tab/>
        <w:t>Form</w:t>
      </w:r>
      <w:r>
        <w:rPr>
          <w:rFonts w:ascii="Arial" w:hAnsi="Arial"/>
          <w:sz w:val="24"/>
        </w:rPr>
        <w:t>a de expresar el voto</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 xml:space="preserve">La decisión del votante solamente podrá ser “sí” o “no“, o quedar en blanco. Se tendrán por nulas las papeletas que no se ajusten al modelo oficial, las que ofrezcan dudas sobre la decisión del votante y las que contengan tachaduras, raspaduras, enmiendas, interlineados, signos o palabras ajenas a la consulta. </w:t>
      </w:r>
    </w:p>
    <w:p w:rsidR="00000000" w:rsidRDefault="005173F0">
      <w:pPr>
        <w:pStyle w:val="Textoindependiente"/>
        <w:widowControl/>
        <w:ind w:firstLine="708"/>
        <w:jc w:val="both"/>
        <w:rPr>
          <w:rFonts w:ascii="Arial" w:hAnsi="Arial"/>
          <w:b w:val="0"/>
          <w:sz w:val="24"/>
        </w:rPr>
      </w:pPr>
      <w:r>
        <w:rPr>
          <w:rFonts w:ascii="Arial" w:hAnsi="Arial"/>
          <w:b w:val="0"/>
          <w:sz w:val="24"/>
        </w:rPr>
        <w:t>Tanto los votos en blanco como los nulos serán computados por el Tribunal como ciudadanos que han participado en el referéndum, para formar parte de los porcentajes de ley.</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Lo</w:t>
      </w:r>
      <w:r>
        <w:rPr>
          <w:rFonts w:ascii="Arial" w:hAnsi="Arial"/>
          <w:b w:val="0"/>
          <w:sz w:val="24"/>
        </w:rPr>
        <w:t>s ciudadanos inscritos en el padrón electoral podrán ejercer su derecho al voto solo ante la junta receptora que designe el TSE, mediante la presentación de la cédula de identidad y de acuerdo con las demás disposiciones que dicte el Tribunal.</w:t>
      </w:r>
    </w:p>
    <w:p w:rsidR="00000000" w:rsidRDefault="005173F0">
      <w:pPr>
        <w:ind w:right="851" w:firstLine="709"/>
        <w:rPr>
          <w:rFonts w:ascii="Arial" w:hAnsi="Arial"/>
          <w:lang w:val="es-MX"/>
        </w:rPr>
      </w:pPr>
    </w:p>
    <w:p w:rsidR="00000000" w:rsidRDefault="005173F0">
      <w:pPr>
        <w:ind w:right="49" w:firstLine="709"/>
        <w:jc w:val="both"/>
        <w:rPr>
          <w:rFonts w:ascii="Arial" w:hAnsi="Arial"/>
          <w:b/>
          <w:i/>
        </w:rPr>
      </w:pPr>
      <w:r>
        <w:rPr>
          <w:rFonts w:ascii="Arial" w:hAnsi="Arial"/>
        </w:rPr>
        <w:t>A fin de emitir el voto, todos los trabajadores tendrán derecho de ausentarse de su centro de trabajo el día en que se realice el referéndum, durante una hora, la cual será definida por el patrono o superior.  Los trabajadores no quedarán sujetos a reducción del sala</w:t>
      </w:r>
      <w:r>
        <w:rPr>
          <w:rFonts w:ascii="Arial" w:hAnsi="Arial"/>
        </w:rPr>
        <w:t>rio ni a cualquier otra sanción.</w:t>
      </w:r>
    </w:p>
    <w:p w:rsidR="00000000" w:rsidRDefault="005173F0">
      <w:pPr>
        <w:ind w:right="851"/>
        <w:rPr>
          <w:rFonts w:ascii="Arial" w:hAnsi="Arial"/>
        </w:rPr>
      </w:pPr>
    </w:p>
    <w:p w:rsidR="00000000" w:rsidRDefault="005173F0">
      <w:pPr>
        <w:pStyle w:val="Textoindependiente"/>
        <w:widowControl/>
        <w:jc w:val="both"/>
        <w:rPr>
          <w:rFonts w:ascii="Arial" w:hAnsi="Arial"/>
          <w:sz w:val="24"/>
        </w:rPr>
      </w:pPr>
      <w:r>
        <w:rPr>
          <w:rFonts w:ascii="Arial" w:hAnsi="Arial"/>
          <w:sz w:val="24"/>
        </w:rPr>
        <w:t>ARTÍCULO 25.-</w:t>
      </w:r>
      <w:r>
        <w:rPr>
          <w:rFonts w:ascii="Arial" w:hAnsi="Arial"/>
          <w:sz w:val="24"/>
        </w:rPr>
        <w:tab/>
        <w:t>Escrutinio de la votación</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En el escrutinio del referéndum deberán establecerse el número de votantes, los votos a favor y en contra del texto sometido a consulta, el número de votos en blanco y el de votos nulos.</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TSE contará con quince días naturales para realizar dicho escrutinio.</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26.-</w:t>
      </w:r>
      <w:r>
        <w:rPr>
          <w:rFonts w:ascii="Arial" w:hAnsi="Arial"/>
          <w:sz w:val="24"/>
        </w:rPr>
        <w:tab/>
        <w:t>Declaratoria oficial y tramitación posterior del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TSE una vez finalizado el escrutinio, hará la  declaratoria oficial de  los resultados de este, y</w:t>
      </w:r>
      <w:r>
        <w:rPr>
          <w:rFonts w:ascii="Arial" w:hAnsi="Arial"/>
          <w:b w:val="0"/>
          <w:sz w:val="24"/>
        </w:rPr>
        <w:t xml:space="preserve"> los notificará, al siguiente día, al Poder Legislativo.</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En caso de ser positivo el resultado del referéndum y habiendo cumplido los porcentajes requeridos para convertirse en ley de la República, el Poder Legislativo, sin más trámite, le comunicará al Poder Ejecutivo el decreto legislativo, con la razón de que fue aprobado en referéndum, para su inmediata publicación y observancia.</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Si el resultado del referéndum es negativo, el proyecto se archivará sin más trámite.  De no alcanzarse el porcentaje de par</w:t>
      </w:r>
      <w:r>
        <w:rPr>
          <w:rFonts w:ascii="Arial" w:hAnsi="Arial"/>
          <w:b w:val="0"/>
          <w:sz w:val="24"/>
        </w:rPr>
        <w:t>ticipación necesario, si el referéndum no es vinculante, el TSE enviará el proyecto de reforma a la Asamblea Legislativa, para que continúe el trámite ordinario.</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27.-</w:t>
      </w:r>
      <w:r>
        <w:rPr>
          <w:rFonts w:ascii="Arial" w:hAnsi="Arial"/>
          <w:sz w:val="24"/>
        </w:rPr>
        <w:tab/>
        <w:t>Vigencia y publicación del texto aprobado mediante referéndum</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ley o reforma constitucional promulgada mediante referéndum será obligatoria y surtirá efectos desde el día en que ella lo designe o, en su defecto, diez días después de su publicación en La Gaceta.</w:t>
      </w:r>
    </w:p>
    <w:p w:rsidR="00000000" w:rsidRDefault="005173F0">
      <w:pPr>
        <w:pStyle w:val="Textoindependiente"/>
        <w:widowControl/>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La Imprenta Nacional contará con un plazo hasta de cinco días hábiles</w:t>
      </w:r>
      <w:r>
        <w:rPr>
          <w:rFonts w:ascii="Arial" w:hAnsi="Arial"/>
          <w:b w:val="0"/>
          <w:sz w:val="24"/>
        </w:rPr>
        <w:t xml:space="preserve"> para realizar la publicación respectiva, a partir de la comunicación correspondiente del Poder Ejecutivo.</w:t>
      </w:r>
    </w:p>
    <w:p w:rsidR="00000000" w:rsidRDefault="005173F0">
      <w:pPr>
        <w:pStyle w:val="Textoindependiente"/>
        <w:widowControl/>
        <w:jc w:val="both"/>
        <w:rPr>
          <w:rFonts w:ascii="Arial" w:hAnsi="Arial"/>
          <w:b w:val="0"/>
          <w:sz w:val="24"/>
        </w:rPr>
      </w:pPr>
    </w:p>
    <w:p w:rsidR="00000000" w:rsidRDefault="005173F0">
      <w:pPr>
        <w:pStyle w:val="Textoindependiente"/>
        <w:widowControl/>
        <w:jc w:val="both"/>
        <w:rPr>
          <w:rFonts w:ascii="Arial" w:hAnsi="Arial"/>
          <w:b w:val="0"/>
          <w:sz w:val="24"/>
        </w:rPr>
      </w:pPr>
    </w:p>
    <w:p w:rsidR="00000000" w:rsidRDefault="005173F0">
      <w:pPr>
        <w:ind w:right="851"/>
        <w:jc w:val="center"/>
        <w:rPr>
          <w:rFonts w:ascii="Arial" w:hAnsi="Arial"/>
          <w:b/>
        </w:rPr>
      </w:pPr>
      <w:r>
        <w:rPr>
          <w:rFonts w:ascii="Arial" w:hAnsi="Arial"/>
          <w:b/>
        </w:rPr>
        <w:t>CAPÍTULO V</w:t>
      </w:r>
    </w:p>
    <w:p w:rsidR="00000000" w:rsidRDefault="005173F0">
      <w:pPr>
        <w:ind w:right="851"/>
        <w:jc w:val="center"/>
        <w:rPr>
          <w:rFonts w:ascii="Arial" w:hAnsi="Arial"/>
          <w:b/>
        </w:rPr>
      </w:pPr>
      <w:r>
        <w:rPr>
          <w:rFonts w:ascii="Arial" w:hAnsi="Arial"/>
          <w:b/>
        </w:rPr>
        <w:t>FINANCIAMIENTO PRIVADO DE LAS CAMPAÑAS</w:t>
      </w:r>
    </w:p>
    <w:p w:rsidR="00000000" w:rsidRDefault="005173F0">
      <w:pPr>
        <w:ind w:right="851"/>
        <w:jc w:val="center"/>
        <w:rPr>
          <w:rFonts w:ascii="Arial" w:hAnsi="Arial"/>
          <w:b/>
          <w:i/>
        </w:rPr>
      </w:pPr>
      <w:r>
        <w:rPr>
          <w:rFonts w:ascii="Arial" w:hAnsi="Arial"/>
          <w:b/>
        </w:rPr>
        <w:t>PREVIAS AL REFERÉNDUM</w:t>
      </w:r>
    </w:p>
    <w:p w:rsidR="00000000" w:rsidRDefault="005173F0">
      <w:pPr>
        <w:pStyle w:val="Ttulo8"/>
        <w:tabs>
          <w:tab w:val="clear" w:pos="9923"/>
        </w:tabs>
        <w:spacing w:line="240" w:lineRule="auto"/>
      </w:pPr>
    </w:p>
    <w:p w:rsidR="00000000" w:rsidRDefault="005173F0"/>
    <w:p w:rsidR="00000000" w:rsidRDefault="005173F0">
      <w:pPr>
        <w:pStyle w:val="Ttulo8"/>
        <w:tabs>
          <w:tab w:val="clear" w:pos="9923"/>
        </w:tabs>
        <w:spacing w:line="240" w:lineRule="auto"/>
      </w:pPr>
      <w:r>
        <w:t>ARTÍCULO 28.-</w:t>
      </w:r>
      <w:r>
        <w:tab/>
        <w:t>Responsable de las publicaciones</w:t>
      </w:r>
    </w:p>
    <w:p w:rsidR="00000000" w:rsidRDefault="005173F0">
      <w:pPr>
        <w:rPr>
          <w:rFonts w:ascii="Arial" w:hAnsi="Arial"/>
        </w:rPr>
      </w:pPr>
    </w:p>
    <w:p w:rsidR="00000000" w:rsidRDefault="005173F0">
      <w:pPr>
        <w:pStyle w:val="Ttulo8"/>
        <w:tabs>
          <w:tab w:val="clear" w:pos="9923"/>
        </w:tabs>
        <w:spacing w:line="240" w:lineRule="auto"/>
        <w:ind w:firstLine="709"/>
        <w:rPr>
          <w:b w:val="0"/>
        </w:rPr>
      </w:pPr>
      <w:r>
        <w:rPr>
          <w:b w:val="0"/>
        </w:rPr>
        <w:t>Se entenderá que la persona responsable de la publicación en campañas a favor o en contra del proyecto sometido a referéndum, es también quien sufraga su costo, a menos que se compruebe lo contrario.</w:t>
      </w:r>
    </w:p>
    <w:p w:rsidR="00000000" w:rsidRDefault="005173F0">
      <w:pPr>
        <w:pStyle w:val="Ttulo8"/>
        <w:tabs>
          <w:tab w:val="clear" w:pos="9923"/>
        </w:tabs>
        <w:spacing w:line="240" w:lineRule="auto"/>
      </w:pPr>
    </w:p>
    <w:p w:rsidR="00000000" w:rsidRDefault="005173F0">
      <w:pPr>
        <w:pStyle w:val="Ttulo8"/>
        <w:tabs>
          <w:tab w:val="clear" w:pos="9923"/>
        </w:tabs>
        <w:spacing w:line="240" w:lineRule="auto"/>
      </w:pPr>
      <w:r>
        <w:t>ARTÍCULO 29.-</w:t>
      </w:r>
      <w:r>
        <w:tab/>
        <w:t>Registro de las erogaciones</w:t>
      </w:r>
    </w:p>
    <w:p w:rsidR="00000000" w:rsidRDefault="005173F0">
      <w:pPr>
        <w:ind w:right="51"/>
        <w:jc w:val="both"/>
        <w:rPr>
          <w:rFonts w:ascii="Arial" w:hAnsi="Arial"/>
        </w:rPr>
      </w:pPr>
    </w:p>
    <w:p w:rsidR="00000000" w:rsidRDefault="005173F0">
      <w:pPr>
        <w:ind w:right="51" w:firstLine="709"/>
        <w:jc w:val="both"/>
        <w:rPr>
          <w:rFonts w:ascii="Arial" w:hAnsi="Arial"/>
        </w:rPr>
      </w:pPr>
      <w:r>
        <w:rPr>
          <w:rFonts w:ascii="Arial" w:hAnsi="Arial"/>
        </w:rPr>
        <w:t xml:space="preserve">Los medios de comunicación colectiva </w:t>
      </w:r>
      <w:r>
        <w:rPr>
          <w:rFonts w:ascii="Arial" w:hAnsi="Arial"/>
        </w:rPr>
        <w:t>informarán al TSE quien ha contratado la publicación de campos pagados a favor o en contra del proyecto sometido a referéndum, así como el costo de la publicación.  El Tribunal llevará un registro de las publicaciones, con indicación de su costo, a fin de corroborar el gasto incurrido por cada persona.</w:t>
      </w:r>
    </w:p>
    <w:p w:rsidR="00000000" w:rsidRDefault="005173F0">
      <w:pPr>
        <w:ind w:right="51"/>
        <w:jc w:val="both"/>
        <w:rPr>
          <w:rFonts w:ascii="Arial" w:hAnsi="Arial"/>
        </w:rPr>
      </w:pPr>
    </w:p>
    <w:p w:rsidR="00000000" w:rsidRDefault="005173F0">
      <w:pPr>
        <w:pStyle w:val="Ttulo8"/>
        <w:tabs>
          <w:tab w:val="clear" w:pos="9923"/>
        </w:tabs>
        <w:spacing w:line="240" w:lineRule="auto"/>
      </w:pPr>
      <w:r>
        <w:t>ARTÍCULO 30.-</w:t>
      </w:r>
      <w:r>
        <w:tab/>
        <w:t>Infracción a límite del gasto</w:t>
      </w:r>
    </w:p>
    <w:p w:rsidR="00000000" w:rsidRDefault="005173F0">
      <w:pPr>
        <w:ind w:right="51"/>
        <w:jc w:val="both"/>
        <w:rPr>
          <w:rFonts w:ascii="Arial" w:hAnsi="Arial"/>
        </w:rPr>
      </w:pPr>
    </w:p>
    <w:p w:rsidR="00000000" w:rsidRDefault="005173F0">
      <w:pPr>
        <w:ind w:right="51" w:firstLine="709"/>
        <w:jc w:val="both"/>
        <w:rPr>
          <w:rFonts w:ascii="Arial" w:hAnsi="Arial"/>
          <w:b/>
          <w:i/>
        </w:rPr>
      </w:pPr>
      <w:r>
        <w:rPr>
          <w:rFonts w:ascii="Arial" w:hAnsi="Arial"/>
        </w:rPr>
        <w:t>Será sancionado con multa hasta de tres veces el monto infringido, sin perjuicio de las sanciones penales que determine la ley, quien sobrepase el límite máximo e</w:t>
      </w:r>
      <w:r>
        <w:rPr>
          <w:rFonts w:ascii="Arial" w:hAnsi="Arial"/>
        </w:rPr>
        <w:t xml:space="preserve">stablecido en el artículo 20 de esta Ley. </w:t>
      </w:r>
    </w:p>
    <w:p w:rsidR="00000000" w:rsidRDefault="005173F0">
      <w:pPr>
        <w:pStyle w:val="BlockText0"/>
        <w:spacing w:line="240" w:lineRule="auto"/>
      </w:pPr>
    </w:p>
    <w:p w:rsidR="00000000" w:rsidRDefault="005173F0">
      <w:pPr>
        <w:pStyle w:val="BlockText0"/>
        <w:spacing w:line="240" w:lineRule="auto"/>
      </w:pPr>
    </w:p>
    <w:p w:rsidR="00000000" w:rsidRDefault="005173F0">
      <w:pPr>
        <w:pStyle w:val="Textoindependiente"/>
        <w:widowControl/>
        <w:jc w:val="center"/>
        <w:rPr>
          <w:rFonts w:ascii="Arial" w:hAnsi="Arial"/>
          <w:sz w:val="24"/>
        </w:rPr>
      </w:pPr>
      <w:r>
        <w:rPr>
          <w:rFonts w:ascii="Arial" w:hAnsi="Arial"/>
          <w:sz w:val="24"/>
        </w:rPr>
        <w:t>CAPÍTULO VI</w:t>
      </w:r>
    </w:p>
    <w:p w:rsidR="00000000" w:rsidRDefault="005173F0">
      <w:pPr>
        <w:pStyle w:val="Textoindependiente"/>
        <w:widowControl/>
        <w:jc w:val="center"/>
        <w:rPr>
          <w:rFonts w:ascii="Arial" w:hAnsi="Arial"/>
          <w:sz w:val="24"/>
        </w:rPr>
      </w:pPr>
      <w:r>
        <w:rPr>
          <w:rFonts w:ascii="Arial" w:hAnsi="Arial"/>
          <w:sz w:val="24"/>
        </w:rPr>
        <w:t>DISPOSICIONES ADICIONALES</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lang w:val="es-ES"/>
        </w:rPr>
      </w:pPr>
      <w:r>
        <w:rPr>
          <w:rFonts w:ascii="Arial" w:hAnsi="Arial"/>
          <w:sz w:val="24"/>
        </w:rPr>
        <w:t>ARTÍCULO 31.-</w:t>
      </w:r>
      <w:r>
        <w:rPr>
          <w:rFonts w:ascii="Arial" w:hAnsi="Arial"/>
          <w:sz w:val="24"/>
        </w:rPr>
        <w:tab/>
        <w:t>Gastos del referéndum</w:t>
      </w:r>
    </w:p>
    <w:p w:rsidR="00000000" w:rsidRDefault="005173F0">
      <w:pPr>
        <w:ind w:right="851"/>
        <w:rPr>
          <w:rFonts w:ascii="Arial" w:hAnsi="Arial"/>
        </w:rPr>
      </w:pPr>
    </w:p>
    <w:p w:rsidR="00000000" w:rsidRDefault="005173F0">
      <w:pPr>
        <w:pStyle w:val="Textoindependiente"/>
        <w:widowControl/>
        <w:ind w:firstLine="708"/>
        <w:jc w:val="both"/>
        <w:rPr>
          <w:rFonts w:ascii="Arial" w:hAnsi="Arial"/>
          <w:b w:val="0"/>
          <w:sz w:val="24"/>
        </w:rPr>
      </w:pPr>
      <w:r>
        <w:rPr>
          <w:rFonts w:ascii="Arial" w:hAnsi="Arial"/>
          <w:b w:val="0"/>
          <w:sz w:val="24"/>
        </w:rPr>
        <w:t>El TSE incluirá anualmente en su presupuesto una partida que permita sufragar los gastos que ocasione la organización y adecuada difusión del referéndum.</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32.-</w:t>
      </w:r>
      <w:r>
        <w:rPr>
          <w:rFonts w:ascii="Arial" w:hAnsi="Arial"/>
          <w:sz w:val="24"/>
        </w:rPr>
        <w:tab/>
        <w:t>Delitos y contravenciones en el ámbito del referéndum</w:t>
      </w:r>
    </w:p>
    <w:p w:rsidR="00000000" w:rsidRDefault="005173F0">
      <w:pPr>
        <w:pStyle w:val="Textoindependiente"/>
        <w:jc w:val="both"/>
        <w:rPr>
          <w:rFonts w:ascii="Arial" w:hAnsi="Arial"/>
          <w:sz w:val="24"/>
        </w:rPr>
      </w:pPr>
    </w:p>
    <w:p w:rsidR="00000000" w:rsidRDefault="005173F0">
      <w:pPr>
        <w:pStyle w:val="Textoindependiente"/>
        <w:jc w:val="both"/>
        <w:rPr>
          <w:rFonts w:ascii="Arial" w:hAnsi="Arial"/>
          <w:b w:val="0"/>
          <w:sz w:val="24"/>
        </w:rPr>
      </w:pPr>
      <w:r>
        <w:rPr>
          <w:rFonts w:ascii="Arial" w:hAnsi="Arial"/>
          <w:b w:val="0"/>
          <w:sz w:val="24"/>
        </w:rPr>
        <w:tab/>
        <w:t xml:space="preserve">A quien cometa las conductas tipificadas en los numerales 149, 150, 151, 152 y 153 del Código Electoral,  durante la realización de consultas populares bajo </w:t>
      </w:r>
    </w:p>
    <w:p w:rsidR="00000000" w:rsidRDefault="005173F0">
      <w:pPr>
        <w:pStyle w:val="Textoindependiente"/>
        <w:jc w:val="both"/>
        <w:rPr>
          <w:rFonts w:ascii="Arial" w:hAnsi="Arial"/>
          <w:i/>
          <w:sz w:val="24"/>
        </w:rPr>
      </w:pPr>
      <w:r>
        <w:rPr>
          <w:rFonts w:ascii="Arial" w:hAnsi="Arial"/>
          <w:b w:val="0"/>
          <w:sz w:val="24"/>
        </w:rPr>
        <w:br w:type="page"/>
        <w:t>la mod</w:t>
      </w:r>
      <w:r>
        <w:rPr>
          <w:rFonts w:ascii="Arial" w:hAnsi="Arial"/>
          <w:b w:val="0"/>
          <w:sz w:val="24"/>
        </w:rPr>
        <w:t>alidad de referéndum o con ocasión de estas, se le impondrán las penas establecidas en estos artículos para dichas infracciones.</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i/>
          <w:sz w:val="24"/>
        </w:rPr>
      </w:pPr>
      <w:r>
        <w:rPr>
          <w:rFonts w:ascii="Arial" w:hAnsi="Arial"/>
          <w:sz w:val="24"/>
        </w:rPr>
        <w:t>ARTÍCULO 33.-</w:t>
      </w:r>
      <w:r>
        <w:rPr>
          <w:rFonts w:ascii="Arial" w:hAnsi="Arial"/>
          <w:sz w:val="24"/>
        </w:rPr>
        <w:tab/>
        <w:t>Gastos de transporte</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día en que se celebre el referéndum, el transporte publico será gratuito para todos los ciudadanos en todas las líneas y rutas nacionales, las cuales no podrán ser modificadas ese día.  Estos gastos correrán por cuenta del Tribunal.</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34.-</w:t>
      </w:r>
      <w:r>
        <w:rPr>
          <w:rFonts w:ascii="Arial" w:hAnsi="Arial"/>
          <w:sz w:val="24"/>
        </w:rPr>
        <w:tab/>
        <w:t>Gastos de publicidad</w:t>
      </w:r>
    </w:p>
    <w:p w:rsidR="00000000" w:rsidRDefault="005173F0">
      <w:pPr>
        <w:pStyle w:val="Textoindependiente"/>
        <w:widowControl/>
        <w:ind w:firstLine="708"/>
        <w:jc w:val="both"/>
        <w:rPr>
          <w:rFonts w:ascii="Arial" w:hAnsi="Arial"/>
          <w:b w:val="0"/>
          <w:sz w:val="24"/>
        </w:rPr>
      </w:pPr>
    </w:p>
    <w:p w:rsidR="00000000" w:rsidRDefault="005173F0">
      <w:pPr>
        <w:pStyle w:val="Textoindependiente"/>
        <w:widowControl/>
        <w:ind w:firstLine="708"/>
        <w:jc w:val="both"/>
        <w:rPr>
          <w:rFonts w:ascii="Arial" w:hAnsi="Arial"/>
          <w:b w:val="0"/>
          <w:sz w:val="24"/>
        </w:rPr>
      </w:pPr>
      <w:r>
        <w:rPr>
          <w:rFonts w:ascii="Arial" w:hAnsi="Arial"/>
          <w:b w:val="0"/>
          <w:sz w:val="24"/>
        </w:rPr>
        <w:t>El TSE destinará una partida presupuestaria adecuada para hacerles public</w:t>
      </w:r>
      <w:r>
        <w:rPr>
          <w:rFonts w:ascii="Arial" w:hAnsi="Arial"/>
          <w:b w:val="0"/>
          <w:sz w:val="24"/>
        </w:rPr>
        <w:t>idad a la convocatoria a referéndum y al texto propuesto, en los diferentes medios de comunicación del país; dicha partida no podrá exceder de un cinco por ciento (5%) del costo total de la suma gastada con dinero del presupuesto nacional en la anterior elección presidencial.</w:t>
      </w:r>
    </w:p>
    <w:p w:rsidR="00000000" w:rsidRDefault="005173F0">
      <w:pPr>
        <w:pStyle w:val="Textoindependiente"/>
        <w:widowControl/>
        <w:jc w:val="both"/>
        <w:rPr>
          <w:rFonts w:ascii="Arial" w:hAnsi="Arial"/>
          <w:sz w:val="24"/>
        </w:rPr>
      </w:pPr>
    </w:p>
    <w:p w:rsidR="00000000" w:rsidRDefault="005173F0">
      <w:pPr>
        <w:pStyle w:val="Textoindependiente"/>
        <w:widowControl/>
        <w:jc w:val="both"/>
        <w:rPr>
          <w:rFonts w:ascii="Arial" w:hAnsi="Arial"/>
          <w:sz w:val="24"/>
        </w:rPr>
      </w:pPr>
      <w:r>
        <w:rPr>
          <w:rFonts w:ascii="Arial" w:hAnsi="Arial"/>
          <w:sz w:val="24"/>
        </w:rPr>
        <w:t>ARTÍCULO 35.-</w:t>
      </w:r>
      <w:r>
        <w:rPr>
          <w:rFonts w:ascii="Arial" w:hAnsi="Arial"/>
          <w:sz w:val="24"/>
        </w:rPr>
        <w:tab/>
        <w:t>Reforma del Código de Trabajo</w:t>
      </w:r>
    </w:p>
    <w:p w:rsidR="00000000" w:rsidRDefault="005173F0">
      <w:pPr>
        <w:pStyle w:val="BodyText3"/>
        <w:spacing w:before="0"/>
        <w:ind w:right="-93"/>
        <w:rPr>
          <w:lang w:val="es-MX"/>
        </w:rPr>
      </w:pPr>
    </w:p>
    <w:p w:rsidR="00000000" w:rsidRDefault="005173F0">
      <w:pPr>
        <w:pStyle w:val="BodyText3"/>
        <w:spacing w:before="0"/>
        <w:ind w:right="-93" w:firstLine="708"/>
        <w:rPr>
          <w:lang w:val="es-MX"/>
        </w:rPr>
      </w:pPr>
      <w:r>
        <w:rPr>
          <w:lang w:val="es-MX"/>
        </w:rPr>
        <w:t>Refórmase el inciso j) del artículo 69 del Código de Trabajo.  El texto dirá:</w:t>
      </w:r>
    </w:p>
    <w:p w:rsidR="00000000" w:rsidRDefault="005173F0">
      <w:pPr>
        <w:pStyle w:val="BodyText3"/>
        <w:spacing w:before="0"/>
        <w:ind w:right="-93"/>
        <w:rPr>
          <w:lang w:val="es-MX"/>
        </w:rPr>
      </w:pPr>
    </w:p>
    <w:p w:rsidR="00000000" w:rsidRDefault="005173F0">
      <w:pPr>
        <w:ind w:left="850"/>
        <w:jc w:val="both"/>
        <w:rPr>
          <w:rFonts w:ascii="Arial" w:hAnsi="Arial"/>
        </w:rPr>
      </w:pPr>
      <w:r>
        <w:rPr>
          <w:rFonts w:ascii="Arial" w:hAnsi="Arial"/>
          <w:b/>
          <w:u w:val="single"/>
        </w:rPr>
        <w:t>“Artículo 69.-</w:t>
      </w:r>
      <w:r>
        <w:rPr>
          <w:rFonts w:ascii="Arial" w:hAnsi="Arial"/>
        </w:rPr>
        <w:tab/>
        <w:t>Fuera de las contenidas en otros artículos de este Código, en sus Reglamentos y en sus leyes su</w:t>
      </w:r>
      <w:r>
        <w:rPr>
          <w:rFonts w:ascii="Arial" w:hAnsi="Arial"/>
        </w:rPr>
        <w:t>pletorias o conexas, son obligaciones de los patronos:</w:t>
      </w:r>
    </w:p>
    <w:p w:rsidR="00000000" w:rsidRDefault="005173F0">
      <w:pPr>
        <w:ind w:left="60" w:right="-93"/>
        <w:jc w:val="both"/>
        <w:rPr>
          <w:rFonts w:ascii="Arial" w:hAnsi="Arial"/>
        </w:rPr>
      </w:pPr>
    </w:p>
    <w:p w:rsidR="00000000" w:rsidRDefault="005173F0">
      <w:pPr>
        <w:pStyle w:val="Textoindependiente"/>
        <w:widowControl/>
        <w:ind w:left="1400"/>
        <w:jc w:val="both"/>
        <w:rPr>
          <w:rFonts w:ascii="Arial" w:hAnsi="Arial"/>
          <w:sz w:val="24"/>
          <w:lang w:val="es-ES"/>
        </w:rPr>
      </w:pPr>
      <w:r>
        <w:rPr>
          <w:rFonts w:ascii="Arial" w:hAnsi="Arial"/>
          <w:sz w:val="24"/>
          <w:lang w:val="es-ES"/>
        </w:rPr>
        <w:t>[...]</w:t>
      </w:r>
    </w:p>
    <w:p w:rsidR="00000000" w:rsidRDefault="005173F0">
      <w:pPr>
        <w:pStyle w:val="Textoindependiente"/>
        <w:widowControl/>
        <w:ind w:left="1400"/>
        <w:jc w:val="both"/>
        <w:rPr>
          <w:rFonts w:ascii="Arial" w:hAnsi="Arial"/>
          <w:b w:val="0"/>
          <w:sz w:val="24"/>
          <w:lang w:val="es-ES"/>
        </w:rPr>
      </w:pPr>
    </w:p>
    <w:p w:rsidR="00000000" w:rsidRDefault="005173F0">
      <w:pPr>
        <w:pStyle w:val="Textoindependiente"/>
        <w:widowControl/>
        <w:ind w:left="1400"/>
        <w:jc w:val="both"/>
        <w:rPr>
          <w:rFonts w:ascii="Arial" w:hAnsi="Arial"/>
          <w:b w:val="0"/>
          <w:sz w:val="24"/>
        </w:rPr>
      </w:pPr>
      <w:r>
        <w:rPr>
          <w:rFonts w:ascii="Arial" w:hAnsi="Arial"/>
          <w:sz w:val="24"/>
          <w:lang w:val="es-ES"/>
        </w:rPr>
        <w:t>j)</w:t>
      </w:r>
      <w:r>
        <w:rPr>
          <w:rFonts w:ascii="Arial" w:hAnsi="Arial"/>
          <w:b w:val="0"/>
          <w:sz w:val="24"/>
          <w:lang w:val="es-ES"/>
        </w:rPr>
        <w:tab/>
      </w:r>
      <w:r>
        <w:rPr>
          <w:rFonts w:ascii="Arial" w:hAnsi="Arial"/>
          <w:b w:val="0"/>
          <w:sz w:val="24"/>
        </w:rPr>
        <w:t xml:space="preserve">Conceder a los trabajadores el tiempo necesario, sin reducción de salario, para el ejercicio del voto en las elecciones populares y consultas populares bajo la modalidad de referéndum. </w:t>
      </w:r>
    </w:p>
    <w:p w:rsidR="00000000" w:rsidRDefault="005173F0">
      <w:pPr>
        <w:pStyle w:val="Textoindependiente"/>
        <w:widowControl/>
        <w:ind w:left="1400"/>
        <w:jc w:val="both"/>
        <w:rPr>
          <w:rFonts w:ascii="Arial" w:hAnsi="Arial"/>
          <w:b w:val="0"/>
          <w:sz w:val="24"/>
          <w:lang w:val="es-ES"/>
        </w:rPr>
      </w:pPr>
    </w:p>
    <w:p w:rsidR="00000000" w:rsidRDefault="005173F0">
      <w:pPr>
        <w:pStyle w:val="Textoindependiente"/>
        <w:widowControl/>
        <w:ind w:left="1400"/>
        <w:jc w:val="both"/>
        <w:rPr>
          <w:rFonts w:ascii="Arial" w:hAnsi="Arial"/>
          <w:sz w:val="24"/>
          <w:lang w:val="es-ES"/>
        </w:rPr>
      </w:pPr>
      <w:r>
        <w:rPr>
          <w:rFonts w:ascii="Arial" w:hAnsi="Arial"/>
          <w:sz w:val="24"/>
          <w:lang w:val="es-ES"/>
        </w:rPr>
        <w:t>[...]”</w:t>
      </w:r>
    </w:p>
    <w:p w:rsidR="00000000" w:rsidRDefault="005173F0">
      <w:pPr>
        <w:pStyle w:val="Textoindependiente"/>
        <w:widowControl/>
        <w:ind w:left="1400"/>
        <w:jc w:val="both"/>
        <w:rPr>
          <w:rFonts w:ascii="Arial" w:hAnsi="Arial"/>
          <w:b w:val="0"/>
          <w:sz w:val="24"/>
          <w:lang w:val="es-ES"/>
        </w:rPr>
      </w:pPr>
    </w:p>
    <w:p w:rsidR="00000000" w:rsidRDefault="005173F0">
      <w:pPr>
        <w:pStyle w:val="Textoindependiente"/>
        <w:widowControl/>
        <w:ind w:left="708"/>
        <w:jc w:val="both"/>
        <w:rPr>
          <w:rFonts w:ascii="Arial" w:hAnsi="Arial"/>
          <w:b w:val="0"/>
          <w:sz w:val="24"/>
          <w:lang w:val="es-ES"/>
        </w:rPr>
      </w:pPr>
    </w:p>
    <w:p w:rsidR="00000000" w:rsidRDefault="005173F0">
      <w:pPr>
        <w:pStyle w:val="Textoindependiente"/>
        <w:widowControl/>
        <w:ind w:firstLine="709"/>
        <w:jc w:val="both"/>
        <w:rPr>
          <w:rFonts w:ascii="Arial" w:hAnsi="Arial"/>
          <w:b w:val="0"/>
          <w:sz w:val="24"/>
        </w:rPr>
      </w:pPr>
      <w:r>
        <w:rPr>
          <w:rFonts w:ascii="Arial" w:hAnsi="Arial"/>
          <w:b w:val="0"/>
          <w:sz w:val="24"/>
        </w:rPr>
        <w:t>Rige a partir de su publicación.</w:t>
      </w:r>
    </w:p>
    <w:p w:rsidR="00000000" w:rsidRDefault="005173F0">
      <w:pPr>
        <w:pStyle w:val="Textoindependiente"/>
        <w:widowControl/>
        <w:jc w:val="both"/>
        <w:rPr>
          <w:rFonts w:ascii="Arial" w:hAnsi="Arial"/>
          <w:b w:val="0"/>
          <w:sz w:val="24"/>
        </w:rPr>
      </w:pPr>
      <w:r>
        <w:rPr>
          <w:rFonts w:ascii="Arial" w:hAnsi="Arial"/>
          <w:b w:val="0"/>
          <w:sz w:val="24"/>
        </w:rPr>
        <w:br w:type="page"/>
      </w:r>
      <w:r>
        <w:rPr>
          <w:rFonts w:ascii="Arial" w:hAnsi="Arial"/>
          <w:sz w:val="24"/>
        </w:rPr>
        <w:t xml:space="preserve">ASAMBLEA LEGISLATIVA.-  </w:t>
      </w:r>
      <w:r>
        <w:rPr>
          <w:rFonts w:ascii="Arial" w:hAnsi="Arial"/>
          <w:b w:val="0"/>
          <w:sz w:val="24"/>
        </w:rPr>
        <w:t>San José, a los veintitrés días del mes de febrero de dos mil seis.</w:t>
      </w: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center"/>
        <w:rPr>
          <w:rFonts w:ascii="Arial" w:hAnsi="Arial"/>
          <w:sz w:val="24"/>
        </w:rPr>
      </w:pPr>
      <w:r>
        <w:rPr>
          <w:rFonts w:ascii="Arial" w:hAnsi="Arial"/>
          <w:sz w:val="24"/>
        </w:rPr>
        <w:t>COMUNÍCASE AL PODER EJECUTIVO</w:t>
      </w: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jc w:val="center"/>
        <w:rPr>
          <w:rFonts w:ascii="Arial" w:hAnsi="Arial"/>
          <w:color w:val="000000"/>
          <w:lang w:val="es-CR"/>
        </w:rPr>
      </w:pPr>
      <w:r>
        <w:rPr>
          <w:rFonts w:ascii="Arial" w:hAnsi="Arial"/>
        </w:rPr>
        <w:t>Juan José Vargas Fallas</w:t>
      </w:r>
    </w:p>
    <w:p w:rsidR="00000000" w:rsidRDefault="005173F0">
      <w:pPr>
        <w:pStyle w:val="Ttulo9"/>
        <w:pBdr>
          <w:top w:val="none" w:sz="0" w:space="0" w:color="auto"/>
          <w:left w:val="none" w:sz="0" w:space="0" w:color="auto"/>
          <w:bottom w:val="none" w:sz="0" w:space="0" w:color="auto"/>
          <w:right w:val="none" w:sz="0" w:space="0" w:color="auto"/>
        </w:pBdr>
      </w:pPr>
      <w:r>
        <w:t>VICEPRESIDENTE EN EJERCICIO DE LA PRESIDENCIA</w:t>
      </w:r>
    </w:p>
    <w:p w:rsidR="00000000" w:rsidRDefault="005173F0">
      <w:pPr>
        <w:pStyle w:val="Textoindependiente"/>
        <w:jc w:val="both"/>
        <w:rPr>
          <w:rFonts w:ascii="Arial" w:hAnsi="Arial"/>
          <w:b w:val="0"/>
          <w:sz w:val="24"/>
          <w:lang w:val="es-CR"/>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BodyText2"/>
        <w:rPr>
          <w:b w:val="0"/>
        </w:rPr>
      </w:pPr>
      <w:r>
        <w:rPr>
          <w:b w:val="0"/>
        </w:rPr>
        <w:t xml:space="preserve">Luis Paulino </w:t>
      </w:r>
      <w:r>
        <w:rPr>
          <w:b w:val="0"/>
        </w:rPr>
        <w:t>Rodríguez Mena</w:t>
      </w:r>
      <w:r>
        <w:rPr>
          <w:b w:val="0"/>
        </w:rPr>
        <w:tab/>
      </w:r>
      <w:r>
        <w:rPr>
          <w:b w:val="0"/>
        </w:rPr>
        <w:tab/>
      </w:r>
      <w:r>
        <w:rPr>
          <w:b w:val="0"/>
        </w:rPr>
        <w:tab/>
        <w:t xml:space="preserve">        Elvia Navarro Vargas</w:t>
      </w:r>
    </w:p>
    <w:p w:rsidR="00000000" w:rsidRDefault="005173F0">
      <w:pPr>
        <w:pStyle w:val="BodyText2"/>
      </w:pPr>
      <w:r>
        <w:t xml:space="preserve">  SEGUNDO SECRETARIO</w:t>
      </w:r>
      <w:r>
        <w:tab/>
      </w:r>
      <w:r>
        <w:tab/>
      </w:r>
      <w:r>
        <w:tab/>
        <w:t>PRIMERA PROSECRETARIA</w:t>
      </w:r>
    </w:p>
    <w:p w:rsidR="00000000" w:rsidRDefault="005173F0">
      <w:pPr>
        <w:pStyle w:val="Textoindependiente"/>
        <w:jc w:val="both"/>
        <w:rPr>
          <w:rFonts w:ascii="Arial" w:hAnsi="Arial"/>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jc w:val="both"/>
        <w:rPr>
          <w:rFonts w:ascii="Arial" w:hAnsi="Arial"/>
          <w:b w:val="0"/>
          <w:sz w:val="24"/>
        </w:rPr>
      </w:pPr>
    </w:p>
    <w:p w:rsidR="00000000" w:rsidRDefault="005173F0">
      <w:pPr>
        <w:pStyle w:val="Textoindependiente"/>
        <w:widowControl/>
        <w:jc w:val="both"/>
        <w:rPr>
          <w:rFonts w:ascii="Arial" w:hAnsi="Arial"/>
          <w:sz w:val="24"/>
        </w:rPr>
      </w:pPr>
      <w:r>
        <w:rPr>
          <w:rFonts w:ascii="Arial" w:hAnsi="Arial"/>
          <w:sz w:val="24"/>
        </w:rPr>
        <w:t>daa.-</w:t>
      </w:r>
    </w:p>
    <w:p w:rsidR="00000000" w:rsidRDefault="005173F0">
      <w:pPr>
        <w:jc w:val="both"/>
        <w:rPr>
          <w:rFonts w:ascii="Arial" w:hAnsi="Arial"/>
          <w:lang w:val="es-ES_tradnl"/>
        </w:rPr>
      </w:pPr>
      <w:r>
        <w:rPr>
          <w:rFonts w:ascii="Arial" w:hAnsi="Arial"/>
        </w:rPr>
        <w:br w:type="page"/>
      </w:r>
      <w:r>
        <w:rPr>
          <w:rFonts w:ascii="Arial" w:hAnsi="Arial"/>
          <w:b/>
        </w:rPr>
        <w:tab/>
        <w:t xml:space="preserve">Dado en la Presidencia de la República.-  </w:t>
      </w:r>
      <w:r>
        <w:rPr>
          <w:rFonts w:ascii="Arial" w:hAnsi="Arial"/>
        </w:rPr>
        <w:t>San José, a los nueve días del mes de marzo del dos mil seis.</w:t>
      </w: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pStyle w:val="BodyText2"/>
        <w:rPr>
          <w:lang w:val="es-ES_tradnl"/>
        </w:rPr>
      </w:pPr>
    </w:p>
    <w:p w:rsidR="00000000" w:rsidRDefault="005173F0">
      <w:pPr>
        <w:jc w:val="center"/>
        <w:rPr>
          <w:rFonts w:ascii="Arial" w:hAnsi="Arial"/>
          <w:b/>
          <w:lang w:val="es-ES_tradnl"/>
        </w:rPr>
      </w:pPr>
      <w:r>
        <w:rPr>
          <w:rFonts w:ascii="Arial" w:hAnsi="Arial"/>
          <w:b/>
        </w:rPr>
        <w:t>Ejecútese y publíquese</w:t>
      </w:r>
    </w:p>
    <w:p w:rsidR="00000000" w:rsidRDefault="005173F0">
      <w:pPr>
        <w:jc w:val="center"/>
        <w:rPr>
          <w:rFonts w:ascii="Arial" w:hAnsi="Arial"/>
          <w:b/>
          <w:lang w:val="es-ES_tradnl"/>
        </w:rPr>
      </w:pPr>
    </w:p>
    <w:p w:rsidR="00000000" w:rsidRDefault="005173F0">
      <w:pPr>
        <w:jc w:val="center"/>
        <w:rPr>
          <w:rFonts w:ascii="Arial" w:hAnsi="Arial"/>
          <w:b/>
          <w:lang w:val="es-ES_tradnl"/>
        </w:rPr>
      </w:pPr>
    </w:p>
    <w:p w:rsidR="00000000" w:rsidRDefault="005173F0">
      <w:pPr>
        <w:jc w:val="center"/>
        <w:rPr>
          <w:rFonts w:ascii="Arial" w:hAnsi="Arial"/>
          <w:b/>
          <w:lang w:val="es-ES_tradnl"/>
        </w:rPr>
      </w:pPr>
    </w:p>
    <w:p w:rsidR="00000000" w:rsidRDefault="005173F0">
      <w:pPr>
        <w:jc w:val="center"/>
        <w:rPr>
          <w:rFonts w:ascii="Arial" w:hAnsi="Arial"/>
          <w:b/>
          <w:lang w:val="es-ES_tradnl"/>
        </w:rPr>
      </w:pPr>
    </w:p>
    <w:p w:rsidR="00000000" w:rsidRDefault="005173F0">
      <w:pPr>
        <w:jc w:val="center"/>
        <w:rPr>
          <w:rFonts w:ascii="Arial" w:hAnsi="Arial"/>
          <w:b/>
          <w:lang w:val="en-GB"/>
        </w:rPr>
      </w:pPr>
      <w:r>
        <w:rPr>
          <w:rFonts w:ascii="Arial" w:hAnsi="Arial"/>
          <w:b/>
          <w:lang w:val="en-GB"/>
        </w:rPr>
        <w:t>LINETH SABORÍO CHAVERRI</w:t>
      </w:r>
    </w:p>
    <w:p w:rsidR="00000000" w:rsidRDefault="005173F0">
      <w:pPr>
        <w:jc w:val="center"/>
        <w:rPr>
          <w:rFonts w:ascii="Arial" w:hAnsi="Arial"/>
          <w:b/>
          <w:lang w:val="en-GB"/>
        </w:rPr>
      </w:pPr>
    </w:p>
    <w:p w:rsidR="00000000" w:rsidRDefault="005173F0">
      <w:pPr>
        <w:jc w:val="center"/>
        <w:rPr>
          <w:rFonts w:ascii="Arial" w:hAnsi="Arial"/>
          <w:b/>
          <w:lang w:val="en-GB"/>
        </w:rPr>
      </w:pPr>
    </w:p>
    <w:p w:rsidR="00000000" w:rsidRDefault="005173F0">
      <w:pPr>
        <w:jc w:val="center"/>
        <w:rPr>
          <w:rFonts w:ascii="Arial" w:hAnsi="Arial"/>
          <w:b/>
          <w:lang w:val="en-GB"/>
        </w:rPr>
      </w:pPr>
    </w:p>
    <w:p w:rsidR="00000000" w:rsidRDefault="005173F0">
      <w:pPr>
        <w:jc w:val="center"/>
        <w:rPr>
          <w:rFonts w:ascii="Arial" w:hAnsi="Arial"/>
          <w:b/>
          <w:lang w:val="en-GB"/>
        </w:rPr>
      </w:pPr>
    </w:p>
    <w:p w:rsidR="00000000" w:rsidRDefault="005173F0">
      <w:pPr>
        <w:jc w:val="center"/>
        <w:rPr>
          <w:rFonts w:ascii="Arial" w:hAnsi="Arial"/>
          <w:b/>
          <w:lang w:val="en-GB"/>
        </w:rPr>
      </w:pPr>
    </w:p>
    <w:p w:rsidR="00000000" w:rsidRDefault="005173F0">
      <w:pPr>
        <w:jc w:val="center"/>
        <w:rPr>
          <w:rFonts w:ascii="Arial" w:hAnsi="Arial"/>
          <w:lang w:val="es-ES_tradnl"/>
        </w:rPr>
      </w:pPr>
      <w:r>
        <w:rPr>
          <w:rFonts w:ascii="Arial" w:hAnsi="Arial"/>
        </w:rPr>
        <w:t>Luis A. Madrigal Pacheco</w:t>
      </w:r>
    </w:p>
    <w:p w:rsidR="00000000" w:rsidRDefault="005173F0">
      <w:pPr>
        <w:jc w:val="center"/>
        <w:rPr>
          <w:rFonts w:ascii="Arial" w:hAnsi="Arial"/>
          <w:b/>
          <w:lang w:val="es-ES_tradnl"/>
        </w:rPr>
      </w:pPr>
      <w:r>
        <w:rPr>
          <w:rFonts w:ascii="Arial" w:hAnsi="Arial"/>
          <w:b/>
        </w:rPr>
        <w:t>MINISTRO DE LA PRESIDENCIA A.I.</w:t>
      </w: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jc w:val="both"/>
        <w:rPr>
          <w:rFonts w:ascii="Arial" w:hAnsi="Arial"/>
          <w:b/>
          <w:lang w:val="es-ES_tradnl"/>
        </w:rPr>
      </w:pPr>
    </w:p>
    <w:p w:rsidR="00000000" w:rsidRDefault="005173F0">
      <w:pPr>
        <w:jc w:val="both"/>
        <w:rPr>
          <w:rFonts w:ascii="Arial" w:hAnsi="Arial"/>
          <w:b/>
          <w:lang w:val="es-ES_tradnl"/>
        </w:rPr>
      </w:pPr>
      <w:r>
        <w:rPr>
          <w:rFonts w:ascii="Arial" w:hAnsi="Arial"/>
          <w:b/>
        </w:rPr>
        <w:t>Sanción:</w:t>
      </w:r>
      <w:r>
        <w:rPr>
          <w:rFonts w:ascii="Arial" w:hAnsi="Arial"/>
          <w:b/>
        </w:rPr>
        <w:tab/>
      </w:r>
      <w:r>
        <w:rPr>
          <w:rFonts w:ascii="Arial" w:hAnsi="Arial"/>
          <w:b/>
        </w:rPr>
        <w:tab/>
        <w:t>09-03-2006</w:t>
      </w:r>
    </w:p>
    <w:p w:rsidR="00000000" w:rsidRDefault="005173F0">
      <w:pPr>
        <w:jc w:val="both"/>
        <w:rPr>
          <w:rFonts w:ascii="Arial" w:hAnsi="Arial"/>
          <w:b/>
          <w:lang w:val="es-ES_tradnl"/>
        </w:rPr>
      </w:pPr>
      <w:r>
        <w:rPr>
          <w:rFonts w:ascii="Arial" w:hAnsi="Arial"/>
          <w:b/>
        </w:rPr>
        <w:t>Publicación:</w:t>
      </w:r>
      <w:r>
        <w:rPr>
          <w:rFonts w:ascii="Arial" w:hAnsi="Arial"/>
          <w:b/>
        </w:rPr>
        <w:tab/>
        <w:t>04-04-2006</w:t>
      </w:r>
      <w:r>
        <w:rPr>
          <w:rFonts w:ascii="Arial" w:hAnsi="Arial"/>
          <w:b/>
        </w:rPr>
        <w:tab/>
      </w:r>
      <w:r>
        <w:rPr>
          <w:rFonts w:ascii="Arial" w:hAnsi="Arial"/>
          <w:b/>
        </w:rPr>
        <w:tab/>
      </w:r>
      <w:r>
        <w:rPr>
          <w:rFonts w:ascii="Arial" w:hAnsi="Arial"/>
          <w:b/>
        </w:rPr>
        <w:tab/>
        <w:t>Gaceta:  67</w:t>
      </w:r>
    </w:p>
    <w:sectPr w:rsidR="00000000">
      <w:pgSz w:w="12240" w:h="15840" w:code="1"/>
      <w:pgMar w:top="1418" w:right="1701" w:bottom="1418" w:left="1701" w:header="720" w:footer="720"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173F0">
      <w:r>
        <w:separator/>
      </w:r>
    </w:p>
  </w:endnote>
  <w:endnote w:type="continuationSeparator" w:id="0">
    <w:p w:rsidR="00000000" w:rsidRDefault="00517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73F0">
    <w:pPr>
      <w:pStyle w:val="Piedepgina"/>
      <w:pBdr>
        <w:top w:val="single" w:sz="6" w:space="1" w:color="auto"/>
      </w:pBdr>
      <w:tabs>
        <w:tab w:val="clear" w:pos="4252"/>
        <w:tab w:val="clear" w:pos="8504"/>
      </w:tabs>
      <w:jc w:val="center"/>
      <w:rPr>
        <w:rFonts w:ascii="Arial" w:hAnsi="Arial"/>
        <w:b/>
        <w:sz w:val="20"/>
      </w:rPr>
    </w:pPr>
    <w:r>
      <w:rPr>
        <w:rFonts w:ascii="Arial" w:hAnsi="Arial"/>
        <w:b/>
        <w:sz w:val="20"/>
      </w:rPr>
      <w:t>ASAMBLEA LEGISLATIVA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5173F0">
      <w:r>
        <w:separator/>
      </w:r>
    </w:p>
  </w:footnote>
  <w:footnote w:type="continuationSeparator" w:id="0">
    <w:p w:rsidR="00000000" w:rsidRDefault="005173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73F0">
    <w:pPr>
      <w:pStyle w:val="Encabezado"/>
      <w:pBdr>
        <w:bottom w:val="single" w:sz="6" w:space="1" w:color="auto"/>
      </w:pBdr>
      <w:tabs>
        <w:tab w:val="clear" w:pos="4252"/>
        <w:tab w:val="clear" w:pos="8504"/>
      </w:tabs>
    </w:pPr>
    <w:r>
      <w:rPr>
        <w:rFonts w:ascii="Arial" w:hAnsi="Arial"/>
        <w:b/>
        <w:sz w:val="20"/>
      </w:rPr>
      <w:t>PLENARIO</w:t>
    </w:r>
    <w:r>
      <w:rPr>
        <w:rFonts w:ascii="Arial" w:hAnsi="Arial"/>
        <w:b/>
        <w:sz w:val="20"/>
      </w:rPr>
      <w:tab/>
    </w:r>
    <w:r>
      <w:rPr>
        <w:rFonts w:ascii="Arial" w:hAnsi="Arial"/>
        <w:b/>
        <w:sz w:val="20"/>
      </w:rPr>
      <w:tab/>
    </w:r>
    <w:r>
      <w:rPr>
        <w:rFonts w:ascii="Arial" w:hAnsi="Arial"/>
        <w:b/>
        <w:sz w:val="20"/>
      </w:rPr>
      <w:tab/>
    </w:r>
    <w:r>
      <w:rPr>
        <w:rFonts w:ascii="Arial" w:hAnsi="Arial"/>
        <w:b/>
        <w:sz w:val="20"/>
      </w:rPr>
      <w:tab/>
    </w:r>
    <w:r>
      <w:rPr>
        <w:rFonts w:ascii="Arial" w:hAnsi="Arial"/>
        <w:b/>
        <w:sz w:val="20"/>
      </w:rPr>
      <w:tab/>
      <w:t xml:space="preserve">- </w:t>
    </w:r>
    <w:r>
      <w:rPr>
        <w:rFonts w:ascii="Arial" w:hAnsi="Arial"/>
        <w:b/>
        <w:sz w:val="20"/>
      </w:rPr>
      <w:fldChar w:fldCharType="begin"/>
    </w:r>
    <w:r>
      <w:rPr>
        <w:rFonts w:ascii="Arial" w:hAnsi="Arial"/>
        <w:b/>
        <w:sz w:val="20"/>
      </w:rPr>
      <w:instrText xml:space="preserve"> PAGE  \* MERGEFORMAT </w:instrText>
    </w:r>
    <w:r>
      <w:rPr>
        <w:rFonts w:ascii="Arial" w:hAnsi="Arial"/>
        <w:b/>
        <w:sz w:val="20"/>
      </w:rPr>
      <w:fldChar w:fldCharType="separate"/>
    </w:r>
    <w:r>
      <w:rPr>
        <w:rFonts w:ascii="Arial" w:hAnsi="Arial"/>
        <w:b/>
        <w:noProof/>
        <w:sz w:val="20"/>
      </w:rPr>
      <w:t>13</w:t>
    </w:r>
    <w:r>
      <w:rPr>
        <w:rFonts w:ascii="Arial" w:hAnsi="Arial"/>
        <w:b/>
        <w:sz w:val="20"/>
      </w:rPr>
      <w:fldChar w:fldCharType="end"/>
    </w:r>
    <w:r>
      <w:rPr>
        <w:rFonts w:ascii="Arial" w:hAnsi="Arial"/>
        <w:b/>
        <w:sz w:val="20"/>
      </w:rPr>
      <w:t xml:space="preserve"> -</w:t>
    </w:r>
    <w:r>
      <w:rPr>
        <w:rFonts w:ascii="Arial" w:hAnsi="Arial"/>
        <w:b/>
        <w:sz w:val="20"/>
      </w:rPr>
      <w:tab/>
    </w:r>
    <w:r>
      <w:rPr>
        <w:rFonts w:ascii="Arial" w:hAnsi="Arial"/>
        <w:b/>
        <w:sz w:val="20"/>
      </w:rPr>
      <w:tab/>
    </w:r>
    <w:r>
      <w:rPr>
        <w:rFonts w:ascii="Arial" w:hAnsi="Arial"/>
        <w:b/>
        <w:sz w:val="20"/>
      </w:rPr>
      <w:tab/>
    </w:r>
    <w:r>
      <w:rPr>
        <w:rFonts w:ascii="Arial" w:hAnsi="Arial"/>
        <w:b/>
        <w:sz w:val="20"/>
      </w:rPr>
      <w:tab/>
      <w:t xml:space="preserve">     LEY N.º 8492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efaultTabStop w:val="709"/>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735"/>
    <w:rsid w:val="005173F0"/>
    <w:rsid w:val="00CA173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sz w:val="24"/>
      <w:lang w:val="es-ES"/>
    </w:rPr>
  </w:style>
  <w:style w:type="paragraph" w:styleId="Ttulo1">
    <w:name w:val="heading 1"/>
    <w:aliases w:val="CAPITULO 1"/>
    <w:basedOn w:val="Normal"/>
    <w:next w:val="Normal"/>
    <w:qFormat/>
    <w:pPr>
      <w:keepNext/>
      <w:jc w:val="right"/>
      <w:outlineLvl w:val="0"/>
    </w:pPr>
    <w:rPr>
      <w:rFonts w:ascii="Arial" w:hAnsi="Arial"/>
      <w:b/>
    </w:rPr>
  </w:style>
  <w:style w:type="paragraph" w:styleId="Ttulo2">
    <w:name w:val="heading 2"/>
    <w:basedOn w:val="Normal"/>
    <w:next w:val="Normal"/>
    <w:qFormat/>
    <w:pPr>
      <w:keepNext/>
      <w:pBdr>
        <w:top w:val="single" w:sz="6" w:space="1" w:color="auto"/>
        <w:left w:val="single" w:sz="6" w:space="4" w:color="auto"/>
        <w:bottom w:val="single" w:sz="6" w:space="1" w:color="auto"/>
        <w:right w:val="single" w:sz="6" w:space="4" w:color="auto"/>
      </w:pBdr>
      <w:jc w:val="center"/>
      <w:outlineLvl w:val="1"/>
    </w:pPr>
    <w:rPr>
      <w:rFonts w:ascii="Arial Black" w:hAnsi="Arial Black"/>
      <w:b/>
    </w:rPr>
  </w:style>
  <w:style w:type="paragraph" w:styleId="Ttulo3">
    <w:name w:val="heading 3"/>
    <w:basedOn w:val="Normal"/>
    <w:next w:val="Normal"/>
    <w:qFormat/>
    <w:pPr>
      <w:keepNext/>
      <w:pBdr>
        <w:top w:val="single" w:sz="6" w:space="1" w:color="auto"/>
        <w:left w:val="single" w:sz="6" w:space="4" w:color="auto"/>
        <w:bottom w:val="single" w:sz="6" w:space="1" w:color="auto"/>
        <w:right w:val="single" w:sz="6" w:space="4" w:color="auto"/>
      </w:pBdr>
      <w:jc w:val="center"/>
      <w:outlineLvl w:val="2"/>
    </w:pPr>
    <w:rPr>
      <w:rFonts w:ascii="Arial Black" w:hAnsi="Arial Black"/>
      <w:b/>
      <w:sz w:val="22"/>
    </w:rPr>
  </w:style>
  <w:style w:type="paragraph" w:styleId="Ttulo4">
    <w:name w:val="heading 4"/>
    <w:basedOn w:val="Normal"/>
    <w:next w:val="Normal"/>
    <w:qFormat/>
    <w:pPr>
      <w:keepNext/>
      <w:pBdr>
        <w:top w:val="double" w:sz="6" w:space="31" w:color="auto"/>
        <w:left w:val="double" w:sz="6" w:space="31" w:color="auto"/>
        <w:bottom w:val="double" w:sz="6" w:space="31" w:color="auto"/>
        <w:right w:val="double" w:sz="6" w:space="31" w:color="auto"/>
      </w:pBdr>
      <w:jc w:val="center"/>
      <w:outlineLvl w:val="3"/>
    </w:pPr>
    <w:rPr>
      <w:rFonts w:ascii="Arial" w:hAnsi="Arial"/>
      <w:b/>
      <w:sz w:val="22"/>
    </w:rPr>
  </w:style>
  <w:style w:type="paragraph" w:styleId="Ttulo5">
    <w:name w:val="heading 5"/>
    <w:basedOn w:val="Normal"/>
    <w:next w:val="Normal"/>
    <w:qFormat/>
    <w:pPr>
      <w:keepNext/>
      <w:jc w:val="both"/>
      <w:outlineLvl w:val="4"/>
    </w:pPr>
    <w:rPr>
      <w:rFonts w:ascii="Arial" w:hAnsi="Arial"/>
      <w:b/>
    </w:rPr>
  </w:style>
  <w:style w:type="paragraph" w:styleId="Ttulo6">
    <w:name w:val="heading 6"/>
    <w:basedOn w:val="Normal"/>
    <w:next w:val="Normal"/>
    <w:qFormat/>
    <w:pPr>
      <w:keepNext/>
      <w:jc w:val="center"/>
      <w:outlineLvl w:val="5"/>
    </w:pPr>
    <w:rPr>
      <w:rFonts w:ascii="Arial" w:hAnsi="Arial"/>
      <w:b/>
    </w:rPr>
  </w:style>
  <w:style w:type="paragraph" w:styleId="Ttulo7">
    <w:name w:val="heading 7"/>
    <w:basedOn w:val="Normal"/>
    <w:next w:val="Normal"/>
    <w:qFormat/>
    <w:pPr>
      <w:keepNext/>
      <w:spacing w:line="480" w:lineRule="auto"/>
      <w:ind w:right="851"/>
      <w:jc w:val="center"/>
      <w:outlineLvl w:val="6"/>
    </w:pPr>
    <w:rPr>
      <w:rFonts w:ascii="Arial" w:hAnsi="Arial"/>
      <w:b/>
    </w:rPr>
  </w:style>
  <w:style w:type="paragraph" w:styleId="Ttulo8">
    <w:name w:val="heading 8"/>
    <w:basedOn w:val="Normal"/>
    <w:next w:val="Normal"/>
    <w:qFormat/>
    <w:pPr>
      <w:keepNext/>
      <w:tabs>
        <w:tab w:val="left" w:pos="9923"/>
      </w:tabs>
      <w:spacing w:line="480" w:lineRule="auto"/>
      <w:ind w:right="51"/>
      <w:jc w:val="both"/>
      <w:outlineLvl w:val="7"/>
    </w:pPr>
    <w:rPr>
      <w:rFonts w:ascii="Arial" w:hAnsi="Arial"/>
      <w:b/>
    </w:rPr>
  </w:style>
  <w:style w:type="paragraph" w:styleId="Ttulo9">
    <w:name w:val="heading 9"/>
    <w:basedOn w:val="Normal"/>
    <w:next w:val="Normal"/>
    <w:qFormat/>
    <w:pPr>
      <w:keepNext/>
      <w:pBdr>
        <w:top w:val="double" w:sz="6" w:space="1" w:color="auto"/>
        <w:left w:val="double" w:sz="6" w:space="4" w:color="auto"/>
        <w:bottom w:val="double" w:sz="6" w:space="1" w:color="auto"/>
        <w:right w:val="double" w:sz="6" w:space="4" w:color="auto"/>
      </w:pBdr>
      <w:ind w:right="20"/>
      <w:jc w:val="center"/>
      <w:outlineLvl w:val="8"/>
    </w:pPr>
    <w:rPr>
      <w:rFonts w:ascii="Arial" w:hAnsi="Arial"/>
      <w:b/>
      <w:lang w:val="es-CR"/>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widowControl w:val="0"/>
    </w:pPr>
    <w:rPr>
      <w:b/>
      <w:sz w:val="28"/>
      <w:lang w:val="es-MX"/>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customStyle="1" w:styleId="BlockText">
    <w:name w:val="Block Text"/>
    <w:basedOn w:val="Normal"/>
    <w:pPr>
      <w:pBdr>
        <w:top w:val="double" w:sz="6" w:space="1" w:color="auto"/>
        <w:left w:val="double" w:sz="6" w:space="4" w:color="auto"/>
        <w:bottom w:val="double" w:sz="6" w:space="1" w:color="auto"/>
        <w:right w:val="double" w:sz="6" w:space="4" w:color="auto"/>
      </w:pBdr>
      <w:ind w:left="-709" w:right="-568"/>
      <w:jc w:val="center"/>
    </w:pPr>
    <w:rPr>
      <w:rFonts w:ascii="Arial" w:hAnsi="Arial"/>
    </w:rPr>
  </w:style>
  <w:style w:type="paragraph" w:styleId="Encabezado">
    <w:name w:val="header"/>
    <w:basedOn w:val="Normal"/>
    <w:semiHidden/>
    <w:pPr>
      <w:tabs>
        <w:tab w:val="center" w:pos="4252"/>
        <w:tab w:val="right" w:pos="8504"/>
      </w:tabs>
    </w:pPr>
  </w:style>
  <w:style w:type="paragraph" w:customStyle="1" w:styleId="BodyText2">
    <w:name w:val="Body Text 2"/>
    <w:basedOn w:val="Normal"/>
    <w:pPr>
      <w:jc w:val="both"/>
    </w:pPr>
    <w:rPr>
      <w:rFonts w:ascii="Arial" w:hAnsi="Arial"/>
      <w:b/>
    </w:rPr>
  </w:style>
  <w:style w:type="paragraph" w:customStyle="1" w:styleId="BodyText3">
    <w:name w:val="Body Text 3"/>
    <w:basedOn w:val="Normal"/>
    <w:pPr>
      <w:spacing w:before="120"/>
      <w:ind w:right="851"/>
      <w:jc w:val="both"/>
    </w:pPr>
    <w:rPr>
      <w:rFonts w:ascii="Arial" w:hAnsi="Arial"/>
      <w:lang w:val="es-ES_tradnl"/>
    </w:rPr>
  </w:style>
  <w:style w:type="paragraph" w:styleId="Textonotapie">
    <w:name w:val="footnote text"/>
    <w:basedOn w:val="Normal"/>
    <w:semiHidden/>
    <w:rPr>
      <w:sz w:val="20"/>
    </w:rPr>
  </w:style>
  <w:style w:type="character" w:styleId="Refdenotaalpie">
    <w:name w:val="footnote reference"/>
    <w:basedOn w:val="Fuentedeprrafopredeter"/>
    <w:semiHidden/>
    <w:rPr>
      <w:vertAlign w:val="superscript"/>
    </w:rPr>
  </w:style>
  <w:style w:type="paragraph" w:styleId="Ttulo">
    <w:name w:val="Title"/>
    <w:basedOn w:val="Normal"/>
    <w:qFormat/>
    <w:pPr>
      <w:shd w:val="pct30" w:color="auto" w:fill="auto"/>
      <w:spacing w:line="480" w:lineRule="auto"/>
      <w:jc w:val="center"/>
    </w:pPr>
    <w:rPr>
      <w:rFonts w:ascii="Arial" w:hAnsi="Arial"/>
      <w:b/>
    </w:rPr>
  </w:style>
  <w:style w:type="paragraph" w:customStyle="1" w:styleId="BlockText0">
    <w:name w:val="Block Text"/>
    <w:basedOn w:val="Normal"/>
    <w:pPr>
      <w:spacing w:line="480" w:lineRule="auto"/>
      <w:ind w:left="851" w:right="851" w:hanging="284"/>
      <w:jc w:val="both"/>
    </w:pPr>
    <w:rPr>
      <w:rFonts w:ascii="Arial" w:hAnsi="Arial"/>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sz w:val="24"/>
      <w:lang w:val="es-ES"/>
    </w:rPr>
  </w:style>
  <w:style w:type="paragraph" w:styleId="Ttulo1">
    <w:name w:val="heading 1"/>
    <w:aliases w:val="CAPITULO 1"/>
    <w:basedOn w:val="Normal"/>
    <w:next w:val="Normal"/>
    <w:qFormat/>
    <w:pPr>
      <w:keepNext/>
      <w:jc w:val="right"/>
      <w:outlineLvl w:val="0"/>
    </w:pPr>
    <w:rPr>
      <w:rFonts w:ascii="Arial" w:hAnsi="Arial"/>
      <w:b/>
    </w:rPr>
  </w:style>
  <w:style w:type="paragraph" w:styleId="Ttulo2">
    <w:name w:val="heading 2"/>
    <w:basedOn w:val="Normal"/>
    <w:next w:val="Normal"/>
    <w:qFormat/>
    <w:pPr>
      <w:keepNext/>
      <w:pBdr>
        <w:top w:val="single" w:sz="6" w:space="1" w:color="auto"/>
        <w:left w:val="single" w:sz="6" w:space="4" w:color="auto"/>
        <w:bottom w:val="single" w:sz="6" w:space="1" w:color="auto"/>
        <w:right w:val="single" w:sz="6" w:space="4" w:color="auto"/>
      </w:pBdr>
      <w:jc w:val="center"/>
      <w:outlineLvl w:val="1"/>
    </w:pPr>
    <w:rPr>
      <w:rFonts w:ascii="Arial Black" w:hAnsi="Arial Black"/>
      <w:b/>
    </w:rPr>
  </w:style>
  <w:style w:type="paragraph" w:styleId="Ttulo3">
    <w:name w:val="heading 3"/>
    <w:basedOn w:val="Normal"/>
    <w:next w:val="Normal"/>
    <w:qFormat/>
    <w:pPr>
      <w:keepNext/>
      <w:pBdr>
        <w:top w:val="single" w:sz="6" w:space="1" w:color="auto"/>
        <w:left w:val="single" w:sz="6" w:space="4" w:color="auto"/>
        <w:bottom w:val="single" w:sz="6" w:space="1" w:color="auto"/>
        <w:right w:val="single" w:sz="6" w:space="4" w:color="auto"/>
      </w:pBdr>
      <w:jc w:val="center"/>
      <w:outlineLvl w:val="2"/>
    </w:pPr>
    <w:rPr>
      <w:rFonts w:ascii="Arial Black" w:hAnsi="Arial Black"/>
      <w:b/>
      <w:sz w:val="22"/>
    </w:rPr>
  </w:style>
  <w:style w:type="paragraph" w:styleId="Ttulo4">
    <w:name w:val="heading 4"/>
    <w:basedOn w:val="Normal"/>
    <w:next w:val="Normal"/>
    <w:qFormat/>
    <w:pPr>
      <w:keepNext/>
      <w:pBdr>
        <w:top w:val="double" w:sz="6" w:space="31" w:color="auto"/>
        <w:left w:val="double" w:sz="6" w:space="31" w:color="auto"/>
        <w:bottom w:val="double" w:sz="6" w:space="31" w:color="auto"/>
        <w:right w:val="double" w:sz="6" w:space="31" w:color="auto"/>
      </w:pBdr>
      <w:jc w:val="center"/>
      <w:outlineLvl w:val="3"/>
    </w:pPr>
    <w:rPr>
      <w:rFonts w:ascii="Arial" w:hAnsi="Arial"/>
      <w:b/>
      <w:sz w:val="22"/>
    </w:rPr>
  </w:style>
  <w:style w:type="paragraph" w:styleId="Ttulo5">
    <w:name w:val="heading 5"/>
    <w:basedOn w:val="Normal"/>
    <w:next w:val="Normal"/>
    <w:qFormat/>
    <w:pPr>
      <w:keepNext/>
      <w:jc w:val="both"/>
      <w:outlineLvl w:val="4"/>
    </w:pPr>
    <w:rPr>
      <w:rFonts w:ascii="Arial" w:hAnsi="Arial"/>
      <w:b/>
    </w:rPr>
  </w:style>
  <w:style w:type="paragraph" w:styleId="Ttulo6">
    <w:name w:val="heading 6"/>
    <w:basedOn w:val="Normal"/>
    <w:next w:val="Normal"/>
    <w:qFormat/>
    <w:pPr>
      <w:keepNext/>
      <w:jc w:val="center"/>
      <w:outlineLvl w:val="5"/>
    </w:pPr>
    <w:rPr>
      <w:rFonts w:ascii="Arial" w:hAnsi="Arial"/>
      <w:b/>
    </w:rPr>
  </w:style>
  <w:style w:type="paragraph" w:styleId="Ttulo7">
    <w:name w:val="heading 7"/>
    <w:basedOn w:val="Normal"/>
    <w:next w:val="Normal"/>
    <w:qFormat/>
    <w:pPr>
      <w:keepNext/>
      <w:spacing w:line="480" w:lineRule="auto"/>
      <w:ind w:right="851"/>
      <w:jc w:val="center"/>
      <w:outlineLvl w:val="6"/>
    </w:pPr>
    <w:rPr>
      <w:rFonts w:ascii="Arial" w:hAnsi="Arial"/>
      <w:b/>
    </w:rPr>
  </w:style>
  <w:style w:type="paragraph" w:styleId="Ttulo8">
    <w:name w:val="heading 8"/>
    <w:basedOn w:val="Normal"/>
    <w:next w:val="Normal"/>
    <w:qFormat/>
    <w:pPr>
      <w:keepNext/>
      <w:tabs>
        <w:tab w:val="left" w:pos="9923"/>
      </w:tabs>
      <w:spacing w:line="480" w:lineRule="auto"/>
      <w:ind w:right="51"/>
      <w:jc w:val="both"/>
      <w:outlineLvl w:val="7"/>
    </w:pPr>
    <w:rPr>
      <w:rFonts w:ascii="Arial" w:hAnsi="Arial"/>
      <w:b/>
    </w:rPr>
  </w:style>
  <w:style w:type="paragraph" w:styleId="Ttulo9">
    <w:name w:val="heading 9"/>
    <w:basedOn w:val="Normal"/>
    <w:next w:val="Normal"/>
    <w:qFormat/>
    <w:pPr>
      <w:keepNext/>
      <w:pBdr>
        <w:top w:val="double" w:sz="6" w:space="1" w:color="auto"/>
        <w:left w:val="double" w:sz="6" w:space="4" w:color="auto"/>
        <w:bottom w:val="double" w:sz="6" w:space="1" w:color="auto"/>
        <w:right w:val="double" w:sz="6" w:space="4" w:color="auto"/>
      </w:pBdr>
      <w:ind w:right="20"/>
      <w:jc w:val="center"/>
      <w:outlineLvl w:val="8"/>
    </w:pPr>
    <w:rPr>
      <w:rFonts w:ascii="Arial" w:hAnsi="Arial"/>
      <w:b/>
      <w:lang w:val="es-CR"/>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widowControl w:val="0"/>
    </w:pPr>
    <w:rPr>
      <w:b/>
      <w:sz w:val="28"/>
      <w:lang w:val="es-MX"/>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customStyle="1" w:styleId="BlockText">
    <w:name w:val="Block Text"/>
    <w:basedOn w:val="Normal"/>
    <w:pPr>
      <w:pBdr>
        <w:top w:val="double" w:sz="6" w:space="1" w:color="auto"/>
        <w:left w:val="double" w:sz="6" w:space="4" w:color="auto"/>
        <w:bottom w:val="double" w:sz="6" w:space="1" w:color="auto"/>
        <w:right w:val="double" w:sz="6" w:space="4" w:color="auto"/>
      </w:pBdr>
      <w:ind w:left="-709" w:right="-568"/>
      <w:jc w:val="center"/>
    </w:pPr>
    <w:rPr>
      <w:rFonts w:ascii="Arial" w:hAnsi="Arial"/>
    </w:rPr>
  </w:style>
  <w:style w:type="paragraph" w:styleId="Encabezado">
    <w:name w:val="header"/>
    <w:basedOn w:val="Normal"/>
    <w:semiHidden/>
    <w:pPr>
      <w:tabs>
        <w:tab w:val="center" w:pos="4252"/>
        <w:tab w:val="right" w:pos="8504"/>
      </w:tabs>
    </w:pPr>
  </w:style>
  <w:style w:type="paragraph" w:customStyle="1" w:styleId="BodyText2">
    <w:name w:val="Body Text 2"/>
    <w:basedOn w:val="Normal"/>
    <w:pPr>
      <w:jc w:val="both"/>
    </w:pPr>
    <w:rPr>
      <w:rFonts w:ascii="Arial" w:hAnsi="Arial"/>
      <w:b/>
    </w:rPr>
  </w:style>
  <w:style w:type="paragraph" w:customStyle="1" w:styleId="BodyText3">
    <w:name w:val="Body Text 3"/>
    <w:basedOn w:val="Normal"/>
    <w:pPr>
      <w:spacing w:before="120"/>
      <w:ind w:right="851"/>
      <w:jc w:val="both"/>
    </w:pPr>
    <w:rPr>
      <w:rFonts w:ascii="Arial" w:hAnsi="Arial"/>
      <w:lang w:val="es-ES_tradnl"/>
    </w:rPr>
  </w:style>
  <w:style w:type="paragraph" w:styleId="Textonotapie">
    <w:name w:val="footnote text"/>
    <w:basedOn w:val="Normal"/>
    <w:semiHidden/>
    <w:rPr>
      <w:sz w:val="20"/>
    </w:rPr>
  </w:style>
  <w:style w:type="character" w:styleId="Refdenotaalpie">
    <w:name w:val="footnote reference"/>
    <w:basedOn w:val="Fuentedeprrafopredeter"/>
    <w:semiHidden/>
    <w:rPr>
      <w:vertAlign w:val="superscript"/>
    </w:rPr>
  </w:style>
  <w:style w:type="paragraph" w:styleId="Ttulo">
    <w:name w:val="Title"/>
    <w:basedOn w:val="Normal"/>
    <w:qFormat/>
    <w:pPr>
      <w:shd w:val="pct30" w:color="auto" w:fill="auto"/>
      <w:spacing w:line="480" w:lineRule="auto"/>
      <w:jc w:val="center"/>
    </w:pPr>
    <w:rPr>
      <w:rFonts w:ascii="Arial" w:hAnsi="Arial"/>
      <w:b/>
    </w:rPr>
  </w:style>
  <w:style w:type="paragraph" w:customStyle="1" w:styleId="BlockText0">
    <w:name w:val="Block Text"/>
    <w:basedOn w:val="Normal"/>
    <w:pPr>
      <w:spacing w:line="480" w:lineRule="auto"/>
      <w:ind w:left="851" w:right="851" w:hanging="284"/>
      <w:jc w:val="both"/>
    </w:pPr>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3486</Words>
  <Characters>19178</Characters>
  <Application>Microsoft Office Word</Application>
  <DocSecurity>0</DocSecurity>
  <Lines>159</Lines>
  <Paragraphs>45</Paragraphs>
  <ScaleCrop>false</ScaleCrop>
  <Company>Legislativa</Company>
  <LinksUpToDate>false</LinksUpToDate>
  <CharactersWithSpaces>22619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REGULADORA DEL REFERENDUM</dc:title>
  <dc:subject/>
  <dc:creator>MAVV</dc:creator>
  <cp:keywords/>
  <dc:description/>
  <cp:lastModifiedBy>Eduardo Villalobos Oviedo</cp:lastModifiedBy>
  <cp:revision>3</cp:revision>
  <cp:lastPrinted>2006-03-08T22:39:00Z</cp:lastPrinted>
  <dcterms:created xsi:type="dcterms:W3CDTF">2014-08-08T19:55:00Z</dcterms:created>
  <dcterms:modified xsi:type="dcterms:W3CDTF">2014-08-08T19:55:00Z</dcterms:modified>
</cp:coreProperties>
</file>