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e068641ef65c820b7754f19ae14c12f354e50cf"/>
    <w:p>
      <w:pPr>
        <w:pStyle w:val="Heading1"/>
      </w:pPr>
      <w:r>
        <w:t xml:space="preserve">Regulatory speed and diversion risk in U.S. drug markets</w:t>
      </w:r>
    </w:p>
    <w:bookmarkStart w:id="26" w:name="X8fe1a67110cfe02e8d5fdc0820dc1ae377a8827"/>
    <w:p>
      <w:pPr>
        <w:pStyle w:val="Heading2"/>
      </w:pPr>
      <w:r>
        <w:t xml:space="preserve">Why this is a credible and potentially novel economics thesis idea</w:t>
      </w:r>
    </w:p>
    <w:p>
      <w:pPr>
        <w:pStyle w:val="FirstParagraph"/>
      </w:pPr>
      <w:r>
        <w:t xml:space="preserve">A “regulatory speed → downstream diversion/misuse” thesis sits at the intersection of two literatures that usually talk past each other: (i) work on the incentives and safety tradeoffs created by faster pathways at the U.S. Food and Drug Administration</w:t>
      </w:r>
      <w:hyperlink r:id="rId21">
        <w:r>
          <w:rPr>
            <w:rStyle w:val="Hyperlink"/>
          </w:rPr>
          <w:t xml:space="preserve">[1]</w:t>
        </w:r>
      </w:hyperlink>
      <w:r>
        <w:t xml:space="preserve">, and (ii) work on how legal pharmaceutical supply and enforcement interact with illicit markets and “diversion” (movement of legally produced drugs into illegal channels). The FDA itself emphasizes multiple distinct mechanisms intended to “speed” medicines to patients—Fast Track, Breakthrough Therapy, Accelerated Approval, and Priority Review—each with different procedural implications and evidentiary concepts.</w:t>
      </w:r>
      <w:r>
        <w:t xml:space="preserve"> </w:t>
      </w:r>
      <w:hyperlink r:id="rId22">
        <w:r>
          <w:rPr>
            <w:rStyle w:val="Hyperlink"/>
          </w:rPr>
          <w:t xml:space="preserve">[2]</w:t>
        </w:r>
      </w:hyperlink>
    </w:p>
    <w:p>
      <w:pPr>
        <w:pStyle w:val="BodyText"/>
      </w:pPr>
      <w:r>
        <w:t xml:space="preserve">For your specific framing, the central conceptual hook is that “speed” is not just a biomedical/administrative feature; it can be an economic shock to</w:t>
      </w:r>
      <w:r>
        <w:t xml:space="preserve"> </w:t>
      </w:r>
      <w:r>
        <w:rPr>
          <w:b/>
          <w:bCs/>
        </w:rPr>
        <w:t xml:space="preserve">availability</w:t>
      </w:r>
      <w:r>
        <w:t xml:space="preserve"> </w:t>
      </w:r>
      <w:r>
        <w:t xml:space="preserve">(market entry timing),</w:t>
      </w:r>
      <w:r>
        <w:t xml:space="preserve"> </w:t>
      </w:r>
      <w:r>
        <w:rPr>
          <w:b/>
          <w:bCs/>
        </w:rPr>
        <w:t xml:space="preserve">marketing dynamics</w:t>
      </w:r>
      <w:r>
        <w:t xml:space="preserve">, and the</w:t>
      </w:r>
      <w:r>
        <w:t xml:space="preserve"> </w:t>
      </w:r>
      <w:r>
        <w:rPr>
          <w:b/>
          <w:bCs/>
        </w:rPr>
        <w:t xml:space="preserve">composition of products</w:t>
      </w:r>
      <w:r>
        <w:t xml:space="preserve"> </w:t>
      </w:r>
      <w:r>
        <w:t xml:space="preserve">reaching the market (e.g., new formulations, new routes of administration). From an economics standpoint, those shifts can affect opportunities and expected returns for: diversion networks (pill mills, theft, “doctor shopping” loops, gray/black resale), counterfeiting, and other downstream misuse channels—even if the original approval decision was welfare-improving medically.</w:t>
      </w:r>
    </w:p>
    <w:p>
      <w:pPr>
        <w:pStyle w:val="BodyText"/>
      </w:pPr>
      <w:r>
        <w:t xml:space="preserve">Two facts make the idea empirically grounded rather than purely speculative:</w:t>
      </w:r>
    </w:p>
    <w:p>
      <w:pPr>
        <w:pStyle w:val="Compact"/>
        <w:numPr>
          <w:ilvl w:val="0"/>
          <w:numId w:val="1001"/>
        </w:numPr>
      </w:pPr>
      <w:r>
        <w:t xml:space="preserve">Priority Review is explicitly designed around faster FDA action timelines (the agency describes a two-tiered system under PDUFA with a 6‑month goal for priority vs 10‑month for standard).</w:t>
      </w:r>
      <w:r>
        <w:t xml:space="preserve"> </w:t>
      </w:r>
      <w:hyperlink r:id="rId23">
        <w:r>
          <w:rPr>
            <w:rStyle w:val="Hyperlink"/>
          </w:rPr>
          <w:t xml:space="preserve">[3]</w:t>
        </w:r>
      </w:hyperlink>
    </w:p>
    <w:p>
      <w:pPr>
        <w:pStyle w:val="Compact"/>
        <w:numPr>
          <w:ilvl w:val="0"/>
          <w:numId w:val="1001"/>
        </w:numPr>
      </w:pPr>
      <w:r>
        <w:t xml:space="preserve">There are now multiple</w:t>
      </w:r>
      <w:r>
        <w:t xml:space="preserve"> </w:t>
      </w:r>
      <w:r>
        <w:rPr>
          <w:b/>
          <w:bCs/>
        </w:rPr>
        <w:t xml:space="preserve">public, repeatedly updated FDA-produced lists</w:t>
      </w:r>
      <w:r>
        <w:t xml:space="preserve"> </w:t>
      </w:r>
      <w:r>
        <w:t xml:space="preserve">for expedited designations (Fast Track, Breakthrough Therapy) and Accelerated Approvals, and those lists carry identifiers that can be merged into other datasets (application number, established name, approval date, etc.).</w:t>
      </w:r>
      <w:r>
        <w:t xml:space="preserve"> </w:t>
      </w:r>
      <w:hyperlink r:id="rId24">
        <w:r>
          <w:rPr>
            <w:rStyle w:val="Hyperlink"/>
          </w:rPr>
          <w:t xml:space="preserve">[4]</w:t>
        </w:r>
      </w:hyperlink>
    </w:p>
    <w:p>
      <w:pPr>
        <w:pStyle w:val="FirstParagraph"/>
      </w:pPr>
      <w:r>
        <w:t xml:space="preserve">That said, the biggest novelty—and the biggest risk—is</w:t>
      </w:r>
      <w:r>
        <w:t xml:space="preserve"> </w:t>
      </w:r>
      <w:r>
        <w:rPr>
          <w:b/>
          <w:bCs/>
        </w:rPr>
        <w:t xml:space="preserve">credible identification</w:t>
      </w:r>
      <w:r>
        <w:t xml:space="preserve">: faster pathways are not randomly assigned. Drugs that qualify for expedited handling differ systematically (serious conditions, unmet need, certain therapeutic areas), and that selection can correlate with diversion risk.</w:t>
      </w:r>
      <w:r>
        <w:t xml:space="preserve"> </w:t>
      </w:r>
      <w:hyperlink r:id="rId25">
        <w:r>
          <w:rPr>
            <w:rStyle w:val="Hyperlink"/>
          </w:rPr>
          <w:t xml:space="preserve">[5]</w:t>
        </w:r>
      </w:hyperlink>
    </w:p>
    <w:p>
      <w:pPr>
        <w:pStyle w:val="BodyText"/>
      </w:pPr>
      <w:r>
        <w:t xml:space="preserve">A thesis can still contribute “something new” if it clearly states what is identified (causal vs descriptive/associational), uses strong measurement and design choices, and adds a dataset or linkage that the literature hasn’t built.</w:t>
      </w:r>
    </w:p>
    <w:bookmarkEnd w:id="26"/>
    <w:bookmarkStart w:id="41" w:name="X9758f243003b9df4228bf7aa9318d1473b5d20a"/>
    <w:p>
      <w:pPr>
        <w:pStyle w:val="Heading2"/>
      </w:pPr>
      <w:r>
        <w:t xml:space="preserve">What data exist that can actually speak to this question</w:t>
      </w:r>
    </w:p>
    <w:bookmarkStart w:id="30" w:name="X3f2432a0c6ecd4a77155d4e51f60a69f15f745d"/>
    <w:p>
      <w:pPr>
        <w:pStyle w:val="Heading3"/>
      </w:pPr>
      <w:r>
        <w:t xml:space="preserve">FDA-side data: approval timing and “speed” flags</w:t>
      </w:r>
    </w:p>
    <w:p>
      <w:pPr>
        <w:pStyle w:val="FirstParagraph"/>
      </w:pPr>
      <w:r>
        <w:t xml:space="preserve">You have three unusually thesis-friendly FDA data channels:</w:t>
      </w:r>
    </w:p>
    <w:p>
      <w:pPr>
        <w:pStyle w:val="BodyText"/>
      </w:pPr>
      <w:r>
        <w:t xml:space="preserve">The FDA’s</w:t>
      </w:r>
      <w:r>
        <w:t xml:space="preserve"> </w:t>
      </w:r>
      <w:r>
        <w:rPr>
          <w:b/>
          <w:bCs/>
        </w:rPr>
        <w:t xml:space="preserve">Drugs@FDA database download</w:t>
      </w:r>
      <w:r>
        <w:t xml:space="preserve"> </w:t>
      </w:r>
      <w:r>
        <w:t xml:space="preserve">provides a compressed file (drugsatfda.zip) with 12 tables, designed for database/spreadsheet users, and updated each weekday. Critically, the</w:t>
      </w:r>
      <w:r>
        <w:t xml:space="preserve"> </w:t>
      </w:r>
      <w:r>
        <w:rPr>
          <w:i/>
          <w:iCs/>
        </w:rPr>
        <w:t xml:space="preserve">Submissions</w:t>
      </w:r>
      <w:r>
        <w:t xml:space="preserve"> </w:t>
      </w:r>
      <w:r>
        <w:t xml:space="preserve">table explicitly includes</w:t>
      </w:r>
      <w:r>
        <w:t xml:space="preserve"> </w:t>
      </w:r>
      <w:r>
        <w:rPr>
          <w:rStyle w:val="VerbatimChar"/>
        </w:rPr>
        <w:t xml:space="preserve">SubmissionStatusDate</w:t>
      </w:r>
      <w:r>
        <w:t xml:space="preserve"> </w:t>
      </w:r>
      <w:r>
        <w:t xml:space="preserve">and a</w:t>
      </w:r>
      <w:r>
        <w:t xml:space="preserve"> </w:t>
      </w:r>
      <w:r>
        <w:rPr>
          <w:rStyle w:val="VerbatimChar"/>
        </w:rPr>
        <w:t xml:space="preserve">ReviewPriority</w:t>
      </w:r>
      <w:r>
        <w:t xml:space="preserve"> </w:t>
      </w:r>
      <w:r>
        <w:t xml:space="preserve">field (“Standard, Priority, NULL”).</w:t>
      </w:r>
      <w:r>
        <w:t xml:space="preserve"> </w:t>
      </w:r>
      <w:hyperlink r:id="rId27">
        <w:r>
          <w:rPr>
            <w:rStyle w:val="Hyperlink"/>
          </w:rPr>
          <w:t xml:space="preserve">[6]</w:t>
        </w:r>
      </w:hyperlink>
      <w:r>
        <w:t xml:space="preserve"> </w:t>
      </w:r>
      <w:r>
        <w:t xml:space="preserve">This is the cleanest way to scale beyond hand-coding.</w:t>
      </w:r>
    </w:p>
    <w:p>
      <w:pPr>
        <w:pStyle w:val="BodyText"/>
      </w:pPr>
      <w:r>
        <w:t xml:space="preserve">The</w:t>
      </w:r>
      <w:r>
        <w:t xml:space="preserve"> </w:t>
      </w:r>
      <w:r>
        <w:rPr>
          <w:b/>
          <w:bCs/>
        </w:rPr>
        <w:t xml:space="preserve">Fast Track</w:t>
      </w:r>
      <w:r>
        <w:t xml:space="preserve">,</w:t>
      </w:r>
      <w:r>
        <w:t xml:space="preserve"> </w:t>
      </w:r>
      <w:r>
        <w:rPr>
          <w:b/>
          <w:bCs/>
        </w:rPr>
        <w:t xml:space="preserve">Breakthrough Therapy</w:t>
      </w:r>
      <w:r>
        <w:t xml:space="preserve">, and</w:t>
      </w:r>
      <w:r>
        <w:t xml:space="preserve"> </w:t>
      </w:r>
      <w:r>
        <w:rPr>
          <w:b/>
          <w:bCs/>
        </w:rPr>
        <w:t xml:space="preserve">Priority approvals</w:t>
      </w:r>
      <w:r>
        <w:t xml:space="preserve"> </w:t>
      </w:r>
      <w:r>
        <w:t xml:space="preserve">pages publish regularly updated lists of approvals with application identifiers and (at least for Priority approvals) a “review classification” field that can include multiple flags (e.g., Priority and Orphan).</w:t>
      </w:r>
      <w:r>
        <w:t xml:space="preserve"> </w:t>
      </w:r>
      <w:hyperlink r:id="rId24">
        <w:r>
          <w:rPr>
            <w:rStyle w:val="Hyperlink"/>
          </w:rPr>
          <w:t xml:space="preserve">[7]</w:t>
        </w:r>
      </w:hyperlink>
    </w:p>
    <w:p>
      <w:pPr>
        <w:pStyle w:val="BodyText"/>
      </w:pPr>
      <w:r>
        <w:t xml:space="preserve">The</w:t>
      </w:r>
      <w:r>
        <w:t xml:space="preserve"> </w:t>
      </w:r>
      <w:r>
        <w:rPr>
          <w:b/>
          <w:bCs/>
        </w:rPr>
        <w:t xml:space="preserve">Accelerated Approvals</w:t>
      </w:r>
      <w:r>
        <w:t xml:space="preserve"> </w:t>
      </w:r>
      <w:r>
        <w:t xml:space="preserve">lists are particularly useful because they include</w:t>
      </w:r>
      <w:r>
        <w:t xml:space="preserve"> </w:t>
      </w:r>
      <w:r>
        <w:rPr>
          <w:i/>
          <w:iCs/>
        </w:rPr>
        <w:t xml:space="preserve">Received Date</w:t>
      </w:r>
      <w:r>
        <w:t xml:space="preserve"> </w:t>
      </w:r>
      <w:r>
        <w:t xml:space="preserve">and a computed</w:t>
      </w:r>
      <w:r>
        <w:t xml:space="preserve"> </w:t>
      </w:r>
      <w:r>
        <w:rPr>
          <w:i/>
          <w:iCs/>
        </w:rPr>
        <w:t xml:space="preserve">Total Time to Accelerated Approval (Months)</w:t>
      </w:r>
      <w:r>
        <w:t xml:space="preserve">, not just the approval date—so they directly encode a “speed” measure rather than requiring you to infer it.</w:t>
      </w:r>
      <w:r>
        <w:t xml:space="preserve"> </w:t>
      </w:r>
      <w:hyperlink r:id="rId28">
        <w:r>
          <w:rPr>
            <w:rStyle w:val="Hyperlink"/>
          </w:rPr>
          <w:t xml:space="preserve">[8]</w:t>
        </w:r>
      </w:hyperlink>
    </w:p>
    <w:p>
      <w:pPr>
        <w:pStyle w:val="BodyText"/>
      </w:pPr>
      <w:r>
        <w:t xml:space="preserve">A major practical takeaway: if your “speed” variable is</w:t>
      </w:r>
      <w:r>
        <w:t xml:space="preserve"> </w:t>
      </w:r>
      <w:r>
        <w:rPr>
          <w:b/>
          <w:bCs/>
        </w:rPr>
        <w:t xml:space="preserve">Priority vs Standard</w:t>
      </w:r>
      <w:r>
        <w:t xml:space="preserve">, the Drugs@FDA data files are the fastest path. If your “speed” variable is</w:t>
      </w:r>
      <w:r>
        <w:t xml:space="preserve"> </w:t>
      </w:r>
      <w:r>
        <w:rPr>
          <w:b/>
          <w:bCs/>
        </w:rPr>
        <w:t xml:space="preserve">measured review time</w:t>
      </w:r>
      <w:r>
        <w:t xml:space="preserve">, you likely use either (a) the Accelerated Approvals table for AA products, or (b) the FDA’s historical “NDA and BLA Approval Times” report (1993–2016).</w:t>
      </w:r>
      <w:r>
        <w:t xml:space="preserve"> </w:t>
      </w:r>
      <w:hyperlink r:id="rId29">
        <w:r>
          <w:rPr>
            <w:rStyle w:val="Hyperlink"/>
          </w:rPr>
          <w:t xml:space="preserve">[9]</w:t>
        </w:r>
      </w:hyperlink>
    </w:p>
    <w:bookmarkEnd w:id="30"/>
    <w:bookmarkStart w:id="35" w:name="X6bb9baa91b26e2f832fdb5cfdecc293bace58ee"/>
    <w:p>
      <w:pPr>
        <w:pStyle w:val="Heading3"/>
      </w:pPr>
      <w:r>
        <w:t xml:space="preserve">DEA-side data: legal supply at retail level</w:t>
      </w:r>
    </w:p>
    <w:p>
      <w:pPr>
        <w:pStyle w:val="FirstParagraph"/>
      </w:pPr>
      <w:r>
        <w:t xml:space="preserve">Your core “availability/supply” measure can come from ARCOS, which is run by the Drug Enforcement Administration</w:t>
      </w:r>
      <w:hyperlink r:id="rId21">
        <w:r>
          <w:rPr>
            <w:rStyle w:val="Hyperlink"/>
          </w:rPr>
          <w:t xml:space="preserve">[10]</w:t>
        </w:r>
      </w:hyperlink>
      <w:r>
        <w:t xml:space="preserve">. ARCOS is described as monitoring the flow of controlled substances from manufacture through commercial distribution channels to the dispensing/retail level (hospitals, retail pharmacies, practitioners, etc.).</w:t>
      </w:r>
      <w:r>
        <w:t xml:space="preserve"> </w:t>
      </w:r>
      <w:hyperlink r:id="rId31">
        <w:r>
          <w:rPr>
            <w:rStyle w:val="Hyperlink"/>
          </w:rPr>
          <w:t xml:space="preserve">[11]</w:t>
        </w:r>
      </w:hyperlink>
    </w:p>
    <w:p>
      <w:pPr>
        <w:pStyle w:val="BodyText"/>
      </w:pPr>
      <w:r>
        <w:t xml:space="preserve">ARCOS is extremely well-suited for your idea because it is explicitly designed to support diversion monitoring, and regulatory discussions describe ARCOS transaction summaries as informing investigators and helping identify diversion into illicit channels.</w:t>
      </w:r>
      <w:r>
        <w:t xml:space="preserve"> </w:t>
      </w:r>
      <w:hyperlink r:id="rId32">
        <w:r>
          <w:rPr>
            <w:rStyle w:val="Hyperlink"/>
          </w:rPr>
          <w:t xml:space="preserve">[12]</w:t>
        </w:r>
      </w:hyperlink>
    </w:p>
    <w:p>
      <w:pPr>
        <w:pStyle w:val="BodyText"/>
      </w:pPr>
      <w:r>
        <w:t xml:space="preserve">For an undergraduate thesis timeline, the</w:t>
      </w:r>
      <w:r>
        <w:t xml:space="preserve"> </w:t>
      </w:r>
      <w:r>
        <w:rPr>
          <w:b/>
          <w:bCs/>
        </w:rPr>
        <w:t xml:space="preserve">ARCOS Retail Drug Summary Reports</w:t>
      </w:r>
      <w:r>
        <w:t xml:space="preserve"> </w:t>
      </w:r>
      <w:r>
        <w:t xml:space="preserve">are the right level of granularity: they are already aggregated and standardized. The retail summary site defines the structure you saw in the PDFs:</w:t>
      </w:r>
    </w:p>
    <w:p>
      <w:pPr>
        <w:pStyle w:val="Compact"/>
        <w:numPr>
          <w:ilvl w:val="0"/>
          <w:numId w:val="1002"/>
        </w:numPr>
      </w:pPr>
      <w:r>
        <w:t xml:space="preserve">Report 1: distribution by 3‑digit ZIP within state</w:t>
      </w:r>
    </w:p>
    <w:p>
      <w:pPr>
        <w:pStyle w:val="Compact"/>
        <w:numPr>
          <w:ilvl w:val="0"/>
          <w:numId w:val="1002"/>
        </w:numPr>
      </w:pPr>
      <w:r>
        <w:t xml:space="preserve">Report 2: state totals by quarter (total U.S.)</w:t>
      </w:r>
    </w:p>
    <w:p>
      <w:pPr>
        <w:pStyle w:val="Compact"/>
        <w:numPr>
          <w:ilvl w:val="0"/>
          <w:numId w:val="1002"/>
        </w:numPr>
      </w:pPr>
      <w:r>
        <w:t xml:space="preserve">Report 3: quarterly grams per 100K population</w:t>
      </w:r>
    </w:p>
    <w:p>
      <w:pPr>
        <w:pStyle w:val="Compact"/>
        <w:numPr>
          <w:ilvl w:val="0"/>
          <w:numId w:val="1002"/>
        </w:numPr>
      </w:pPr>
      <w:r>
        <w:t xml:space="preserve">Report 4: cumulative grams per 100K population (ranked)</w:t>
      </w:r>
    </w:p>
    <w:p>
      <w:pPr>
        <w:pStyle w:val="Compact"/>
        <w:numPr>
          <w:ilvl w:val="0"/>
          <w:numId w:val="1002"/>
        </w:numPr>
      </w:pPr>
      <w:r>
        <w:t xml:space="preserve">Report 5/7: summary/averages by business activity</w:t>
      </w:r>
      <w:r>
        <w:t xml:space="preserve"> </w:t>
      </w:r>
      <w:hyperlink r:id="rId33">
        <w:r>
          <w:rPr>
            <w:rStyle w:val="Hyperlink"/>
          </w:rPr>
          <w:t xml:space="preserve">[13]</w:t>
        </w:r>
      </w:hyperlink>
    </w:p>
    <w:p>
      <w:pPr>
        <w:pStyle w:val="FirstParagraph"/>
      </w:pPr>
      <w:r>
        <w:t xml:space="preserve">The PDFs also carry important warnings: data can be updated/corrected later, and users are cautioned regarding interpretation.</w:t>
      </w:r>
      <w:r>
        <w:t xml:space="preserve"> </w:t>
      </w:r>
      <w:hyperlink r:id="rId33">
        <w:r>
          <w:rPr>
            <w:rStyle w:val="Hyperlink"/>
          </w:rPr>
          <w:t xml:space="preserve">[14]</w:t>
        </w:r>
      </w:hyperlink>
    </w:p>
    <w:p>
      <w:pPr>
        <w:pStyle w:val="BodyText"/>
      </w:pPr>
      <w:r>
        <w:t xml:space="preserve">Two feasibility flags you should plan around:</w:t>
      </w:r>
    </w:p>
    <w:p>
      <w:pPr>
        <w:pStyle w:val="Compact"/>
        <w:numPr>
          <w:ilvl w:val="0"/>
          <w:numId w:val="1003"/>
        </w:numPr>
      </w:pPr>
      <w:r>
        <w:t xml:space="preserve">ARCOS does</w:t>
      </w:r>
      <w:r>
        <w:t xml:space="preserve"> </w:t>
      </w:r>
      <w:r>
        <w:rPr>
          <w:b/>
          <w:bCs/>
        </w:rPr>
        <w:t xml:space="preserve">not</w:t>
      </w:r>
      <w:r>
        <w:t xml:space="preserve"> </w:t>
      </w:r>
      <w:r>
        <w:t xml:space="preserve">measure patient-level consumption or “sales to ultimate users (patients).” It measures distribution to retail/dispensing registrants.</w:t>
      </w:r>
      <w:r>
        <w:t xml:space="preserve"> </w:t>
      </w:r>
      <w:hyperlink r:id="rId34">
        <w:r>
          <w:rPr>
            <w:rStyle w:val="Hyperlink"/>
          </w:rPr>
          <w:t xml:space="preserve">[15]</w:t>
        </w:r>
      </w:hyperlink>
    </w:p>
    <w:p>
      <w:pPr>
        <w:pStyle w:val="Compact"/>
        <w:numPr>
          <w:ilvl w:val="0"/>
          <w:numId w:val="1003"/>
        </w:numPr>
      </w:pPr>
      <w:r>
        <w:t xml:space="preserve">Some substances can be temporarily missing or revised; for example, the retail summary site notes buprenorphine was temporarily excluded from the 2024 retail reports (to be added later).</w:t>
      </w:r>
      <w:r>
        <w:t xml:space="preserve"> </w:t>
      </w:r>
      <w:hyperlink r:id="rId33">
        <w:r>
          <w:rPr>
            <w:rStyle w:val="Hyperlink"/>
          </w:rPr>
          <w:t xml:space="preserve">[13]</w:t>
        </w:r>
      </w:hyperlink>
    </w:p>
    <w:bookmarkEnd w:id="35"/>
    <w:bookmarkStart w:id="40" w:name="Xb23234856d8071c2f8848ba23d9d93a8f93818f"/>
    <w:p>
      <w:pPr>
        <w:pStyle w:val="Heading3"/>
      </w:pPr>
      <w:r>
        <w:t xml:space="preserve">“Diversion/misuse/cottage industry” outcome data</w:t>
      </w:r>
    </w:p>
    <w:p>
      <w:pPr>
        <w:pStyle w:val="FirstParagraph"/>
      </w:pPr>
      <w:r>
        <w:t xml:space="preserve">No single dataset perfectly measures diversion. You’ll likely triangulate. A realistic outcome menu:</w:t>
      </w:r>
    </w:p>
    <w:p>
      <w:pPr>
        <w:pStyle w:val="BodyText"/>
      </w:pPr>
      <w:r>
        <w:t xml:space="preserve">The United States</w:t>
      </w:r>
      <w:hyperlink r:id="rId36">
        <w:r>
          <w:rPr>
            <w:rStyle w:val="Hyperlink"/>
          </w:rPr>
          <w:t xml:space="preserve">[16]</w:t>
        </w:r>
      </w:hyperlink>
      <w:r>
        <w:t xml:space="preserve"> </w:t>
      </w:r>
      <w:r>
        <w:t xml:space="preserve">National Forensic Laboratory Information System—NFLIS—tracks drugs identified in forensic lab analyses of substances obtained in law enforcement operations. The NFLIS-Drug component began in 1997 and has broad coverage of the national caseload, with DEA materials describing near-national coverage and large annual counts.</w:t>
      </w:r>
      <w:r>
        <w:t xml:space="preserve"> </w:t>
      </w:r>
      <w:hyperlink r:id="rId37">
        <w:r>
          <w:rPr>
            <w:rStyle w:val="Hyperlink"/>
          </w:rPr>
          <w:t xml:space="preserve">[17]</w:t>
        </w:r>
      </w:hyperlink>
    </w:p>
    <w:p>
      <w:pPr>
        <w:pStyle w:val="BodyText"/>
      </w:pPr>
      <w:r>
        <w:t xml:space="preserve">For your purposes, NFLIS is attractive because it is plausibly closer to “illicit market presence” than medical adverse events. But it has well-known interpretation issues:</w:t>
      </w:r>
    </w:p>
    <w:p>
      <w:pPr>
        <w:pStyle w:val="Compact"/>
        <w:numPr>
          <w:ilvl w:val="0"/>
          <w:numId w:val="1004"/>
        </w:numPr>
      </w:pPr>
      <w:r>
        <w:t xml:space="preserve">DEA explicitly warns that</w:t>
      </w:r>
      <w:r>
        <w:t xml:space="preserve"> </w:t>
      </w:r>
      <w:r>
        <w:rPr>
          <w:b/>
          <w:bCs/>
        </w:rPr>
        <w:t xml:space="preserve">raw counts</w:t>
      </w:r>
      <w:r>
        <w:t xml:space="preserve"> </w:t>
      </w:r>
      <w:r>
        <w:t xml:space="preserve">in published tables are affected by the number of reporting labs, and “does not recommend comparing year-to-year trends using raw counts” because differences may reflect reporting changes rather than changes in abuse/trafficking.</w:t>
      </w:r>
      <w:r>
        <w:t xml:space="preserve"> </w:t>
      </w:r>
      <w:hyperlink r:id="rId21">
        <w:r>
          <w:rPr>
            <w:rStyle w:val="Hyperlink"/>
          </w:rPr>
          <w:t xml:space="preserve">[18]</w:t>
        </w:r>
      </w:hyperlink>
    </w:p>
    <w:p>
      <w:pPr>
        <w:pStyle w:val="Compact"/>
        <w:numPr>
          <w:ilvl w:val="0"/>
          <w:numId w:val="1004"/>
        </w:numPr>
      </w:pPr>
      <w:r>
        <w:t xml:space="preserve">The public access pathway has shifted: the NFLIS site describes a “Public Data Query System” that requires registration and agreement to terms of use.</w:t>
      </w:r>
      <w:r>
        <w:t xml:space="preserve"> </w:t>
      </w:r>
      <w:hyperlink r:id="rId38">
        <w:r>
          <w:rPr>
            <w:rStyle w:val="Hyperlink"/>
          </w:rPr>
          <w:t xml:space="preserve">[19]</w:t>
        </w:r>
      </w:hyperlink>
      <w:r>
        <w:t xml:space="preserve"> </w:t>
      </w:r>
      <w:r>
        <w:t xml:space="preserve">The quick reference guide describes export features including CSV and “CSV Raw Data Export,” which is good for a thesis workflow.</w:t>
      </w:r>
      <w:r>
        <w:t xml:space="preserve"> </w:t>
      </w:r>
      <w:hyperlink r:id="rId39">
        <w:r>
          <w:rPr>
            <w:rStyle w:val="Hyperlink"/>
          </w:rPr>
          <w:t xml:space="preserve">[20]</w:t>
        </w:r>
      </w:hyperlink>
    </w:p>
    <w:p>
      <w:pPr>
        <w:pStyle w:val="FirstParagraph"/>
      </w:pPr>
      <w:r>
        <w:t xml:space="preserve">This implies a workable thesis strategy: use</w:t>
      </w:r>
      <w:r>
        <w:t xml:space="preserve"> </w:t>
      </w:r>
      <w:r>
        <w:rPr>
          <w:b/>
          <w:bCs/>
        </w:rPr>
        <w:t xml:space="preserve">rates or shares</w:t>
      </w:r>
      <w:r>
        <w:t xml:space="preserve"> </w:t>
      </w:r>
      <w:r>
        <w:t xml:space="preserve">(e.g., drug X reports divided by all drug reports in that state-year) rather than raw counts, and clearly interpret NFLIS as “law-enforcement-seized-and-tested presence,” not prevalence of use.</w:t>
      </w:r>
    </w:p>
    <w:bookmarkEnd w:id="40"/>
    <w:bookmarkEnd w:id="41"/>
    <w:bookmarkStart w:id="43" w:name="Xc36e6737070f552d722062042f44498764e65bf"/>
    <w:p>
      <w:pPr>
        <w:pStyle w:val="Heading2"/>
      </w:pPr>
      <w:r>
        <w:t xml:space="preserve">A tightly scoped research question that can plausibly be executed in a couple months</w:t>
      </w:r>
    </w:p>
    <w:p>
      <w:pPr>
        <w:pStyle w:val="FirstParagraph"/>
      </w:pPr>
      <w:r>
        <w:t xml:space="preserve">A workable senior-thesis framing needs (i) a question narrow enough to answer, (ii) variation you can plausibly exploit, and (iii) data that merge without heroic hand coding.</w:t>
      </w:r>
    </w:p>
    <w:p>
      <w:pPr>
        <w:pStyle w:val="BodyText"/>
      </w:pPr>
      <w:r>
        <w:t xml:space="preserve">A high-feasibility “main question” that stays faithful to your idea is:</w:t>
      </w:r>
    </w:p>
    <w:p>
      <w:pPr>
        <w:pStyle w:val="BodyText"/>
      </w:pPr>
      <w:r>
        <w:rPr>
          <w:b/>
          <w:bCs/>
        </w:rPr>
        <w:t xml:space="preserve">Main research question</w:t>
      </w:r>
      <w:r>
        <w:br/>
      </w:r>
      <w:r>
        <w:t xml:space="preserve">Do drugs reviewed faster by the FDA (Priority vs Standard review classification) exhibit a faster post-approval growth in retail distribution—and stronger downstream diversion signals—than otherwise comparable drugs, as measured using ARCOS retail distribution and NFLIS drug-report indicators?</w:t>
      </w:r>
    </w:p>
    <w:p>
      <w:pPr>
        <w:pStyle w:val="BodyText"/>
      </w:pPr>
      <w:r>
        <w:t xml:space="preserve">This is constructed to use (a) a</w:t>
      </w:r>
      <w:r>
        <w:t xml:space="preserve"> </w:t>
      </w:r>
      <w:r>
        <w:rPr>
          <w:b/>
          <w:bCs/>
        </w:rPr>
        <w:t xml:space="preserve">repeatable</w:t>
      </w:r>
      <w:r>
        <w:t xml:space="preserve"> </w:t>
      </w:r>
      <w:r>
        <w:t xml:space="preserve">speed label (</w:t>
      </w:r>
      <w:r>
        <w:rPr>
          <w:rStyle w:val="VerbatimChar"/>
        </w:rPr>
        <w:t xml:space="preserve">ReviewPriority</w:t>
      </w:r>
      <w:r>
        <w:t xml:space="preserve">) and (b) “downstream” outcomes that can be quantified consistently across many substances and years.</w:t>
      </w:r>
      <w:r>
        <w:t xml:space="preserve"> </w:t>
      </w:r>
      <w:hyperlink r:id="rId27">
        <w:r>
          <w:rPr>
            <w:rStyle w:val="Hyperlink"/>
          </w:rPr>
          <w:t xml:space="preserve">[21]</w:t>
        </w:r>
      </w:hyperlink>
    </w:p>
    <w:p>
      <w:pPr>
        <w:pStyle w:val="BodyText"/>
      </w:pPr>
      <w:r>
        <w:t xml:space="preserve">Then you make the project “economics-novel” by pushing beyond a single average effect into mechanisms and heterogeneity:</w:t>
      </w:r>
    </w:p>
    <w:p>
      <w:pPr>
        <w:pStyle w:val="BodyText"/>
      </w:pPr>
      <w:r>
        <w:rPr>
          <w:b/>
          <w:bCs/>
        </w:rPr>
        <w:t xml:space="preserve">Sub-questions that are specific and publishable in spirit</w:t>
      </w:r>
    </w:p>
    <w:p>
      <w:pPr>
        <w:pStyle w:val="BodyText"/>
      </w:pPr>
      <w:r>
        <w:t xml:space="preserve">First, “availability channel”: Is the ARCOS growth curve steeper post-approval for Priority-review drugs? This is measurable using Report 3 (grams per 100K per quarter) or Report 2 (state totals per quarter), creating a drug×state×quarter panel.</w:t>
      </w:r>
      <w:r>
        <w:t xml:space="preserve"> </w:t>
      </w:r>
      <w:hyperlink r:id="rId33">
        <w:r>
          <w:rPr>
            <w:rStyle w:val="Hyperlink"/>
          </w:rPr>
          <w:t xml:space="preserve">[14]</w:t>
        </w:r>
      </w:hyperlink>
    </w:p>
    <w:p>
      <w:pPr>
        <w:pStyle w:val="BodyText"/>
      </w:pPr>
      <w:r>
        <w:t xml:space="preserve">Second, “diversion intensity conditional on supply”: Does the ratio of NFLIS drug reports to ARCOS distribution rise more for Priority-review drugs than for Standard-review drugs? This creates a “diversion per unit legal supply” outcome (imperfect, but interpretable as a signal). The NFLIS export features permit state-level panels.</w:t>
      </w:r>
      <w:r>
        <w:t xml:space="preserve"> </w:t>
      </w:r>
      <w:hyperlink r:id="rId39">
        <w:r>
          <w:rPr>
            <w:rStyle w:val="Hyperlink"/>
          </w:rPr>
          <w:t xml:space="preserve">[22]</w:t>
        </w:r>
      </w:hyperlink>
    </w:p>
    <w:p>
      <w:pPr>
        <w:pStyle w:val="BodyText"/>
      </w:pPr>
      <w:r>
        <w:t xml:space="preserve">Third, heterogeneity: Are effects larger for drugs in schedules/classes historically linked to nonmedical use, or for drugs with certain routes/forms that are easier to divert? ARCOS distinguishes drug codes and provides consistent distribution measures across states/quarters.</w:t>
      </w:r>
      <w:r>
        <w:t xml:space="preserve"> </w:t>
      </w:r>
      <w:hyperlink r:id="rId33">
        <w:r>
          <w:rPr>
            <w:rStyle w:val="Hyperlink"/>
          </w:rPr>
          <w:t xml:space="preserve">[23]</w:t>
        </w:r>
      </w:hyperlink>
    </w:p>
    <w:p>
      <w:pPr>
        <w:pStyle w:val="BodyText"/>
      </w:pPr>
      <w:r>
        <w:t xml:space="preserve">Fourth, “policy-relevance test”: Are effects concentrated in higher-risk states (pre-existing high counterfeit/seizure environments as measured by baseline NFLIS shares), consistent with a model where speed/availability interacts with local illicit demand? The NFLIS system is explicitly used to inform policy/enforcement and supports local comparisons when properly normalized.</w:t>
      </w:r>
      <w:r>
        <w:t xml:space="preserve"> </w:t>
      </w:r>
      <w:hyperlink r:id="rId42">
        <w:r>
          <w:rPr>
            <w:rStyle w:val="Hyperlink"/>
          </w:rPr>
          <w:t xml:space="preserve">[24]</w:t>
        </w:r>
      </w:hyperlink>
    </w:p>
    <w:p>
      <w:pPr>
        <w:pStyle w:val="BodyText"/>
      </w:pPr>
      <w:r>
        <w:t xml:space="preserve">This set of questions is realistic because it mostly requires</w:t>
      </w:r>
      <w:r>
        <w:t xml:space="preserve"> </w:t>
      </w:r>
      <w:r>
        <w:rPr>
          <w:b/>
          <w:bCs/>
        </w:rPr>
        <w:t xml:space="preserve">merges and panel construction</w:t>
      </w:r>
      <w:r>
        <w:t xml:space="preserve">, not protected microdata.</w:t>
      </w:r>
    </w:p>
    <w:bookmarkEnd w:id="43"/>
    <w:bookmarkStart w:id="45" w:name="X5225d525034876f6a0964e21d10ae122a5fd35b"/>
    <w:p>
      <w:pPr>
        <w:pStyle w:val="Heading2"/>
      </w:pPr>
      <w:r>
        <w:t xml:space="preserve">What the merged dataset would look like in practice</w:t>
      </w:r>
    </w:p>
    <w:p>
      <w:pPr>
        <w:pStyle w:val="FirstParagraph"/>
      </w:pPr>
      <w:r>
        <w:t xml:space="preserve">At the end of your data assembly, you want a panel that is structured for event-time analysis:</w:t>
      </w:r>
    </w:p>
    <w:p>
      <w:pPr>
        <w:pStyle w:val="BodyText"/>
      </w:pPr>
      <w:r>
        <w:rPr>
          <w:b/>
          <w:bCs/>
        </w:rPr>
        <w:t xml:space="preserve">Unit of observation</w:t>
      </w:r>
      <w:r>
        <w:t xml:space="preserve">: (active ingredient or ARCOS drug code) × state × quarter (or year)</w:t>
      </w:r>
      <w:r>
        <w:br/>
      </w:r>
      <w:r>
        <w:rPr>
          <w:b/>
          <w:bCs/>
        </w:rPr>
        <w:t xml:space="preserve">Time</w:t>
      </w:r>
      <w:r>
        <w:t xml:space="preserve">: 2007–2024 is plausible if you rely on the modern ARCOS retail summaries and state-level NFLIS coverage noted publicly, but you may harmonize to 2007–2022 if NFLIS exports constrain you.</w:t>
      </w:r>
      <w:r>
        <w:t xml:space="preserve"> </w:t>
      </w:r>
      <w:hyperlink r:id="rId33">
        <w:r>
          <w:rPr>
            <w:rStyle w:val="Hyperlink"/>
          </w:rPr>
          <w:t xml:space="preserve">[25]</w:t>
        </w:r>
      </w:hyperlink>
    </w:p>
    <w:p>
      <w:pPr>
        <w:pStyle w:val="BodyText"/>
      </w:pPr>
      <w:r>
        <w:rPr>
          <w:b/>
          <w:bCs/>
        </w:rPr>
        <w:t xml:space="preserve">Key variables</w:t>
      </w:r>
    </w:p>
    <w:p>
      <w:pPr>
        <w:pStyle w:val="Compact"/>
        <w:numPr>
          <w:ilvl w:val="0"/>
          <w:numId w:val="1005"/>
        </w:numPr>
      </w:pPr>
      <w:r>
        <w:t xml:space="preserve">Regulatory speed:</w:t>
      </w:r>
    </w:p>
    <w:p>
      <w:pPr>
        <w:pStyle w:val="Compact"/>
        <w:numPr>
          <w:ilvl w:val="0"/>
          <w:numId w:val="1005"/>
        </w:numPr>
      </w:pPr>
      <w:r>
        <w:rPr>
          <w:rStyle w:val="VerbatimChar"/>
        </w:rPr>
        <w:t xml:space="preserve">priority_review</w:t>
      </w:r>
      <w:r>
        <w:t xml:space="preserve"> </w:t>
      </w:r>
      <w:r>
        <w:t xml:space="preserve">from Drugs@FDA Submissions table (</w:t>
      </w:r>
      <w:r>
        <w:rPr>
          <w:rStyle w:val="VerbatimChar"/>
        </w:rPr>
        <w:t xml:space="preserve">ReviewPriority</w:t>
      </w:r>
      <w:r>
        <w:t xml:space="preserve">).</w:t>
      </w:r>
      <w:r>
        <w:t xml:space="preserve"> </w:t>
      </w:r>
      <w:hyperlink r:id="rId27">
        <w:r>
          <w:rPr>
            <w:rStyle w:val="Hyperlink"/>
          </w:rPr>
          <w:t xml:space="preserve">[6]</w:t>
        </w:r>
      </w:hyperlink>
    </w:p>
    <w:p>
      <w:pPr>
        <w:numPr>
          <w:ilvl w:val="0"/>
          <w:numId w:val="1005"/>
        </w:numPr>
      </w:pPr>
      <w:r>
        <w:t xml:space="preserve">Optionally, measured review time where available (e.g., AA lists include “Total Time to Accelerated Approval (Months)”).</w:t>
      </w:r>
      <w:r>
        <w:t xml:space="preserve"> </w:t>
      </w:r>
      <w:hyperlink r:id="rId28">
        <w:r>
          <w:rPr>
            <w:rStyle w:val="Hyperlink"/>
          </w:rPr>
          <w:t xml:space="preserve">[26]</w:t>
        </w:r>
      </w:hyperlink>
    </w:p>
    <w:p>
      <w:pPr>
        <w:numPr>
          <w:ilvl w:val="0"/>
          <w:numId w:val="1005"/>
        </w:numPr>
      </w:pPr>
      <w:r>
        <w:t xml:space="preserve">Market entry timing:</w:t>
      </w:r>
    </w:p>
    <w:p>
      <w:pPr>
        <w:numPr>
          <w:ilvl w:val="0"/>
          <w:numId w:val="1005"/>
        </w:numPr>
      </w:pPr>
      <w:r>
        <w:rPr>
          <w:rStyle w:val="VerbatimChar"/>
        </w:rPr>
        <w:t xml:space="preserve">approval_date</w:t>
      </w:r>
      <w:r>
        <w:t xml:space="preserve"> </w:t>
      </w:r>
      <w:r>
        <w:t xml:space="preserve">/</w:t>
      </w:r>
      <w:r>
        <w:t xml:space="preserve"> </w:t>
      </w:r>
      <w:r>
        <w:rPr>
          <w:rStyle w:val="VerbatimChar"/>
        </w:rPr>
        <w:t xml:space="preserve">approval_year</w:t>
      </w:r>
      <w:r>
        <w:t xml:space="preserve"> </w:t>
      </w:r>
      <w:r>
        <w:t xml:space="preserve">from Drugs@FDA submissions status dates (approved status) or the FDA’s expedited approval lists.</w:t>
      </w:r>
      <w:r>
        <w:t xml:space="preserve"> </w:t>
      </w:r>
      <w:hyperlink r:id="rId44">
        <w:r>
          <w:rPr>
            <w:rStyle w:val="Hyperlink"/>
          </w:rPr>
          <w:t xml:space="preserve">[27]</w:t>
        </w:r>
      </w:hyperlink>
    </w:p>
    <w:p>
      <w:pPr>
        <w:numPr>
          <w:ilvl w:val="0"/>
          <w:numId w:val="1005"/>
        </w:numPr>
      </w:pPr>
      <w:r>
        <w:t xml:space="preserve">Supply:</w:t>
      </w:r>
    </w:p>
    <w:p>
      <w:pPr>
        <w:numPr>
          <w:ilvl w:val="0"/>
          <w:numId w:val="1005"/>
        </w:numPr>
      </w:pPr>
      <w:r>
        <w:rPr>
          <w:rStyle w:val="VerbatimChar"/>
        </w:rPr>
        <w:t xml:space="preserve">arcos_grams_per_100k</w:t>
      </w:r>
      <w:r>
        <w:t xml:space="preserve"> </w:t>
      </w:r>
      <w:r>
        <w:t xml:space="preserve">by state-quarter (Report 3), or</w:t>
      </w:r>
      <w:r>
        <w:t xml:space="preserve"> </w:t>
      </w:r>
      <w:r>
        <w:rPr>
          <w:rStyle w:val="VerbatimChar"/>
        </w:rPr>
        <w:t xml:space="preserve">arcos_total_grams</w:t>
      </w:r>
      <w:r>
        <w:t xml:space="preserve"> </w:t>
      </w:r>
      <w:r>
        <w:t xml:space="preserve">(Report 2), and optionally ZIP3 detail (Report 1) if you want a geographic map result.</w:t>
      </w:r>
      <w:r>
        <w:t xml:space="preserve"> </w:t>
      </w:r>
      <w:hyperlink r:id="rId33">
        <w:r>
          <w:rPr>
            <w:rStyle w:val="Hyperlink"/>
          </w:rPr>
          <w:t xml:space="preserve">[14]</w:t>
        </w:r>
      </w:hyperlink>
    </w:p>
    <w:p>
      <w:pPr>
        <w:numPr>
          <w:ilvl w:val="0"/>
          <w:numId w:val="1005"/>
        </w:numPr>
      </w:pPr>
      <w:r>
        <w:t xml:space="preserve">Diversion/misuse proxy:</w:t>
      </w:r>
    </w:p>
    <w:p>
      <w:pPr>
        <w:pStyle w:val="Compact"/>
        <w:numPr>
          <w:ilvl w:val="0"/>
          <w:numId w:val="1005"/>
        </w:numPr>
      </w:pPr>
      <w:r>
        <w:rPr>
          <w:rStyle w:val="VerbatimChar"/>
        </w:rPr>
        <w:t xml:space="preserve">nflis_reports_share</w:t>
      </w:r>
      <w:r>
        <w:t xml:space="preserve"> </w:t>
      </w:r>
      <w:r>
        <w:t xml:space="preserve">= drug X reports / total reports, by state-year or state-quarter, exported from the NFLIS Public DQS.</w:t>
      </w:r>
      <w:r>
        <w:t xml:space="preserve"> </w:t>
      </w:r>
      <w:hyperlink r:id="rId39">
        <w:r>
          <w:rPr>
            <w:rStyle w:val="Hyperlink"/>
          </w:rPr>
          <w:t xml:space="preserve">[28]</w:t>
        </w:r>
      </w:hyperlink>
    </w:p>
    <w:p>
      <w:pPr>
        <w:pStyle w:val="FirstParagraph"/>
      </w:pPr>
      <w:r>
        <w:rPr>
          <w:b/>
          <w:bCs/>
        </w:rPr>
        <w:t xml:space="preserve">Merge keys</w:t>
      </w:r>
    </w:p>
    <w:p>
      <w:pPr>
        <w:pStyle w:val="BodyText"/>
      </w:pPr>
      <w:r>
        <w:t xml:space="preserve">This is the main “data engineering” challenge. In economic terms, it’s a classic crosswalk problem:</w:t>
      </w:r>
    </w:p>
    <w:p>
      <w:pPr>
        <w:pStyle w:val="Compact"/>
        <w:numPr>
          <w:ilvl w:val="0"/>
          <w:numId w:val="1006"/>
        </w:numPr>
      </w:pPr>
      <w:r>
        <w:t xml:space="preserve">ARCOS uses DEA drug codes and drug names; FDA uses established names and application numbers.</w:t>
      </w:r>
    </w:p>
    <w:p>
      <w:pPr>
        <w:pStyle w:val="Compact"/>
        <w:numPr>
          <w:ilvl w:val="0"/>
          <w:numId w:val="1006"/>
        </w:numPr>
      </w:pPr>
      <w:r>
        <w:t xml:space="preserve">The practical strategy is to define canonical substance names (active ingredient strings) and build a mapping table that you audit manually for your final sample (e.g., the top 20–40 substances by ARCOS retail volume, plus all newly approved controlled substances). The ARCOS retail reports are consistent in naming, and FDA’s lists provide “Established Name.”</w:t>
      </w:r>
      <w:r>
        <w:t xml:space="preserve"> </w:t>
      </w:r>
      <w:hyperlink r:id="rId33">
        <w:r>
          <w:rPr>
            <w:rStyle w:val="Hyperlink"/>
          </w:rPr>
          <w:t xml:space="preserve">[29]</w:t>
        </w:r>
      </w:hyperlink>
    </w:p>
    <w:p>
      <w:pPr>
        <w:pStyle w:val="FirstParagraph"/>
      </w:pPr>
      <w:r>
        <w:t xml:space="preserve">This is feasible in weeks, not months, if you constrain your substance list.</w:t>
      </w:r>
    </w:p>
    <w:bookmarkEnd w:id="45"/>
    <w:bookmarkStart w:id="48" w:name="X048683d1fbfaac6d36a562c18e154f4472fd3db"/>
    <w:p>
      <w:pPr>
        <w:pStyle w:val="Heading2"/>
      </w:pPr>
      <w:r>
        <w:t xml:space="preserve">What Figure 1 and Table 1 would plausibly be, and how hard they are to build</w:t>
      </w:r>
    </w:p>
    <w:bookmarkStart w:id="46" w:name="table-1-concept"/>
    <w:p>
      <w:pPr>
        <w:pStyle w:val="Heading3"/>
      </w:pPr>
      <w:r>
        <w:t xml:space="preserve">Table 1 concept</w:t>
      </w:r>
    </w:p>
    <w:p>
      <w:pPr>
        <w:pStyle w:val="FirstParagraph"/>
      </w:pPr>
      <w:r>
        <w:t xml:space="preserve">Table 1 should convince a reader that (a) you have credible data coverage, and (b) “speed” is meaningfully different between groups.</w:t>
      </w:r>
    </w:p>
    <w:p>
      <w:pPr>
        <w:pStyle w:val="BodyText"/>
      </w:pPr>
      <w:r>
        <w:t xml:space="preserve">A strong Table 1 for this project is a</w:t>
      </w:r>
      <w:r>
        <w:t xml:space="preserve"> </w:t>
      </w:r>
      <w:r>
        <w:rPr>
          <w:b/>
          <w:bCs/>
        </w:rPr>
        <w:t xml:space="preserve">summary statistics and balance table</w:t>
      </w:r>
      <w:r>
        <w:t xml:space="preserve"> </w:t>
      </w:r>
      <w:r>
        <w:t xml:space="preserve">at the drug level, with columns like:</w:t>
      </w:r>
    </w:p>
    <w:p>
      <w:pPr>
        <w:pStyle w:val="Compact"/>
        <w:numPr>
          <w:ilvl w:val="0"/>
          <w:numId w:val="1007"/>
        </w:numPr>
      </w:pPr>
      <w:r>
        <w:t xml:space="preserve">Number of FDA-approved “treated” (Priority) vs “control” (Standard) drugs in your ARCOS-linked sample</w:t>
      </w:r>
    </w:p>
    <w:p>
      <w:pPr>
        <w:pStyle w:val="Compact"/>
        <w:numPr>
          <w:ilvl w:val="0"/>
          <w:numId w:val="1007"/>
        </w:numPr>
      </w:pPr>
      <w:r>
        <w:t xml:space="preserve">Mean/median ARCOS distribution in the first 4 quarters post-approval</w:t>
      </w:r>
    </w:p>
    <w:p>
      <w:pPr>
        <w:pStyle w:val="Compact"/>
        <w:numPr>
          <w:ilvl w:val="0"/>
          <w:numId w:val="1007"/>
        </w:numPr>
      </w:pPr>
      <w:r>
        <w:t xml:space="preserve">Mean/median NFLIS report share in years 1–3 post-approval</w:t>
      </w:r>
    </w:p>
    <w:p>
      <w:pPr>
        <w:pStyle w:val="Compact"/>
        <w:numPr>
          <w:ilvl w:val="0"/>
          <w:numId w:val="1007"/>
        </w:numPr>
      </w:pPr>
      <w:r>
        <w:t xml:space="preserve">Share of drugs in each DEA schedule category (if you restrict to ARCOS-covered substances)</w:t>
      </w:r>
    </w:p>
    <w:p>
      <w:pPr>
        <w:pStyle w:val="Compact"/>
        <w:numPr>
          <w:ilvl w:val="0"/>
          <w:numId w:val="1007"/>
        </w:numPr>
      </w:pPr>
      <w:r>
        <w:t xml:space="preserve">Approval year distribution (to show you’re not comparing different eras in a way that drives results)</w:t>
      </w:r>
    </w:p>
    <w:p>
      <w:pPr>
        <w:pStyle w:val="FirstParagraph"/>
      </w:pPr>
      <w:r>
        <w:t xml:space="preserve">You can motivate Priority vs Standard directly using FDA’s description that Priority Review carries a shorter goal timeline than Standard Review.</w:t>
      </w:r>
      <w:r>
        <w:t xml:space="preserve"> </w:t>
      </w:r>
      <w:hyperlink r:id="rId23">
        <w:r>
          <w:rPr>
            <w:rStyle w:val="Hyperlink"/>
          </w:rPr>
          <w:t xml:space="preserve">[3]</w:t>
        </w:r>
      </w:hyperlink>
    </w:p>
    <w:p>
      <w:pPr>
        <w:pStyle w:val="BodyText"/>
      </w:pPr>
      <w:r>
        <w:t xml:space="preserve">Feasibility: once your merge is done, Table 1 is “low marginal cost.” The hard part is the crosswalk and deciding the sample (which substances are included).</w:t>
      </w:r>
    </w:p>
    <w:bookmarkEnd w:id="46"/>
    <w:bookmarkStart w:id="47" w:name="figure-1-concept"/>
    <w:p>
      <w:pPr>
        <w:pStyle w:val="Heading3"/>
      </w:pPr>
      <w:r>
        <w:t xml:space="preserve">Figure 1 concept</w:t>
      </w:r>
    </w:p>
    <w:p>
      <w:pPr>
        <w:pStyle w:val="FirstParagraph"/>
      </w:pPr>
      <w:r>
        <w:t xml:space="preserve">Figure 1 should visualize the core hypothesis. The most informative version is an</w:t>
      </w:r>
      <w:r>
        <w:t xml:space="preserve"> </w:t>
      </w:r>
      <w:r>
        <w:rPr>
          <w:b/>
          <w:bCs/>
        </w:rPr>
        <w:t xml:space="preserve">event-study plot</w:t>
      </w:r>
      <w:r>
        <w:t xml:space="preserve">:</w:t>
      </w:r>
    </w:p>
    <w:p>
      <w:pPr>
        <w:pStyle w:val="Compact"/>
        <w:numPr>
          <w:ilvl w:val="0"/>
          <w:numId w:val="1008"/>
        </w:numPr>
      </w:pPr>
      <w:r>
        <w:t xml:space="preserve">x-axis: quarters relative to approval (−8 to +12, for example)</w:t>
      </w:r>
    </w:p>
    <w:p>
      <w:pPr>
        <w:pStyle w:val="Compact"/>
        <w:numPr>
          <w:ilvl w:val="0"/>
          <w:numId w:val="1008"/>
        </w:numPr>
      </w:pPr>
      <w:r>
        <w:t xml:space="preserve">y-axis: ARCOS grams per 100K population (or log grams per 100K)</w:t>
      </w:r>
    </w:p>
    <w:p>
      <w:pPr>
        <w:pStyle w:val="Compact"/>
        <w:numPr>
          <w:ilvl w:val="0"/>
          <w:numId w:val="1008"/>
        </w:numPr>
      </w:pPr>
      <w:r>
        <w:t xml:space="preserve">two lines: Priority-review vs Standard-review</w:t>
      </w:r>
    </w:p>
    <w:p>
      <w:pPr>
        <w:pStyle w:val="Compact"/>
        <w:numPr>
          <w:ilvl w:val="0"/>
          <w:numId w:val="1008"/>
        </w:numPr>
      </w:pPr>
      <w:r>
        <w:t xml:space="preserve">with confidence intervals</w:t>
      </w:r>
    </w:p>
    <w:p>
      <w:pPr>
        <w:pStyle w:val="FirstParagraph"/>
      </w:pPr>
      <w:r>
        <w:t xml:space="preserve">You can build ARCOS outcome at a quarterly frequency from Report 3, which is explicitly “grams per 100K population, by quarter.”</w:t>
      </w:r>
      <w:r>
        <w:t xml:space="preserve"> </w:t>
      </w:r>
      <w:hyperlink r:id="rId33">
        <w:r>
          <w:rPr>
            <w:rStyle w:val="Hyperlink"/>
          </w:rPr>
          <w:t xml:space="preserve">[14]</w:t>
        </w:r>
      </w:hyperlink>
    </w:p>
    <w:p>
      <w:pPr>
        <w:pStyle w:val="BodyText"/>
      </w:pPr>
      <w:r>
        <w:t xml:space="preserve">A companion Figure 1B (optional, depending on time) overlays or separately plots the normalized NFLIS outcome (e.g., share of reports) around approval. Because NFLIS interpretation depends on lab reporting and enforcement intensity, you’d explicitly label this as “seizure/lab identification signal,” not “use.”</w:t>
      </w:r>
      <w:r>
        <w:t xml:space="preserve"> </w:t>
      </w:r>
      <w:hyperlink r:id="rId21">
        <w:r>
          <w:rPr>
            <w:rStyle w:val="Hyperlink"/>
          </w:rPr>
          <w:t xml:space="preserve">[30]</w:t>
        </w:r>
      </w:hyperlink>
    </w:p>
    <w:p>
      <w:pPr>
        <w:pStyle w:val="BodyText"/>
      </w:pPr>
      <w:r>
        <w:t xml:space="preserve">Feasibility: medium. The event-time construction and estimator choice are the main costs, not the plotting.</w:t>
      </w:r>
    </w:p>
    <w:bookmarkEnd w:id="47"/>
    <w:bookmarkEnd w:id="48"/>
    <w:bookmarkStart w:id="53" w:name="X2fae0280b6b6adcdff55f2f003edd54536837dc"/>
    <w:p>
      <w:pPr>
        <w:pStyle w:val="Heading2"/>
      </w:pPr>
      <w:r>
        <w:t xml:space="preserve">Econometric rigor: what you can credibly identify, and the main threats</w:t>
      </w:r>
    </w:p>
    <w:bookmarkStart w:id="49" w:name="X5f0e9cdaf16055644a71954af9973c02f545306"/>
    <w:p>
      <w:pPr>
        <w:pStyle w:val="Heading3"/>
      </w:pPr>
      <w:r>
        <w:t xml:space="preserve">The biggest identification problem: selection into faster review</w:t>
      </w:r>
    </w:p>
    <w:p>
      <w:pPr>
        <w:pStyle w:val="FirstParagraph"/>
      </w:pPr>
      <w:r>
        <w:t xml:space="preserve">Priority Review, Fast Track, Breakthrough Therapy, and Accelerated Approval are designed for serious conditions/unmet need, and thus are endogenous to expected clinical value and disease context.</w:t>
      </w:r>
      <w:r>
        <w:t xml:space="preserve"> </w:t>
      </w:r>
      <w:hyperlink r:id="rId25">
        <w:r>
          <w:rPr>
            <w:rStyle w:val="Hyperlink"/>
          </w:rPr>
          <w:t xml:space="preserve">[31]</w:t>
        </w:r>
      </w:hyperlink>
    </w:p>
    <w:p>
      <w:pPr>
        <w:pStyle w:val="BodyText"/>
      </w:pPr>
      <w:r>
        <w:t xml:space="preserve">That creates a risk that any observed “post-approval diversion signal” is actually driven by correlated factors (e.g., patient population size, marketing intensity, substitution patterns), not speed per se.</w:t>
      </w:r>
    </w:p>
    <w:p>
      <w:pPr>
        <w:pStyle w:val="BodyText"/>
      </w:pPr>
      <w:r>
        <w:t xml:space="preserve">A credible thesis handles this by:</w:t>
      </w:r>
    </w:p>
    <w:p>
      <w:pPr>
        <w:pStyle w:val="Compact"/>
        <w:numPr>
          <w:ilvl w:val="0"/>
          <w:numId w:val="1009"/>
        </w:numPr>
      </w:pPr>
      <w:r>
        <w:t xml:space="preserve">being explicit that the baseline estimates are “reduced-form associations conditional on fixed effects and controls,” and</w:t>
      </w:r>
    </w:p>
    <w:p>
      <w:pPr>
        <w:pStyle w:val="Compact"/>
        <w:numPr>
          <w:ilvl w:val="0"/>
          <w:numId w:val="1009"/>
        </w:numPr>
      </w:pPr>
      <w:r>
        <w:t xml:space="preserve">adding designs that tighten the counterfactual.</w:t>
      </w:r>
    </w:p>
    <w:bookmarkEnd w:id="49"/>
    <w:bookmarkStart w:id="51" w:name="Xc0af2a2fc573bb77bafaa3e8013891f07b19401"/>
    <w:p>
      <w:pPr>
        <w:pStyle w:val="Heading3"/>
      </w:pPr>
      <w:r>
        <w:t xml:space="preserve">A design that is rigorous enough for a senior thesis</w:t>
      </w:r>
    </w:p>
    <w:p>
      <w:pPr>
        <w:pStyle w:val="FirstParagraph"/>
      </w:pPr>
      <w:r>
        <w:t xml:space="preserve">The most defensible approach with your intended panel is a</w:t>
      </w:r>
      <w:r>
        <w:t xml:space="preserve"> </w:t>
      </w:r>
      <w:r>
        <w:rPr>
          <w:b/>
          <w:bCs/>
        </w:rPr>
        <w:t xml:space="preserve">stacked/staggered event-study DiD style</w:t>
      </w:r>
      <w:r>
        <w:t xml:space="preserve"> </w:t>
      </w:r>
      <w:r>
        <w:t xml:space="preserve">where treatment is adoption at a drug’s approval date, and you compare dynamics by review classification.</w:t>
      </w:r>
    </w:p>
    <w:p>
      <w:pPr>
        <w:pStyle w:val="BodyText"/>
      </w:pPr>
      <w:r>
        <w:t xml:space="preserve">However, staggered adoption DiD has known pitfalls with two-way fixed effects when treatment effects are heterogeneous over time; modern methodological work shows TWFE can yield unintuitive weights and bias in staggered settings.</w:t>
      </w:r>
      <w:r>
        <w:t xml:space="preserve"> </w:t>
      </w:r>
      <w:hyperlink r:id="rId50">
        <w:r>
          <w:rPr>
            <w:rStyle w:val="Hyperlink"/>
          </w:rPr>
          <w:t xml:space="preserve">[32]</w:t>
        </w:r>
      </w:hyperlink>
    </w:p>
    <w:p>
      <w:pPr>
        <w:pStyle w:val="BodyText"/>
      </w:pPr>
      <w:r>
        <w:t xml:space="preserve">So, “rigor” here means:</w:t>
      </w:r>
    </w:p>
    <w:p>
      <w:pPr>
        <w:pStyle w:val="Compact"/>
        <w:numPr>
          <w:ilvl w:val="0"/>
          <w:numId w:val="1010"/>
        </w:numPr>
      </w:pPr>
      <w:r>
        <w:t xml:space="preserve">either using a modern estimator that is robust to cohort heterogeneity (or at minimum diagnosing TWFE behavior carefully), and</w:t>
      </w:r>
    </w:p>
    <w:p>
      <w:pPr>
        <w:pStyle w:val="Compact"/>
        <w:numPr>
          <w:ilvl w:val="0"/>
          <w:numId w:val="1010"/>
        </w:numPr>
      </w:pPr>
      <w:r>
        <w:t xml:space="preserve">reporting pre-trends (where meaningful) and placebo tests.</w:t>
      </w:r>
    </w:p>
    <w:p>
      <w:pPr>
        <w:pStyle w:val="FirstParagraph"/>
      </w:pPr>
      <w:r>
        <w:t xml:space="preserve">For your specific application, pre-trends are tricky because a newly approved controlled substance may have near-zero retail distribution pre-approval by construction. That doesn’t invalidate the design, but it means you need to frame Figure 1 as comparing</w:t>
      </w:r>
      <w:r>
        <w:t xml:space="preserve"> </w:t>
      </w:r>
      <w:r>
        <w:rPr>
          <w:b/>
          <w:bCs/>
        </w:rPr>
        <w:t xml:space="preserve">post-approval trajectories</w:t>
      </w:r>
      <w:r>
        <w:t xml:space="preserve"> </w:t>
      </w:r>
      <w:r>
        <w:t xml:space="preserve">rather than “pre/post deviations from a stable baseline.”</w:t>
      </w:r>
    </w:p>
    <w:bookmarkEnd w:id="51"/>
    <w:bookmarkStart w:id="52" w:name="X7304f6a7cefbefefc131ba791226fe064691724"/>
    <w:p>
      <w:pPr>
        <w:pStyle w:val="Heading3"/>
      </w:pPr>
      <w:r>
        <w:t xml:space="preserve">Measurement threats (and how you address them)</w:t>
      </w:r>
    </w:p>
    <w:p>
      <w:pPr>
        <w:pStyle w:val="FirstParagraph"/>
      </w:pPr>
      <w:r>
        <w:t xml:space="preserve">ARCOS is distribution to retail/dispensing points, not final patient consumption, and DEA explicitly states ARCOS does not contain sales to “ultimate users (patients).”</w:t>
      </w:r>
      <w:r>
        <w:t xml:space="preserve"> </w:t>
      </w:r>
      <w:hyperlink r:id="rId34">
        <w:r>
          <w:rPr>
            <w:rStyle w:val="Hyperlink"/>
          </w:rPr>
          <w:t xml:space="preserve">[15]</w:t>
        </w:r>
      </w:hyperlink>
      <w:r>
        <w:t xml:space="preserve"> </w:t>
      </w:r>
      <w:r>
        <w:t xml:space="preserve">That means ARCOS is best interpreted as</w:t>
      </w:r>
      <w:r>
        <w:t xml:space="preserve"> </w:t>
      </w:r>
      <w:r>
        <w:rPr>
          <w:i/>
          <w:iCs/>
        </w:rPr>
        <w:t xml:space="preserve">legal supply/availability</w:t>
      </w:r>
      <w:r>
        <w:t xml:space="preserve">, not misuse.</w:t>
      </w:r>
    </w:p>
    <w:p>
      <w:pPr>
        <w:pStyle w:val="BodyText"/>
      </w:pPr>
      <w:r>
        <w:t xml:space="preserve">NFLIS reflects lab-tested drugs from law enforcement submissions; DEA warns against naive year-to-year raw-count comparisons because lab participation changes and can dominate apparent trends.</w:t>
      </w:r>
      <w:r>
        <w:t xml:space="preserve"> </w:t>
      </w:r>
      <w:hyperlink r:id="rId21">
        <w:r>
          <w:rPr>
            <w:rStyle w:val="Hyperlink"/>
          </w:rPr>
          <w:t xml:space="preserve">[30]</w:t>
        </w:r>
      </w:hyperlink>
    </w:p>
    <w:p>
      <w:pPr>
        <w:pStyle w:val="BodyText"/>
      </w:pPr>
      <w:r>
        <w:t xml:space="preserve">These two facts push you toward outcomes like:</w:t>
      </w:r>
    </w:p>
    <w:p>
      <w:pPr>
        <w:pStyle w:val="Compact"/>
        <w:numPr>
          <w:ilvl w:val="0"/>
          <w:numId w:val="1011"/>
        </w:numPr>
      </w:pPr>
      <w:r>
        <w:t xml:space="preserve">ARCOS-based outcomes: distribution level and growth (cleaner measurement)</w:t>
      </w:r>
    </w:p>
    <w:p>
      <w:pPr>
        <w:pStyle w:val="Compact"/>
        <w:numPr>
          <w:ilvl w:val="0"/>
          <w:numId w:val="1011"/>
        </w:numPr>
      </w:pPr>
      <w:r>
        <w:t xml:space="preserve">NFLIS-based outcomes: normalized shares or rates (less sensitive to lab coverage)</w:t>
      </w:r>
    </w:p>
    <w:p>
      <w:pPr>
        <w:pStyle w:val="FirstParagraph"/>
      </w:pPr>
      <w:r>
        <w:t xml:space="preserve">The thesis contribution can be precisely that: producing a careful, documented linkage of regulatory timing to</w:t>
      </w:r>
      <w:r>
        <w:t xml:space="preserve"> </w:t>
      </w:r>
      <w:r>
        <w:rPr>
          <w:i/>
          <w:iCs/>
        </w:rPr>
        <w:t xml:space="preserve">both</w:t>
      </w:r>
      <w:r>
        <w:t xml:space="preserve"> </w:t>
      </w:r>
      <w:r>
        <w:t xml:space="preserve">supply-side and illicit-presence proxies, with appropriate normalization and caveats.</w:t>
      </w:r>
    </w:p>
    <w:bookmarkEnd w:id="52"/>
    <w:bookmarkEnd w:id="53"/>
    <w:bookmarkStart w:id="58" w:name="X6c59022e26b5aa15e9de8b8fa165c16f14866b4"/>
    <w:p>
      <w:pPr>
        <w:pStyle w:val="Heading2"/>
      </w:pPr>
      <w:r>
        <w:t xml:space="preserve">Realistic feasibility in a couple of months, and what “success” looks like</w:t>
      </w:r>
    </w:p>
    <w:bookmarkStart w:id="54" w:name="what-is-quick-vs-slow-in-this-project"/>
    <w:p>
      <w:pPr>
        <w:pStyle w:val="Heading3"/>
      </w:pPr>
      <w:r>
        <w:t xml:space="preserve">What is “quick” vs “slow” in this project</w:t>
      </w:r>
    </w:p>
    <w:p>
      <w:pPr>
        <w:pStyle w:val="FirstParagraph"/>
      </w:pPr>
      <w:r>
        <w:t xml:space="preserve">Quick components (days to 1–2 weeks):</w:t>
      </w:r>
    </w:p>
    <w:p>
      <w:pPr>
        <w:pStyle w:val="Compact"/>
        <w:numPr>
          <w:ilvl w:val="0"/>
          <w:numId w:val="1012"/>
        </w:numPr>
      </w:pPr>
      <w:r>
        <w:t xml:space="preserve">Pulling FDA review classification and approval dates from the Drugs@FDA downloadable tables.</w:t>
      </w:r>
      <w:r>
        <w:t xml:space="preserve"> </w:t>
      </w:r>
      <w:hyperlink r:id="rId27">
        <w:r>
          <w:rPr>
            <w:rStyle w:val="Hyperlink"/>
          </w:rPr>
          <w:t xml:space="preserve">[6]</w:t>
        </w:r>
      </w:hyperlink>
    </w:p>
    <w:p>
      <w:pPr>
        <w:pStyle w:val="Compact"/>
        <w:numPr>
          <w:ilvl w:val="0"/>
          <w:numId w:val="1012"/>
        </w:numPr>
      </w:pPr>
      <w:r>
        <w:t xml:space="preserve">Pulling accelerated approval review-time measures directly from the FDA accelerated approvals list (if you use AA as a speed metric).</w:t>
      </w:r>
      <w:r>
        <w:t xml:space="preserve"> </w:t>
      </w:r>
      <w:hyperlink r:id="rId28">
        <w:r>
          <w:rPr>
            <w:rStyle w:val="Hyperlink"/>
          </w:rPr>
          <w:t xml:space="preserve">[26]</w:t>
        </w:r>
      </w:hyperlink>
    </w:p>
    <w:p>
      <w:pPr>
        <w:pStyle w:val="Compact"/>
        <w:numPr>
          <w:ilvl w:val="0"/>
          <w:numId w:val="1012"/>
        </w:numPr>
      </w:pPr>
      <w:r>
        <w:t xml:space="preserve">Downloading ARCOS retail summary PDFs for a defined window (e.g., 2010–2024).</w:t>
      </w:r>
      <w:r>
        <w:t xml:space="preserve"> </w:t>
      </w:r>
      <w:hyperlink r:id="rId33">
        <w:r>
          <w:rPr>
            <w:rStyle w:val="Hyperlink"/>
          </w:rPr>
          <w:t xml:space="preserve">[33]</w:t>
        </w:r>
      </w:hyperlink>
    </w:p>
    <w:p>
      <w:pPr>
        <w:pStyle w:val="FirstParagraph"/>
      </w:pPr>
      <w:r>
        <w:t xml:space="preserve">Slow components (where most theses slip):</w:t>
      </w:r>
    </w:p>
    <w:p>
      <w:pPr>
        <w:pStyle w:val="Compact"/>
        <w:numPr>
          <w:ilvl w:val="0"/>
          <w:numId w:val="1013"/>
        </w:numPr>
      </w:pPr>
      <w:r>
        <w:t xml:space="preserve">Parsing ARCOS PDFs into machine-readable panels and validating that the correct drug codes and quarters were extracted. The ARCOS retail summary site lays out the report structure, but you still need to extract at scale.</w:t>
      </w:r>
      <w:r>
        <w:t xml:space="preserve"> </w:t>
      </w:r>
      <w:hyperlink r:id="rId33">
        <w:r>
          <w:rPr>
            <w:rStyle w:val="Hyperlink"/>
          </w:rPr>
          <w:t xml:space="preserve">[13]</w:t>
        </w:r>
      </w:hyperlink>
    </w:p>
    <w:p>
      <w:pPr>
        <w:pStyle w:val="Compact"/>
        <w:numPr>
          <w:ilvl w:val="0"/>
          <w:numId w:val="1013"/>
        </w:numPr>
      </w:pPr>
      <w:r>
        <w:t xml:space="preserve">Building a substance-name crosswalk with enough accuracy to merge ARCOS ↔ FDA ↔ NFLIS.</w:t>
      </w:r>
    </w:p>
    <w:p>
      <w:pPr>
        <w:pStyle w:val="Compact"/>
        <w:numPr>
          <w:ilvl w:val="0"/>
          <w:numId w:val="1013"/>
        </w:numPr>
      </w:pPr>
      <w:r>
        <w:t xml:space="preserve">Accessing NFLIS exports (registration, query construction, consistent extraction) and normalizing correctly per DEA guidance.</w:t>
      </w:r>
      <w:r>
        <w:t xml:space="preserve"> </w:t>
      </w:r>
      <w:hyperlink r:id="rId38">
        <w:r>
          <w:rPr>
            <w:rStyle w:val="Hyperlink"/>
          </w:rPr>
          <w:t xml:space="preserve">[34]</w:t>
        </w:r>
      </w:hyperlink>
    </w:p>
    <w:bookmarkEnd w:id="54"/>
    <w:bookmarkStart w:id="56" w:name="how-likely-are-significant-findings"/>
    <w:p>
      <w:pPr>
        <w:pStyle w:val="Heading3"/>
      </w:pPr>
      <w:r>
        <w:t xml:space="preserve">How likely are “significant” findings?</w:t>
      </w:r>
    </w:p>
    <w:p>
      <w:pPr>
        <w:pStyle w:val="FirstParagraph"/>
      </w:pPr>
      <w:r>
        <w:t xml:space="preserve">You should treat “finding statistical significance” as plausible but not guaranteed, and you should define what kind of significance matters.</w:t>
      </w:r>
    </w:p>
    <w:p>
      <w:pPr>
        <w:pStyle w:val="BodyText"/>
      </w:pPr>
      <w:r>
        <w:t xml:space="preserve">Why significance is plausible:</w:t>
      </w:r>
    </w:p>
    <w:p>
      <w:pPr>
        <w:pStyle w:val="Compact"/>
        <w:numPr>
          <w:ilvl w:val="0"/>
          <w:numId w:val="1014"/>
        </w:numPr>
      </w:pPr>
      <w:r>
        <w:t xml:space="preserve">ARCOS distribution measures have large cross-state and time variation and are widely used in research settings as meaningful measures of legal opioid distribution patterns.</w:t>
      </w:r>
      <w:r>
        <w:t xml:space="preserve"> </w:t>
      </w:r>
      <w:hyperlink r:id="rId36">
        <w:r>
          <w:rPr>
            <w:rStyle w:val="Hyperlink"/>
          </w:rPr>
          <w:t xml:space="preserve">[35]</w:t>
        </w:r>
      </w:hyperlink>
    </w:p>
    <w:p>
      <w:pPr>
        <w:pStyle w:val="Compact"/>
        <w:numPr>
          <w:ilvl w:val="0"/>
          <w:numId w:val="1014"/>
        </w:numPr>
      </w:pPr>
      <w:r>
        <w:t xml:space="preserve">With a drug×state×time panel, you can have many observations even with a modest number of substances, which helps precision.</w:t>
      </w:r>
    </w:p>
    <w:p>
      <w:pPr>
        <w:pStyle w:val="FirstParagraph"/>
      </w:pPr>
      <w:r>
        <w:t xml:space="preserve">Why significance is not guaranteed:</w:t>
      </w:r>
    </w:p>
    <w:p>
      <w:pPr>
        <w:pStyle w:val="Compact"/>
        <w:numPr>
          <w:ilvl w:val="0"/>
          <w:numId w:val="1015"/>
        </w:numPr>
      </w:pPr>
      <w:r>
        <w:t xml:space="preserve">If the true effect of “Priority vs Standard review” on diversion is small relative to other drivers (marketing, payer coverage, DEA scheduling constraints, evolving illicit supply), your estimates may be noisy, especially on NFLIS outcomes.</w:t>
      </w:r>
    </w:p>
    <w:p>
      <w:pPr>
        <w:pStyle w:val="Compact"/>
        <w:numPr>
          <w:ilvl w:val="0"/>
          <w:numId w:val="1015"/>
        </w:numPr>
      </w:pPr>
      <w:r>
        <w:t xml:space="preserve">The set of FDA-accelerated or breakthrough products that also show up in ARCOS retail controlled-substance reporting may be small. (The Fast Track list, for example, contains some controlled substances such as diazepam in CY2024, but many approvals are non-controlled therapeutics.)</w:t>
      </w:r>
      <w:r>
        <w:t xml:space="preserve"> </w:t>
      </w:r>
      <w:hyperlink r:id="rId55">
        <w:r>
          <w:rPr>
            <w:rStyle w:val="Hyperlink"/>
          </w:rPr>
          <w:t xml:space="preserve">[36]</w:t>
        </w:r>
      </w:hyperlink>
    </w:p>
    <w:p>
      <w:pPr>
        <w:pStyle w:val="FirstParagraph"/>
      </w:pPr>
      <w:r>
        <w:t xml:space="preserve">A thesis is still a success if it produces:</w:t>
      </w:r>
    </w:p>
    <w:p>
      <w:pPr>
        <w:pStyle w:val="Compact"/>
        <w:numPr>
          <w:ilvl w:val="0"/>
          <w:numId w:val="1016"/>
        </w:numPr>
      </w:pPr>
      <w:r>
        <w:t xml:space="preserve">a clean merged dataset construction narrative,</w:t>
      </w:r>
    </w:p>
    <w:p>
      <w:pPr>
        <w:pStyle w:val="Compact"/>
        <w:numPr>
          <w:ilvl w:val="0"/>
          <w:numId w:val="1016"/>
        </w:numPr>
      </w:pPr>
      <w:r>
        <w:t xml:space="preserve">credible descriptive evidence (Table 1, Figure 1),</w:t>
      </w:r>
    </w:p>
    <w:p>
      <w:pPr>
        <w:pStyle w:val="Compact"/>
        <w:numPr>
          <w:ilvl w:val="0"/>
          <w:numId w:val="1016"/>
        </w:numPr>
      </w:pPr>
      <w:r>
        <w:t xml:space="preserve">and transparent econometric estimates with robustness checks and limitations.</w:t>
      </w:r>
    </w:p>
    <w:bookmarkEnd w:id="56"/>
    <w:bookmarkStart w:id="57" w:name="Xc0463cc89073f6665b6ed5e5372a3b3516e104f"/>
    <w:p>
      <w:pPr>
        <w:pStyle w:val="Heading3"/>
      </w:pPr>
      <w:r>
        <w:t xml:space="preserve">A timeline that is actually feasible under a “couple months” constraint</w:t>
      </w:r>
    </w:p>
    <w:p>
      <w:pPr>
        <w:pStyle w:val="FirstParagraph"/>
      </w:pPr>
      <w:r>
        <w:t xml:space="preserve">Weeks 1–2: Lock scope and build the FDA backbone</w:t>
      </w:r>
      <w:r>
        <w:br/>
      </w:r>
      <w:r>
        <w:t xml:space="preserve">Use Drugs@FDA data files to extract a candidate list of drugs/submissions, including</w:t>
      </w:r>
      <w:r>
        <w:t xml:space="preserve"> </w:t>
      </w:r>
      <w:r>
        <w:rPr>
          <w:rStyle w:val="VerbatimChar"/>
        </w:rPr>
        <w:t xml:space="preserve">ReviewPriority</w:t>
      </w:r>
      <w:r>
        <w:t xml:space="preserve"> </w:t>
      </w:r>
      <w:r>
        <w:t xml:space="preserve">and approval dates, and decide what “drug” means (active ingredient vs product).</w:t>
      </w:r>
      <w:r>
        <w:t xml:space="preserve"> </w:t>
      </w:r>
      <w:hyperlink r:id="rId27">
        <w:r>
          <w:rPr>
            <w:rStyle w:val="Hyperlink"/>
          </w:rPr>
          <w:t xml:space="preserve">[6]</w:t>
        </w:r>
      </w:hyperlink>
    </w:p>
    <w:p>
      <w:pPr>
        <w:pStyle w:val="BodyText"/>
      </w:pPr>
      <w:r>
        <w:t xml:space="preserve">Weeks 2–4: Build ARCOS panel for a constrained substance set</w:t>
      </w:r>
      <w:r>
        <w:br/>
      </w:r>
      <w:r>
        <w:t xml:space="preserve">Use ARCOS Report 3 (grams per 100K per quarter) as the default outcome because it yields state-quarter measures in a standardized unit.</w:t>
      </w:r>
      <w:r>
        <w:t xml:space="preserve"> </w:t>
      </w:r>
      <w:hyperlink r:id="rId33">
        <w:r>
          <w:rPr>
            <w:rStyle w:val="Hyperlink"/>
          </w:rPr>
          <w:t xml:space="preserve">[13]</w:t>
        </w:r>
      </w:hyperlink>
    </w:p>
    <w:p>
      <w:pPr>
        <w:pStyle w:val="BodyText"/>
      </w:pPr>
      <w:r>
        <w:t xml:space="preserve">Weeks 4–5: Add NFLIS outcomes (only after ARCOS is stable)</w:t>
      </w:r>
      <w:r>
        <w:br/>
      </w:r>
      <w:r>
        <w:t xml:space="preserve">Register and export a consistent state-year or state-quarter slice using the Public DQS; normalize outcomes (shares/rates) and document DEA’s comparability warnings.</w:t>
      </w:r>
      <w:r>
        <w:t xml:space="preserve"> </w:t>
      </w:r>
      <w:hyperlink r:id="rId38">
        <w:r>
          <w:rPr>
            <w:rStyle w:val="Hyperlink"/>
          </w:rPr>
          <w:t xml:space="preserve">[34]</w:t>
        </w:r>
      </w:hyperlink>
    </w:p>
    <w:p>
      <w:pPr>
        <w:pStyle w:val="BodyText"/>
      </w:pPr>
      <w:r>
        <w:t xml:space="preserve">Weeks 5–7: Estimation + robustness</w:t>
      </w:r>
      <w:r>
        <w:br/>
      </w:r>
      <w:r>
        <w:t xml:space="preserve">Estimate stacked event-study specifications; run placebo checks (e.g., “fake approval dates” on already-established high-volume drugs) and sensitivity to normalization choices. Use staggered-adoption-robust methods or, at minimum, discuss TWFE limitations with staggered treatment timing.</w:t>
      </w:r>
      <w:r>
        <w:t xml:space="preserve"> </w:t>
      </w:r>
      <w:hyperlink r:id="rId50">
        <w:r>
          <w:rPr>
            <w:rStyle w:val="Hyperlink"/>
          </w:rPr>
          <w:t xml:space="preserve">[32]</w:t>
        </w:r>
      </w:hyperlink>
    </w:p>
    <w:p>
      <w:pPr>
        <w:pStyle w:val="BodyText"/>
      </w:pPr>
      <w:r>
        <w:t xml:space="preserve">Weeks 7–8: Writing and presentation</w:t>
      </w:r>
      <w:r>
        <w:br/>
      </w:r>
      <w:r>
        <w:t xml:space="preserve">Write around the data-generating process and interpretation (ARCOS is distribution, NFLIS is enforcement-lab identification), and make sure the story matches what the data can support.</w:t>
      </w:r>
      <w:r>
        <w:t xml:space="preserve"> </w:t>
      </w:r>
      <w:hyperlink r:id="rId34">
        <w:r>
          <w:rPr>
            <w:rStyle w:val="Hyperlink"/>
          </w:rPr>
          <w:t xml:space="preserve">[37]</w:t>
        </w:r>
      </w:hyperlink>
    </w:p>
    <w:bookmarkEnd w:id="57"/>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[18]</w:t>
        </w:r>
      </w:hyperlink>
      <w:r>
        <w:t xml:space="preserve"> </w:t>
      </w:r>
      <w:hyperlink r:id="rId21">
        <w:r>
          <w:rPr>
            <w:rStyle w:val="Hyperlink"/>
          </w:rPr>
          <w:t xml:space="preserve">[30]</w:t>
        </w:r>
      </w:hyperlink>
      <w:r>
        <w:t xml:space="preserve"> </w:t>
      </w:r>
      <w:r>
        <w:t xml:space="preserve">https://www.nflis.deadiversion.usdoj.gov/nflisdata/docs/2k17NFLISQA.pdf</w:t>
      </w:r>
    </w:p>
    <w:p>
      <w:pPr>
        <w:pStyle w:val="BodyText"/>
      </w:pPr>
      <w:hyperlink r:id="rId21">
        <w:r>
          <w:rPr>
            <w:rStyle w:val="Hyperlink"/>
          </w:rPr>
          <w:t xml:space="preserve">https://www.nflis.deadiversion.usdoj.gov/nflisdata/docs/2k17NFLISQA.pdf</w:t>
        </w:r>
      </w:hyperlink>
    </w:p>
    <w:p>
      <w:pPr>
        <w:pStyle w:val="BodyText"/>
      </w:pPr>
      <w:hyperlink r:id="rId22">
        <w:r>
          <w:rPr>
            <w:rStyle w:val="Hyperlink"/>
          </w:rPr>
          <w:t xml:space="preserve">[2]</w:t>
        </w:r>
      </w:hyperlink>
      <w:r>
        <w:t xml:space="preserve"> </w:t>
      </w:r>
      <w:r>
        <w:t xml:space="preserve">https://www.fda.gov/patients/learn-about-drug-and-device-approvals/fast-track-breakthrough-therapy-accelerated-approval-priority-review</w:t>
      </w:r>
    </w:p>
    <w:p>
      <w:pPr>
        <w:pStyle w:val="BodyText"/>
      </w:pPr>
      <w:hyperlink r:id="rId22">
        <w:r>
          <w:rPr>
            <w:rStyle w:val="Hyperlink"/>
          </w:rPr>
          <w:t xml:space="preserve">https://www.fda.gov/patients/learn-about-drug-and-device-approvals/fast-track-breakthrough-therapy-accelerated-approval-priority-review</w:t>
        </w:r>
      </w:hyperlink>
    </w:p>
    <w:p>
      <w:pPr>
        <w:pStyle w:val="BodyText"/>
      </w:pPr>
      <w:hyperlink r:id="rId23">
        <w:r>
          <w:rPr>
            <w:rStyle w:val="Hyperlink"/>
          </w:rPr>
          <w:t xml:space="preserve">[3]</w:t>
        </w:r>
      </w:hyperlink>
      <w:r>
        <w:t xml:space="preserve"> </w:t>
      </w:r>
      <w:r>
        <w:t xml:space="preserve">https://www.fda.gov/patients/fast-track-breakthrough-therapy-accelerated-approval-priority-review/priority-review</w:t>
      </w:r>
    </w:p>
    <w:p>
      <w:pPr>
        <w:pStyle w:val="BodyText"/>
      </w:pPr>
      <w:hyperlink r:id="rId23">
        <w:r>
          <w:rPr>
            <w:rStyle w:val="Hyperlink"/>
          </w:rPr>
          <w:t xml:space="preserve">https://www.fda.gov/patients/fast-track-breakthrough-therapy-accelerated-approval-priority-review/priority-review</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r>
        <w:t xml:space="preserve">Fast Track Approvals | FDA</w:t>
      </w:r>
    </w:p>
    <w:p>
      <w:pPr>
        <w:pStyle w:val="BodyText"/>
      </w:pPr>
      <w:hyperlink r:id="rId24">
        <w:r>
          <w:rPr>
            <w:rStyle w:val="Hyperlink"/>
          </w:rPr>
          <w:t xml:space="preserve">https://www.fda.gov/drugs/nda-and-bla-approvals/fast-track-approvals</w:t>
        </w:r>
      </w:hyperlink>
    </w:p>
    <w:p>
      <w:pPr>
        <w:pStyle w:val="BodyText"/>
      </w:pPr>
      <w:hyperlink r:id="rId25">
        <w:r>
          <w:rPr>
            <w:rStyle w:val="Hyperlink"/>
          </w:rPr>
          <w:t xml:space="preserve">[5]</w:t>
        </w:r>
      </w:hyperlink>
      <w:r>
        <w:t xml:space="preserve"> </w:t>
      </w:r>
      <w:hyperlink r:id="rId25">
        <w:r>
          <w:rPr>
            <w:rStyle w:val="Hyperlink"/>
          </w:rPr>
          <w:t xml:space="preserve">[31]</w:t>
        </w:r>
      </w:hyperlink>
      <w:r>
        <w:t xml:space="preserve"> </w:t>
      </w:r>
      <w:r>
        <w:t xml:space="preserve">https://www.fda.gov/regulatory-information/search-fda-guidance-documents/expedited-programs-serious-conditions-drugs-and-biologics</w:t>
      </w:r>
    </w:p>
    <w:p>
      <w:pPr>
        <w:pStyle w:val="BodyText"/>
      </w:pPr>
      <w:hyperlink r:id="rId25">
        <w:r>
          <w:rPr>
            <w:rStyle w:val="Hyperlink"/>
          </w:rPr>
          <w:t xml:space="preserve">https://www.fda.gov/regulatory-information/search-fda-guidance-documents/expedited-programs-serious-conditions-drugs-and-biologics</w:t>
        </w:r>
      </w:hyperlink>
    </w:p>
    <w:p>
      <w:pPr>
        <w:pStyle w:val="BodyText"/>
      </w:pPr>
      <w:hyperlink r:id="rId27">
        <w:r>
          <w:rPr>
            <w:rStyle w:val="Hyperlink"/>
          </w:rPr>
          <w:t xml:space="preserve">[6]</w:t>
        </w:r>
      </w:hyperlink>
      <w:r>
        <w:t xml:space="preserve"> </w:t>
      </w:r>
      <w:hyperlink r:id="rId27">
        <w:r>
          <w:rPr>
            <w:rStyle w:val="Hyperlink"/>
          </w:rPr>
          <w:t xml:space="preserve">[21]</w:t>
        </w:r>
      </w:hyperlink>
      <w:r>
        <w:t xml:space="preserve"> </w:t>
      </w:r>
      <w:r>
        <w:t xml:space="preserve">Drugs@FDA Data Files | FDA</w:t>
      </w:r>
    </w:p>
    <w:p>
      <w:pPr>
        <w:pStyle w:val="BodyText"/>
      </w:pPr>
      <w:hyperlink r:id="rId27">
        <w:r>
          <w:rPr>
            <w:rStyle w:val="Hyperlink"/>
          </w:rPr>
          <w:t xml:space="preserve">https://www.fda.gov/drugs/drug-approvals-and-databases/drugsfda-data-files</w:t>
        </w:r>
      </w:hyperlink>
    </w:p>
    <w:p>
      <w:pPr>
        <w:pStyle w:val="BodyText"/>
      </w:pPr>
      <w:hyperlink r:id="rId28">
        <w:r>
          <w:rPr>
            <w:rStyle w:val="Hyperlink"/>
          </w:rPr>
          <w:t xml:space="preserve">[8]</w:t>
        </w:r>
      </w:hyperlink>
      <w:r>
        <w:t xml:space="preserve"> </w:t>
      </w:r>
      <w:hyperlink r:id="rId28">
        <w:r>
          <w:rPr>
            <w:rStyle w:val="Hyperlink"/>
          </w:rPr>
          <w:t xml:space="preserve">[26]</w:t>
        </w:r>
      </w:hyperlink>
      <w:r>
        <w:t xml:space="preserve"> </w:t>
      </w:r>
      <w:r>
        <w:t xml:space="preserve">fda.gov</w:t>
      </w:r>
    </w:p>
    <w:p>
      <w:pPr>
        <w:pStyle w:val="BodyText"/>
      </w:pPr>
      <w:hyperlink r:id="rId28">
        <w:r>
          <w:rPr>
            <w:rStyle w:val="Hyperlink"/>
          </w:rPr>
          <w:t xml:space="preserve">https://www.fda.gov/media/151146/download?attachment=</w:t>
        </w:r>
      </w:hyperlink>
    </w:p>
    <w:p>
      <w:pPr>
        <w:pStyle w:val="BodyText"/>
      </w:pPr>
      <w:hyperlink r:id="rId29">
        <w:r>
          <w:rPr>
            <w:rStyle w:val="Hyperlink"/>
          </w:rPr>
          <w:t xml:space="preserve">[9]</w:t>
        </w:r>
      </w:hyperlink>
      <w:r>
        <w:t xml:space="preserve"> </w:t>
      </w:r>
      <w:r>
        <w:t xml:space="preserve">NDA and BLA Approval Times | FDA</w:t>
      </w:r>
    </w:p>
    <w:p>
      <w:pPr>
        <w:pStyle w:val="BodyText"/>
      </w:pPr>
      <w:hyperlink r:id="rId29">
        <w:r>
          <w:rPr>
            <w:rStyle w:val="Hyperlink"/>
          </w:rPr>
          <w:t xml:space="preserve">https://www.fda.gov/drugs/nda-and-bla-approvals/nda-and-bla-approval-times</w:t>
        </w:r>
      </w:hyperlink>
    </w:p>
    <w:p>
      <w:pPr>
        <w:pStyle w:val="BodyText"/>
      </w:pPr>
      <w:hyperlink r:id="rId31">
        <w:r>
          <w:rPr>
            <w:rStyle w:val="Hyperlink"/>
          </w:rPr>
          <w:t xml:space="preserve">[11]</w:t>
        </w:r>
      </w:hyperlink>
      <w:r>
        <w:t xml:space="preserve"> </w:t>
      </w:r>
      <w:r>
        <w:t xml:space="preserve">Automation of Reports and Consolidated Orders System ...</w:t>
      </w:r>
    </w:p>
    <w:p>
      <w:pPr>
        <w:pStyle w:val="BodyText"/>
      </w:pPr>
      <w:hyperlink r:id="rId31">
        <w:r>
          <w:rPr>
            <w:rStyle w:val="Hyperlink"/>
          </w:rPr>
          <w:t xml:space="preserve">https://deadiversion.usdoj.gov/arcos/arcos.html?utm_source=chatgpt.com</w:t>
        </w:r>
      </w:hyperlink>
    </w:p>
    <w:p>
      <w:pPr>
        <w:pStyle w:val="BodyText"/>
      </w:pPr>
      <w:hyperlink r:id="rId32">
        <w:r>
          <w:rPr>
            <w:rStyle w:val="Hyperlink"/>
          </w:rPr>
          <w:t xml:space="preserve">[12]</w:t>
        </w:r>
      </w:hyperlink>
      <w:r>
        <w:t xml:space="preserve"> </w:t>
      </w:r>
      <w:r>
        <w:t xml:space="preserve">Suspicious Orders of Controlled Substances</w:t>
      </w:r>
    </w:p>
    <w:p>
      <w:pPr>
        <w:pStyle w:val="BodyText"/>
      </w:pPr>
      <w:hyperlink r:id="rId32">
        <w:r>
          <w:rPr>
            <w:rStyle w:val="Hyperlink"/>
          </w:rPr>
          <w:t xml:space="preserve">https://www.federalregister.gov/documents/2020/11/02/2020-21302/suspicious-orders-of-controlled-substances?utm_source=chatgpt.com</w:t>
        </w:r>
      </w:hyperlink>
    </w:p>
    <w:p>
      <w:pPr>
        <w:pStyle w:val="BodyText"/>
      </w:pPr>
      <w:hyperlink r:id="rId33">
        <w:r>
          <w:rPr>
            <w:rStyle w:val="Hyperlink"/>
          </w:rPr>
          <w:t xml:space="preserve">[13]</w:t>
        </w:r>
      </w:hyperlink>
      <w:r>
        <w:t xml:space="preserve"> </w:t>
      </w:r>
      <w:hyperlink r:id="rId33">
        <w:r>
          <w:rPr>
            <w:rStyle w:val="Hyperlink"/>
          </w:rPr>
          <w:t xml:space="preserve">[14]</w:t>
        </w:r>
      </w:hyperlink>
      <w:r>
        <w:t xml:space="preserve"> </w:t>
      </w:r>
      <w:hyperlink r:id="rId33">
        <w:r>
          <w:rPr>
            <w:rStyle w:val="Hyperlink"/>
          </w:rPr>
          <w:t xml:space="preserve">[23]</w:t>
        </w:r>
      </w:hyperlink>
      <w:r>
        <w:t xml:space="preserve"> </w:t>
      </w:r>
      <w:hyperlink r:id="rId33">
        <w:r>
          <w:rPr>
            <w:rStyle w:val="Hyperlink"/>
          </w:rPr>
          <w:t xml:space="preserve">[25]</w:t>
        </w:r>
      </w:hyperlink>
      <w:r>
        <w:t xml:space="preserve"> </w:t>
      </w:r>
      <w:hyperlink r:id="rId33">
        <w:r>
          <w:rPr>
            <w:rStyle w:val="Hyperlink"/>
          </w:rPr>
          <w:t xml:space="preserve">[29]</w:t>
        </w:r>
      </w:hyperlink>
      <w:r>
        <w:t xml:space="preserve"> </w:t>
      </w:r>
      <w:hyperlink r:id="rId33">
        <w:r>
          <w:rPr>
            <w:rStyle w:val="Hyperlink"/>
          </w:rPr>
          <w:t xml:space="preserve">[33]</w:t>
        </w:r>
      </w:hyperlink>
      <w:r>
        <w:t xml:space="preserve"> </w:t>
      </w:r>
      <w:r>
        <w:t xml:space="preserve">Diversion Control Division | ARCOS Retail Drug Summary Reports</w:t>
      </w:r>
    </w:p>
    <w:p>
      <w:pPr>
        <w:pStyle w:val="BodyText"/>
      </w:pPr>
      <w:hyperlink r:id="rId33">
        <w:r>
          <w:rPr>
            <w:rStyle w:val="Hyperlink"/>
          </w:rPr>
          <w:t xml:space="preserve">https://www.deadiversion.usdoj.gov/arcos/retail_drug_summary/arcos-drug-summary-reports.html</w:t>
        </w:r>
      </w:hyperlink>
    </w:p>
    <w:p>
      <w:pPr>
        <w:pStyle w:val="BodyText"/>
      </w:pPr>
      <w:hyperlink r:id="rId34">
        <w:r>
          <w:rPr>
            <w:rStyle w:val="Hyperlink"/>
          </w:rPr>
          <w:t xml:space="preserve">[15]</w:t>
        </w:r>
      </w:hyperlink>
      <w:r>
        <w:t xml:space="preserve"> </w:t>
      </w:r>
      <w:hyperlink r:id="rId34">
        <w:r>
          <w:rPr>
            <w:rStyle w:val="Hyperlink"/>
          </w:rPr>
          <w:t xml:space="preserve">[37]</w:t>
        </w:r>
      </w:hyperlink>
      <w:r>
        <w:t xml:space="preserve"> </w:t>
      </w:r>
      <w:r>
        <w:t xml:space="preserve">DEA announces enhanced tool for registered drug ...</w:t>
      </w:r>
    </w:p>
    <w:p>
      <w:pPr>
        <w:pStyle w:val="BodyText"/>
      </w:pPr>
      <w:hyperlink r:id="rId34">
        <w:r>
          <w:rPr>
            <w:rStyle w:val="Hyperlink"/>
          </w:rPr>
          <w:t xml:space="preserve">https://www.dea.gov/press-releases/2019/02/26/dea-announces-enhanced-tool-registered-drug-manufacturers-and?utm_source=chatgpt.com</w:t>
        </w:r>
      </w:hyperlink>
    </w:p>
    <w:p>
      <w:pPr>
        <w:pStyle w:val="BodyText"/>
      </w:pPr>
      <w:hyperlink r:id="rId36">
        <w:r>
          <w:rPr>
            <w:rStyle w:val="Hyperlink"/>
          </w:rPr>
          <w:t xml:space="preserve">[16]</w:t>
        </w:r>
      </w:hyperlink>
      <w:r>
        <w:t xml:space="preserve"> </w:t>
      </w:r>
      <w:hyperlink r:id="rId36">
        <w:r>
          <w:rPr>
            <w:rStyle w:val="Hyperlink"/>
          </w:rPr>
          <w:t xml:space="preserve">[35]</w:t>
        </w:r>
      </w:hyperlink>
      <w:r>
        <w:t xml:space="preserve"> </w:t>
      </w:r>
      <w:r>
        <w:t xml:space="preserve">Implications of county-level variation in U.S. opioid distribution</w:t>
      </w:r>
    </w:p>
    <w:p>
      <w:pPr>
        <w:pStyle w:val="BodyText"/>
      </w:pPr>
      <w:hyperlink r:id="rId36">
        <w:r>
          <w:rPr>
            <w:rStyle w:val="Hyperlink"/>
          </w:rPr>
          <w:t xml:space="preserve">https://pmc.ncbi.nlm.nih.gov/articles/PMC8115932/?utm_source=chatgpt.com</w:t>
        </w:r>
      </w:hyperlink>
    </w:p>
    <w:p>
      <w:pPr>
        <w:pStyle w:val="BodyText"/>
      </w:pPr>
      <w:hyperlink r:id="rId37">
        <w:r>
          <w:rPr>
            <w:rStyle w:val="Hyperlink"/>
          </w:rPr>
          <w:t xml:space="preserve">[17]</w:t>
        </w:r>
      </w:hyperlink>
      <w:r>
        <w:t xml:space="preserve"> </w:t>
      </w:r>
      <w:r>
        <w:t xml:space="preserve">https://www.nflis.deadiversion.usdoj.gov/drug.xhtml</w:t>
      </w:r>
    </w:p>
    <w:p>
      <w:pPr>
        <w:pStyle w:val="BodyText"/>
      </w:pPr>
      <w:hyperlink r:id="rId37">
        <w:r>
          <w:rPr>
            <w:rStyle w:val="Hyperlink"/>
          </w:rPr>
          <w:t xml:space="preserve">https://www.nflis.deadiversion.usdoj.gov/drug.xhtml</w:t>
        </w:r>
      </w:hyperlink>
    </w:p>
    <w:p>
      <w:pPr>
        <w:pStyle w:val="BodyText"/>
      </w:pPr>
      <w:hyperlink r:id="rId38">
        <w:r>
          <w:rPr>
            <w:rStyle w:val="Hyperlink"/>
          </w:rPr>
          <w:t xml:space="preserve">[19]</w:t>
        </w:r>
      </w:hyperlink>
      <w:r>
        <w:t xml:space="preserve"> </w:t>
      </w:r>
      <w:hyperlink r:id="rId38">
        <w:r>
          <w:rPr>
            <w:rStyle w:val="Hyperlink"/>
          </w:rPr>
          <w:t xml:space="preserve">[34]</w:t>
        </w:r>
      </w:hyperlink>
      <w:r>
        <w:t xml:space="preserve"> </w:t>
      </w:r>
      <w:r>
        <w:t xml:space="preserve">Data Query System Overview</w:t>
      </w:r>
    </w:p>
    <w:p>
      <w:pPr>
        <w:pStyle w:val="BodyText"/>
      </w:pPr>
      <w:hyperlink r:id="rId38">
        <w:r>
          <w:rPr>
            <w:rStyle w:val="Hyperlink"/>
          </w:rPr>
          <w:t xml:space="preserve">https://www.nflis.deadiversion.usdoj.gov/publicDQSinfo.xhtml?utm_source=chatgpt.com</w:t>
        </w:r>
      </w:hyperlink>
    </w:p>
    <w:p>
      <w:pPr>
        <w:pStyle w:val="BodyText"/>
      </w:pPr>
      <w:hyperlink r:id="rId39">
        <w:r>
          <w:rPr>
            <w:rStyle w:val="Hyperlink"/>
          </w:rPr>
          <w:t xml:space="preserve">[20]</w:t>
        </w:r>
      </w:hyperlink>
      <w:r>
        <w:t xml:space="preserve"> </w:t>
      </w:r>
      <w:hyperlink r:id="rId39">
        <w:r>
          <w:rPr>
            <w:rStyle w:val="Hyperlink"/>
          </w:rPr>
          <w:t xml:space="preserve">[22]</w:t>
        </w:r>
      </w:hyperlink>
      <w:r>
        <w:t xml:space="preserve"> </w:t>
      </w:r>
      <w:hyperlink r:id="rId39">
        <w:r>
          <w:rPr>
            <w:rStyle w:val="Hyperlink"/>
          </w:rPr>
          <w:t xml:space="preserve">[28]</w:t>
        </w:r>
      </w:hyperlink>
      <w:r>
        <w:t xml:space="preserve"> </w:t>
      </w:r>
      <w:r>
        <w:t xml:space="preserve">NFLIS-Drug Public Data Query System Quick Reference ...</w:t>
      </w:r>
    </w:p>
    <w:p>
      <w:pPr>
        <w:pStyle w:val="BodyText"/>
      </w:pPr>
      <w:hyperlink r:id="rId39">
        <w:r>
          <w:rPr>
            <w:rStyle w:val="Hyperlink"/>
          </w:rPr>
          <w:t xml:space="preserve">https://www.nflis.deadiversion.usdoj.gov/nflisdata/docs/2022NFLISPublicDQSQuickReference.pdf?utm_source=chatgpt.com</w:t>
        </w:r>
      </w:hyperlink>
    </w:p>
    <w:p>
      <w:pPr>
        <w:pStyle w:val="BodyText"/>
      </w:pPr>
      <w:hyperlink r:id="rId42">
        <w:r>
          <w:rPr>
            <w:rStyle w:val="Hyperlink"/>
          </w:rPr>
          <w:t xml:space="preserve">[24]</w:t>
        </w:r>
      </w:hyperlink>
      <w:r>
        <w:t xml:space="preserve"> </w:t>
      </w:r>
      <w:r>
        <w:t xml:space="preserve">NFLIS Overview</w:t>
      </w:r>
    </w:p>
    <w:p>
      <w:pPr>
        <w:pStyle w:val="BodyText"/>
      </w:pPr>
      <w:hyperlink r:id="rId42">
        <w:r>
          <w:rPr>
            <w:rStyle w:val="Hyperlink"/>
          </w:rPr>
          <w:t xml:space="preserve">https://www.nflis.deadiversion.usdoj.gov/overview.xhtml?utm_source=chatgpt.com</w:t>
        </w:r>
      </w:hyperlink>
    </w:p>
    <w:p>
      <w:pPr>
        <w:pStyle w:val="BodyText"/>
      </w:pPr>
      <w:hyperlink r:id="rId44">
        <w:r>
          <w:rPr>
            <w:rStyle w:val="Hyperlink"/>
          </w:rPr>
          <w:t xml:space="preserve">[27]</w:t>
        </w:r>
      </w:hyperlink>
      <w:r>
        <w:t xml:space="preserve"> </w:t>
      </w:r>
      <w:r>
        <w:t xml:space="preserve">api.fda.gov</w:t>
      </w:r>
    </w:p>
    <w:p>
      <w:pPr>
        <w:pStyle w:val="BodyText"/>
      </w:pPr>
      <w:hyperlink r:id="rId44">
        <w:r>
          <w:rPr>
            <w:rStyle w:val="Hyperlink"/>
          </w:rPr>
          <w:t xml:space="preserve">https://api.fda.gov/drug/drugsfda.json?limit=1</w:t>
        </w:r>
      </w:hyperlink>
    </w:p>
    <w:p>
      <w:pPr>
        <w:pStyle w:val="BodyText"/>
      </w:pPr>
      <w:hyperlink r:id="rId50">
        <w:r>
          <w:rPr>
            <w:rStyle w:val="Hyperlink"/>
          </w:rPr>
          <w:t xml:space="preserve">[32]</w:t>
        </w:r>
      </w:hyperlink>
      <w:r>
        <w:t xml:space="preserve"> </w:t>
      </w:r>
      <w:r>
        <w:t xml:space="preserve">https://www.sciencedirect.com/science/article/abs/pii/S0304407621001445</w:t>
      </w:r>
    </w:p>
    <w:p>
      <w:pPr>
        <w:pStyle w:val="BodyText"/>
      </w:pPr>
      <w:hyperlink r:id="rId50">
        <w:r>
          <w:rPr>
            <w:rStyle w:val="Hyperlink"/>
          </w:rPr>
          <w:t xml:space="preserve">https://www.sciencedirect.com/science/article/abs/pii/S0304407621001445</w:t>
        </w:r>
      </w:hyperlink>
    </w:p>
    <w:p>
      <w:pPr>
        <w:pStyle w:val="BodyText"/>
      </w:pPr>
      <w:hyperlink r:id="rId55">
        <w:r>
          <w:rPr>
            <w:rStyle w:val="Hyperlink"/>
          </w:rPr>
          <w:t xml:space="preserve">[36]</w:t>
        </w:r>
      </w:hyperlink>
      <w:r>
        <w:t xml:space="preserve"> </w:t>
      </w:r>
      <w:r>
        <w:t xml:space="preserve">fda.gov</w:t>
      </w:r>
    </w:p>
    <w:p>
      <w:pPr>
        <w:pStyle w:val="BodyText"/>
      </w:pPr>
      <w:hyperlink r:id="rId55">
        <w:r>
          <w:rPr>
            <w:rStyle w:val="Hyperlink"/>
          </w:rPr>
          <w:t xml:space="preserve">https://www.fda.gov/media/159901/download?attachment=</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pi.fda.gov/drug/drugsfda.json?limit=1" TargetMode="External" /><Relationship Type="http://schemas.openxmlformats.org/officeDocument/2006/relationships/hyperlink" Id="rId31" Target="https://deadiversion.usdoj.gov/arcos/arcos.html?utm_source=chatgpt.com" TargetMode="External" /><Relationship Type="http://schemas.openxmlformats.org/officeDocument/2006/relationships/hyperlink" Id="rId36" Target="https://pmc.ncbi.nlm.nih.gov/articles/PMC8115932/?utm_source=chatgpt.com" TargetMode="External" /><Relationship Type="http://schemas.openxmlformats.org/officeDocument/2006/relationships/hyperlink" Id="rId34" Target="https://www.dea.gov/press-releases/2019/02/26/dea-announces-enhanced-tool-registered-drug-manufacturers-and?utm_source=chatgpt.com" TargetMode="External" /><Relationship Type="http://schemas.openxmlformats.org/officeDocument/2006/relationships/hyperlink" Id="rId33" Target="https://www.deadiversion.usdoj.gov/arcos/retail_drug_summary/arcos-drug-summary-reports.html" TargetMode="External" /><Relationship Type="http://schemas.openxmlformats.org/officeDocument/2006/relationships/hyperlink" Id="rId27" Target="https://www.fda.gov/drugs/drug-approvals-and-databases/drugsfda-data-files" TargetMode="External" /><Relationship Type="http://schemas.openxmlformats.org/officeDocument/2006/relationships/hyperlink" Id="rId24" Target="https://www.fda.gov/drugs/nda-and-bla-approvals/fast-track-approvals" TargetMode="External" /><Relationship Type="http://schemas.openxmlformats.org/officeDocument/2006/relationships/hyperlink" Id="rId29" Target="https://www.fda.gov/drugs/nda-and-bla-approvals/nda-and-bla-approval-times" TargetMode="External" /><Relationship Type="http://schemas.openxmlformats.org/officeDocument/2006/relationships/hyperlink" Id="rId28" Target="https://www.fda.gov/media/151146/download?attachment=" TargetMode="External" /><Relationship Type="http://schemas.openxmlformats.org/officeDocument/2006/relationships/hyperlink" Id="rId55" Target="https://www.fda.gov/media/159901/download?attachment=" TargetMode="External" /><Relationship Type="http://schemas.openxmlformats.org/officeDocument/2006/relationships/hyperlink" Id="rId23" Target="https://www.fda.gov/patients/fast-track-breakthrough-therapy-accelerated-approval-priority-review/priority-review" TargetMode="External" /><Relationship Type="http://schemas.openxmlformats.org/officeDocument/2006/relationships/hyperlink" Id="rId22" Target="https://www.fda.gov/patients/learn-about-drug-and-device-approvals/fast-track-breakthrough-therapy-accelerated-approval-priority-review" TargetMode="External" /><Relationship Type="http://schemas.openxmlformats.org/officeDocument/2006/relationships/hyperlink" Id="rId25" Target="https://www.fda.gov/regulatory-information/search-fda-guidance-documents/expedited-programs-serious-conditions-drugs-and-biologics" TargetMode="External" /><Relationship Type="http://schemas.openxmlformats.org/officeDocument/2006/relationships/hyperlink" Id="rId32" Target="https://www.federalregister.gov/documents/2020/11/02/2020-21302/suspicious-orders-of-controlled-substances?utm_source=chatgpt.com" TargetMode="External" /><Relationship Type="http://schemas.openxmlformats.org/officeDocument/2006/relationships/hyperlink" Id="rId37" Target="https://www.nflis.deadiversion.usdoj.gov/drug.xhtml" TargetMode="External" /><Relationship Type="http://schemas.openxmlformats.org/officeDocument/2006/relationships/hyperlink" Id="rId39" Target="https://www.nflis.deadiversion.usdoj.gov/nflisdata/docs/2022NFLISPublicDQSQuickReference.pdf?utm_source=chatgpt.com" TargetMode="External" /><Relationship Type="http://schemas.openxmlformats.org/officeDocument/2006/relationships/hyperlink" Id="rId21" Target="https://www.nflis.deadiversion.usdoj.gov/nflisdata/docs/2k17NFLISQA.pdf" TargetMode="External" /><Relationship Type="http://schemas.openxmlformats.org/officeDocument/2006/relationships/hyperlink" Id="rId42" Target="https://www.nflis.deadiversion.usdoj.gov/overview.xhtml?utm_source=chatgpt.com" TargetMode="External" /><Relationship Type="http://schemas.openxmlformats.org/officeDocument/2006/relationships/hyperlink" Id="rId38" Target="https://www.nflis.deadiversion.usdoj.gov/publicDQSinfo.xhtml?utm_source=chatgpt.com" TargetMode="External" /><Relationship Type="http://schemas.openxmlformats.org/officeDocument/2006/relationships/hyperlink" Id="rId50" Target="https://www.sciencedirect.com/science/article/abs/pii/S0304407621001445" TargetMode="External" /></Relationships>
</file>

<file path=word/_rels/footnotes.xml.rels><?xml version="1.0" encoding="UTF-8"?><Relationships xmlns="http://schemas.openxmlformats.org/package/2006/relationships"><Relationship Type="http://schemas.openxmlformats.org/officeDocument/2006/relationships/hyperlink" Id="rId44" Target="https://api.fda.gov/drug/drugsfda.json?limit=1" TargetMode="External" /><Relationship Type="http://schemas.openxmlformats.org/officeDocument/2006/relationships/hyperlink" Id="rId31" Target="https://deadiversion.usdoj.gov/arcos/arcos.html?utm_source=chatgpt.com" TargetMode="External" /><Relationship Type="http://schemas.openxmlformats.org/officeDocument/2006/relationships/hyperlink" Id="rId36" Target="https://pmc.ncbi.nlm.nih.gov/articles/PMC8115932/?utm_source=chatgpt.com" TargetMode="External" /><Relationship Type="http://schemas.openxmlformats.org/officeDocument/2006/relationships/hyperlink" Id="rId34" Target="https://www.dea.gov/press-releases/2019/02/26/dea-announces-enhanced-tool-registered-drug-manufacturers-and?utm_source=chatgpt.com" TargetMode="External" /><Relationship Type="http://schemas.openxmlformats.org/officeDocument/2006/relationships/hyperlink" Id="rId33" Target="https://www.deadiversion.usdoj.gov/arcos/retail_drug_summary/arcos-drug-summary-reports.html" TargetMode="External" /><Relationship Type="http://schemas.openxmlformats.org/officeDocument/2006/relationships/hyperlink" Id="rId27" Target="https://www.fda.gov/drugs/drug-approvals-and-databases/drugsfda-data-files" TargetMode="External" /><Relationship Type="http://schemas.openxmlformats.org/officeDocument/2006/relationships/hyperlink" Id="rId24" Target="https://www.fda.gov/drugs/nda-and-bla-approvals/fast-track-approvals" TargetMode="External" /><Relationship Type="http://schemas.openxmlformats.org/officeDocument/2006/relationships/hyperlink" Id="rId29" Target="https://www.fda.gov/drugs/nda-and-bla-approvals/nda-and-bla-approval-times" TargetMode="External" /><Relationship Type="http://schemas.openxmlformats.org/officeDocument/2006/relationships/hyperlink" Id="rId28" Target="https://www.fda.gov/media/151146/download?attachment=" TargetMode="External" /><Relationship Type="http://schemas.openxmlformats.org/officeDocument/2006/relationships/hyperlink" Id="rId55" Target="https://www.fda.gov/media/159901/download?attachment=" TargetMode="External" /><Relationship Type="http://schemas.openxmlformats.org/officeDocument/2006/relationships/hyperlink" Id="rId23" Target="https://www.fda.gov/patients/fast-track-breakthrough-therapy-accelerated-approval-priority-review/priority-review" TargetMode="External" /><Relationship Type="http://schemas.openxmlformats.org/officeDocument/2006/relationships/hyperlink" Id="rId22" Target="https://www.fda.gov/patients/learn-about-drug-and-device-approvals/fast-track-breakthrough-therapy-accelerated-approval-priority-review" TargetMode="External" /><Relationship Type="http://schemas.openxmlformats.org/officeDocument/2006/relationships/hyperlink" Id="rId25" Target="https://www.fda.gov/regulatory-information/search-fda-guidance-documents/expedited-programs-serious-conditions-drugs-and-biologics" TargetMode="External" /><Relationship Type="http://schemas.openxmlformats.org/officeDocument/2006/relationships/hyperlink" Id="rId32" Target="https://www.federalregister.gov/documents/2020/11/02/2020-21302/suspicious-orders-of-controlled-substances?utm_source=chatgpt.com" TargetMode="External" /><Relationship Type="http://schemas.openxmlformats.org/officeDocument/2006/relationships/hyperlink" Id="rId37" Target="https://www.nflis.deadiversion.usdoj.gov/drug.xhtml" TargetMode="External" /><Relationship Type="http://schemas.openxmlformats.org/officeDocument/2006/relationships/hyperlink" Id="rId39" Target="https://www.nflis.deadiversion.usdoj.gov/nflisdata/docs/2022NFLISPublicDQSQuickReference.pdf?utm_source=chatgpt.com" TargetMode="External" /><Relationship Type="http://schemas.openxmlformats.org/officeDocument/2006/relationships/hyperlink" Id="rId21" Target="https://www.nflis.deadiversion.usdoj.gov/nflisdata/docs/2k17NFLISQA.pdf" TargetMode="External" /><Relationship Type="http://schemas.openxmlformats.org/officeDocument/2006/relationships/hyperlink" Id="rId42" Target="https://www.nflis.deadiversion.usdoj.gov/overview.xhtml?utm_source=chatgpt.com" TargetMode="External" /><Relationship Type="http://schemas.openxmlformats.org/officeDocument/2006/relationships/hyperlink" Id="rId38" Target="https://www.nflis.deadiversion.usdoj.gov/publicDQSinfo.xhtml?utm_source=chatgpt.com" TargetMode="External" /><Relationship Type="http://schemas.openxmlformats.org/officeDocument/2006/relationships/hyperlink" Id="rId50" Target="https://www.sciencedirect.com/science/article/abs/pii/S03044076210014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2026-02-27T20:56:58Z</dcterms:created>
  <dcterms:modified xsi:type="dcterms:W3CDTF">2026-02-27T20:56:58Z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