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t>Supplementary Information</w:t>
      </w:r>
    </w:p>
    <w:p>
      <w:pPr>
        <w:pStyle w:val="Normal"/>
        <w:rPr/>
      </w:pPr>
      <w:r>
        <w:rPr/>
        <w:t>Large-scale meta-anal</w:t>
      </w:r>
      <w:bookmarkStart w:id="0" w:name="_GoBack"/>
      <w:bookmarkEnd w:id="0"/>
      <w:r>
        <w:rPr/>
        <w:t>ysis suggests low regional modularity in lateral frontal cortex.</w:t>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285230" cy="15201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285230" cy="1520190"/>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254750" cy="151447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254750" cy="1514475"/>
                    </a:xfrm>
                    <a:prstGeom prst="rect">
                      <a:avLst/>
                    </a:prstGeom>
                  </pic:spPr>
                </pic:pic>
              </a:graphicData>
            </a:graphic>
          </wp:anchor>
        </w:drawing>
      </w:r>
    </w:p>
    <w:p>
      <w:pPr>
        <w:pStyle w:val="Normal"/>
        <w:rPr/>
      </w:pPr>
      <w:r>
        <w:rPr>
          <w:b/>
        </w:rPr>
        <w:t>Supplemental Figure 1</w:t>
      </w:r>
      <w:r>
        <w:rPr/>
        <w:t xml:space="preserve">. </w:t>
      </w:r>
      <w:r>
        <w:rPr/>
        <w:t>M</w:t>
      </w:r>
      <w:r>
        <w:rPr/>
        <w:t xml:space="preserve">ask used to select lateral frontal cortex clusters from whole-brain hierarchical clustering </w:t>
      </w:r>
      <w:r>
        <w:rPr/>
        <w:t>results. Top) Axial. Bottom) Saggital.</w:t>
      </w:r>
    </w:p>
    <w:p>
      <w:pPr>
        <w:pStyle w:val="Normal"/>
        <w:rPr/>
      </w:pPr>
      <w:r>
        <w:rPr/>
        <w:drawing>
          <wp:inline distT="0" distB="0" distL="0" distR="0">
            <wp:extent cx="5486400" cy="73152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486400" cy="7315200"/>
                    </a:xfrm>
                    <a:prstGeom prst="rect">
                      <a:avLst/>
                    </a:prstGeom>
                  </pic:spPr>
                </pic:pic>
              </a:graphicData>
            </a:graphic>
          </wp:inline>
        </w:drawing>
      </w:r>
      <w:r>
        <w:rPr/>
        <w:t xml:space="preserve"> </w:t>
      </w:r>
    </w:p>
    <w:p>
      <w:pPr>
        <w:pStyle w:val="Normal"/>
        <w:rPr/>
      </w:pPr>
      <w:bookmarkStart w:id="1" w:name="__DdeLink__1293_693925293"/>
      <w:r>
        <w:rPr>
          <w:b/>
        </w:rPr>
        <w:t>Supplemental Figure 2</w:t>
      </w:r>
      <w:r>
        <w:rPr/>
        <w:t xml:space="preserve">. Whole brain hierarchical clustering results at </w:t>
      </w:r>
      <w:r>
        <w:rPr>
          <w:i/>
        </w:rPr>
        <w:t>k</w:t>
      </w:r>
      <w:r>
        <w:rPr/>
        <w:t xml:space="preserve">=5 and </w:t>
      </w:r>
      <w:r>
        <w:rPr>
          <w:i/>
        </w:rPr>
        <w:t>k</w:t>
      </w:r>
      <w:bookmarkEnd w:id="1"/>
      <w:r>
        <w:rPr/>
        <w:t xml:space="preserve">=70. In addition to the three clusters in LFC, we identified two clusters primarily outside of LFC, which we refer to as the “ventral attention” network (yellow), and the “visual” network (blue).  </w:t>
      </w:r>
    </w:p>
    <w:p>
      <w:pPr>
        <w:pStyle w:val="Normal"/>
        <w:rPr/>
      </w:pPr>
      <w:r>
        <w:rPr/>
      </w:r>
    </w:p>
    <w:p>
      <w:pPr>
        <w:pStyle w:val="Normal"/>
        <w:rPr/>
      </w:pPr>
      <w:r>
        <w:rPr/>
      </w:r>
    </w:p>
    <w:p>
      <w:pPr>
        <w:pStyle w:val="Normal"/>
        <w:rPr/>
      </w:pPr>
      <w:r>
        <w:rPr/>
        <w:drawing>
          <wp:inline distT="0" distB="0" distL="0" distR="0">
            <wp:extent cx="5829300" cy="391541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829300" cy="3915410"/>
                    </a:xfrm>
                    <a:prstGeom prst="rect">
                      <a:avLst/>
                    </a:prstGeom>
                  </pic:spPr>
                </pic:pic>
              </a:graphicData>
            </a:graphic>
          </wp:inline>
        </w:drawing>
      </w:r>
    </w:p>
    <w:p>
      <w:pPr>
        <w:pStyle w:val="Normal"/>
        <w:rPr/>
      </w:pPr>
      <w:r>
        <w:rPr>
          <w:b/>
        </w:rPr>
        <w:t>Supplemental Figure 3</w:t>
      </w:r>
      <w:r>
        <w:rPr/>
        <w:t xml:space="preserve">. Cross-reference of the Dice coefficient overlap between our clusters at </w:t>
      </w:r>
      <w:r>
        <w:rPr>
          <w:i/>
        </w:rPr>
        <w:t xml:space="preserve">k </w:t>
      </w:r>
      <w:r>
        <w:rPr/>
        <w:t xml:space="preserve">= 5 and Yeo et al., (2011)’s 7-Network solution (liberal). Greater dice coefficients indicate greater spatial overlap. Overall, there was substantial overlap between the two sets of clusters. Due to the lower dimensionality of our parcellation,  some clusters (e.g. sensori-motor) showed moderated to more than one of Yeo’s networks. </w:t>
      </w:r>
    </w:p>
    <w:p>
      <w:pPr>
        <w:pStyle w:val="Normal"/>
        <w:rPr/>
      </w:pPr>
      <w:r>
        <w:rPr/>
      </w:r>
    </w:p>
    <w:p>
      <w:pPr>
        <w:pStyle w:val="Normal"/>
        <w:rPr/>
      </w:pPr>
      <w:r>
        <w:rPr/>
        <w:drawing>
          <wp:inline distT="0" distB="0" distL="0" distR="0">
            <wp:extent cx="5497195" cy="857440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rcRect l="0" t="379" r="0" b="372"/>
                    <a:stretch>
                      <a:fillRect/>
                    </a:stretch>
                  </pic:blipFill>
                  <pic:spPr bwMode="auto">
                    <a:xfrm>
                      <a:off x="0" y="0"/>
                      <a:ext cx="5497195" cy="8574405"/>
                    </a:xfrm>
                    <a:prstGeom prst="rect">
                      <a:avLst/>
                    </a:prstGeom>
                  </pic:spPr>
                </pic:pic>
              </a:graphicData>
            </a:graphic>
          </wp:inline>
        </w:drawing>
      </w:r>
    </w:p>
    <w:p>
      <w:pPr>
        <w:pStyle w:val="Normal"/>
        <w:rPr/>
      </w:pPr>
      <w:r>
        <w:rPr>
          <w:b/>
        </w:rPr>
        <w:t>Supplemental Figure 4</w:t>
      </w:r>
      <w:r>
        <w:rPr/>
        <w:t>. Strength of association between the 16 topics analyzed throughout the manuscript and individual LFC sub-regions, measured as log odds ratio (LOR). 95% confidence intervals for LORs were generated by bootstrapping the full set of studies 1000 times. Colors for each region correspond to those used throughout the main text.</w:t>
      </w:r>
    </w:p>
    <w:sectPr>
      <w:type w:val="nextPage"/>
      <w:pgSz w:w="12240" w:h="15840"/>
      <w:pgMar w:left="1440" w:right="1440" w:header="0" w:top="1152" w:footer="0" w:bottom="1152"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24"/>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mbria" w:hAnsi="Cambria" w:eastAsia="ＭＳ 明朝" w:cs="" w:asciiTheme="minorHAnsi" w:cstheme="minorBidi" w:eastAsiaTheme="minorEastAsia" w:hAnsiTheme="minorHAnsi"/>
      <w:color w:val="00000A"/>
      <w:sz w:val="24"/>
      <w:szCs w:val="24"/>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4853c7"/>
    <w:rPr>
      <w:rFonts w:ascii="Lucida Grande" w:hAnsi="Lucida Grande" w:cs="Lucida Grande"/>
      <w:sz w:val="18"/>
      <w:szCs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4853c7"/>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Application>LibreOffice/5.1.6.2$Linux_X86_64 LibreOffice_project/10m0$Build-2</Application>
  <Pages>5</Pages>
  <Words>190</Words>
  <Characters>1127</Characters>
  <CharactersWithSpaces>1316</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2016-10-14T00:26:00Z</dcterms:created>
  <dc:creator>Alejandro De La Vega</dc:creator>
  <dc:description/>
  <dc:language>en-US</dc:language>
  <cp:lastModifiedBy/>
  <dcterms:modified xsi:type="dcterms:W3CDTF">2017-05-27T15:35:29Z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