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B57"/>
          <w:sz w:val="44"/>
          <w:szCs w:val="44"/>
        </w:rPr>
        <w:t xml:space="preserve">Hoja de ruta general</w:t>
      </w:r>
    </w:p>
    <w:p>
      <w:pPr>
        <w:spacing w:after="40"/>
      </w:pPr>
      <w:r>
        <w:rPr>
          <w:color w:val="555555"/>
          <w:sz w:val="24"/>
          <w:szCs w:val="24"/>
        </w:rPr>
        <w:t xml:space="preserve">ExamPrep / Odonto-Quiz — qué sigue, con el modelo de suscripción por días incluido</w:t>
      </w:r>
    </w:p>
    <w:p>
      <w:pPr>
        <w:spacing w:after="300"/>
      </w:pPr>
      <w:r>
        <w:rPr>
          <w:i/>
          <w:iCs/>
          <w:color w:val="888888"/>
          <w:sz w:val="20"/>
          <w:szCs w:val="20"/>
        </w:rPr>
        <w:t xml:space="preserve">Alejandro · 1 de agosto de 2026</w:t>
      </w:r>
    </w:p>
    <w:p>
      <w:pPr>
        <w:pStyle w:val="Heading1"/>
        <w:spacing w:after="160" w:before="320"/>
      </w:pPr>
      <w:r>
        <w:t xml:space="preserve">Punto de partida</w:t>
      </w:r>
    </w:p>
    <w:p>
      <w:pPr>
        <w:spacing w:after="180"/>
        <w:jc w:val="both"/>
      </w:pPr>
      <w:r>
        <w:t xml:space="preserve">Este documento reúne en un único listado los pendientes de los tres estudios anteriores (escalabilidad, Academia/pagos/seguridad y presupuesto) más el diseño concreto del modelo de suscripción por días que planteaste. La idea es que a partir de aquí se trabaje contra esta lista y no haga falta ir a buscar cada pendiente en documentos separados.</w:t>
      </w:r>
    </w:p>
    <w:p>
      <w:pPr>
        <w:pStyle w:val="Heading1"/>
        <w:spacing w:after="160" w:before="320"/>
      </w:pPr>
      <w:r>
        <w:t xml:space="preserve">El modelo de suscripción por días</w:t>
      </w:r>
    </w:p>
    <w:p>
      <w:pPr>
        <w:spacing w:after="180"/>
        <w:jc w:val="both"/>
      </w:pPr>
      <w:r>
        <w:t xml:space="preserve">La idea que describiste —pagas y se te abre un contador de días, no necesariamente un mes natural— encaja bien con una tabla nueva y sencilla en la base de datos, sin necesidad de ningún proceso automático corriendo de fondo. Cada vez que se confirma un pago se guarda una fila con la fecha del pago y cuántos días de acceso compra ese pago; el vencimiento se calcula sumando esos días a la fecha de pago. Para saber si alguien tiene acceso en un momento dado, basta con comprobar si la fecha de vencimiento de su fila más reciente ya pasó o no — no hace falta ningún tipo de tarea programada revisando cuentas cada noche, la comprobación se hace al vuelo cada vez que el usuario abre la Academia.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3B57" w:color="auto" w:val="clear"/>
            <w:tcMar>
              <w:top w:type="dxa" w:w="100"/>
              <w:left w:type="dxa" w:w="120"/>
              <w:bottom w:type="dxa" w:w="100"/>
              <w:right w:type="dxa" w:w="120"/>
            </w:tcMar>
          </w:tcPr>
          <w:p>
            <w:r>
              <w:rPr>
                <w:b/>
                <w:bCs/>
                <w:color w:val="FFFFFF"/>
                <w:sz w:val="20"/>
                <w:szCs w:val="20"/>
              </w:rPr>
              <w:t xml:space="preserve">Campo</w:t>
            </w:r>
          </w:p>
        </w:tc>
        <w:tc>
          <w:tcPr>
            <w:tcW w:type="dxa" w:w="6750"/>
            <w:shd w:fill="1F3B57" w:color="auto" w:val="clear"/>
            <w:tcMar>
              <w:top w:type="dxa" w:w="100"/>
              <w:left w:type="dxa" w:w="120"/>
              <w:bottom w:type="dxa" w:w="100"/>
              <w:right w:type="dxa" w:w="120"/>
            </w:tcMar>
          </w:tcPr>
          <w:p>
            <w:r>
              <w:rPr>
                <w:b/>
                <w:bCs/>
                <w:color w:val="FFFFFF"/>
                <w:sz w:val="20"/>
                <w:szCs w:val="20"/>
              </w:rPr>
              <w:t xml:space="preserve">Para qué sirve</w:t>
            </w:r>
          </w:p>
        </w:tc>
      </w:tr>
      <w:tr>
        <w:tc>
          <w:tcPr>
            <w:tcW w:type="dxa" w:w="2600"/>
            <w:tcMar>
              <w:top w:type="dxa" w:w="100"/>
              <w:left w:type="dxa" w:w="120"/>
              <w:bottom w:type="dxa" w:w="100"/>
              <w:right w:type="dxa" w:w="120"/>
            </w:tcMar>
          </w:tcPr>
          <w:p>
            <w:r>
              <w:rPr>
                <w:b w:val="false"/>
                <w:bCs w:val="false"/>
                <w:sz w:val="20"/>
                <w:szCs w:val="20"/>
              </w:rPr>
              <w:t xml:space="preserve">user_id</w:t>
            </w:r>
          </w:p>
        </w:tc>
        <w:tc>
          <w:tcPr>
            <w:tcW w:type="dxa" w:w="6750"/>
            <w:tcMar>
              <w:top w:type="dxa" w:w="100"/>
              <w:left w:type="dxa" w:w="120"/>
              <w:bottom w:type="dxa" w:w="100"/>
              <w:right w:type="dxa" w:w="120"/>
            </w:tcMar>
          </w:tcPr>
          <w:p>
            <w:r>
              <w:rPr>
                <w:b w:val="false"/>
                <w:bCs w:val="false"/>
                <w:sz w:val="20"/>
                <w:szCs w:val="20"/>
              </w:rPr>
              <w:t xml:space="preserve">A quién pertenece la suscripción (igual que en las tablas actuales)</w:t>
            </w:r>
          </w:p>
        </w:tc>
      </w:tr>
      <w:tr>
        <w:tc>
          <w:tcPr>
            <w:tcW w:type="dxa" w:w="2600"/>
            <w:tcMar>
              <w:top w:type="dxa" w:w="100"/>
              <w:left w:type="dxa" w:w="120"/>
              <w:bottom w:type="dxa" w:w="100"/>
              <w:right w:type="dxa" w:w="120"/>
            </w:tcMar>
          </w:tcPr>
          <w:p>
            <w:r>
              <w:rPr>
                <w:b w:val="false"/>
                <w:bCs w:val="false"/>
                <w:sz w:val="20"/>
                <w:szCs w:val="20"/>
              </w:rPr>
              <w:t xml:space="preserve">fecha_pago</w:t>
            </w:r>
          </w:p>
        </w:tc>
        <w:tc>
          <w:tcPr>
            <w:tcW w:type="dxa" w:w="6750"/>
            <w:tcMar>
              <w:top w:type="dxa" w:w="100"/>
              <w:left w:type="dxa" w:w="120"/>
              <w:bottom w:type="dxa" w:w="100"/>
              <w:right w:type="dxa" w:w="120"/>
            </w:tcMar>
          </w:tcPr>
          <w:p>
            <w:r>
              <w:rPr>
                <w:b w:val="false"/>
                <w:bCs w:val="false"/>
                <w:sz w:val="20"/>
                <w:szCs w:val="20"/>
              </w:rPr>
              <w:t xml:space="preserve">Cuándo se registró el último pago confirmado</w:t>
            </w:r>
          </w:p>
        </w:tc>
      </w:tr>
      <w:tr>
        <w:tc>
          <w:tcPr>
            <w:tcW w:type="dxa" w:w="2600"/>
            <w:tcMar>
              <w:top w:type="dxa" w:w="100"/>
              <w:left w:type="dxa" w:w="120"/>
              <w:bottom w:type="dxa" w:w="100"/>
              <w:right w:type="dxa" w:w="120"/>
            </w:tcMar>
          </w:tcPr>
          <w:p>
            <w:r>
              <w:rPr>
                <w:b w:val="false"/>
                <w:bCs w:val="false"/>
                <w:sz w:val="20"/>
                <w:szCs w:val="20"/>
              </w:rPr>
              <w:t xml:space="preserve">duracion_dias</w:t>
            </w:r>
          </w:p>
        </w:tc>
        <w:tc>
          <w:tcPr>
            <w:tcW w:type="dxa" w:w="6750"/>
            <w:tcMar>
              <w:top w:type="dxa" w:w="100"/>
              <w:left w:type="dxa" w:w="120"/>
              <w:bottom w:type="dxa" w:w="100"/>
              <w:right w:type="dxa" w:w="120"/>
            </w:tcMar>
          </w:tcPr>
          <w:p>
            <w:r>
              <w:rPr>
                <w:b w:val="false"/>
                <w:bCs w:val="false"/>
                <w:sz w:val="20"/>
                <w:szCs w:val="20"/>
              </w:rPr>
              <w:t xml:space="preserve">Cuántos días de acceso da ese pago — hoy 30, pero es un número configurable, no fijo en el código</w:t>
            </w:r>
          </w:p>
        </w:tc>
      </w:tr>
      <w:tr>
        <w:tc>
          <w:tcPr>
            <w:tcW w:type="dxa" w:w="2600"/>
            <w:tcMar>
              <w:top w:type="dxa" w:w="100"/>
              <w:left w:type="dxa" w:w="120"/>
              <w:bottom w:type="dxa" w:w="100"/>
              <w:right w:type="dxa" w:w="120"/>
            </w:tcMar>
          </w:tcPr>
          <w:p>
            <w:r>
              <w:rPr>
                <w:b w:val="false"/>
                <w:bCs w:val="false"/>
                <w:sz w:val="20"/>
                <w:szCs w:val="20"/>
              </w:rPr>
              <w:t xml:space="preserve">fecha_vencimiento</w:t>
            </w:r>
          </w:p>
        </w:tc>
        <w:tc>
          <w:tcPr>
            <w:tcW w:type="dxa" w:w="6750"/>
            <w:tcMar>
              <w:top w:type="dxa" w:w="100"/>
              <w:left w:type="dxa" w:w="120"/>
              <w:bottom w:type="dxa" w:w="100"/>
              <w:right w:type="dxa" w:w="120"/>
            </w:tcMar>
          </w:tcPr>
          <w:p>
            <w:r>
              <w:rPr>
                <w:b w:val="false"/>
                <w:bCs w:val="false"/>
                <w:sz w:val="20"/>
                <w:szCs w:val="20"/>
              </w:rPr>
              <w:t xml:space="preserve">fecha_pago + duracion_dias, calculada al insertar la fila</w:t>
            </w:r>
          </w:p>
        </w:tc>
      </w:tr>
      <w:tr>
        <w:tc>
          <w:tcPr>
            <w:tcW w:type="dxa" w:w="2600"/>
            <w:tcMar>
              <w:top w:type="dxa" w:w="100"/>
              <w:left w:type="dxa" w:w="120"/>
              <w:bottom w:type="dxa" w:w="100"/>
              <w:right w:type="dxa" w:w="120"/>
            </w:tcMar>
          </w:tcPr>
          <w:p>
            <w:r>
              <w:rPr>
                <w:b w:val="false"/>
                <w:bCs w:val="false"/>
                <w:sz w:val="20"/>
                <w:szCs w:val="20"/>
              </w:rPr>
              <w:t xml:space="preserve">monto</w:t>
            </w:r>
          </w:p>
        </w:tc>
        <w:tc>
          <w:tcPr>
            <w:tcW w:type="dxa" w:w="6750"/>
            <w:tcMar>
              <w:top w:type="dxa" w:w="100"/>
              <w:left w:type="dxa" w:w="120"/>
              <w:bottom w:type="dxa" w:w="100"/>
              <w:right w:type="dxa" w:w="120"/>
            </w:tcMar>
          </w:tcPr>
          <w:p>
            <w:r>
              <w:rPr>
                <w:b w:val="false"/>
                <w:bCs w:val="false"/>
                <w:sz w:val="20"/>
                <w:szCs w:val="20"/>
              </w:rPr>
              <w:t xml:space="preserve">Cuánto pagó, para llevar historial y cuadrar cuentas</w:t>
            </w:r>
          </w:p>
        </w:tc>
      </w:tr>
      <w:tr>
        <w:tc>
          <w:tcPr>
            <w:tcW w:type="dxa" w:w="2600"/>
            <w:tcMar>
              <w:top w:type="dxa" w:w="100"/>
              <w:left w:type="dxa" w:w="120"/>
              <w:bottom w:type="dxa" w:w="100"/>
              <w:right w:type="dxa" w:w="120"/>
            </w:tcMar>
          </w:tcPr>
          <w:p>
            <w:r>
              <w:rPr>
                <w:b w:val="false"/>
                <w:bCs w:val="false"/>
                <w:sz w:val="20"/>
                <w:szCs w:val="20"/>
              </w:rPr>
              <w:t xml:space="preserve">stripe_payment_id</w:t>
            </w:r>
          </w:p>
        </w:tc>
        <w:tc>
          <w:tcPr>
            <w:tcW w:type="dxa" w:w="6750"/>
            <w:tcMar>
              <w:top w:type="dxa" w:w="100"/>
              <w:left w:type="dxa" w:w="120"/>
              <w:bottom w:type="dxa" w:w="100"/>
              <w:right w:type="dxa" w:w="120"/>
            </w:tcMar>
          </w:tcPr>
          <w:p>
            <w:r>
              <w:rPr>
                <w:b w:val="false"/>
                <w:bCs w:val="false"/>
                <w:sz w:val="20"/>
                <w:szCs w:val="20"/>
              </w:rPr>
              <w:t xml:space="preserve">El identificador del cobro en Stripe, para no procesar el mismo pago dos veces si el webhook se repite</w:t>
            </w:r>
          </w:p>
        </w:tc>
      </w:tr>
    </w:tbl>
    <w:p>
      <w:pPr>
        <w:spacing w:before="200"/>
      </w:pPr>
    </w:p>
    <w:p>
      <w:pPr>
        <w:spacing w:after="180"/>
        <w:jc w:val="both"/>
      </w:pPr>
      <w:r>
        <w:t xml:space="preserve">Con esta tabla, cambiar de "un mes" a "20 días" o a "una semana de prueba" es solo cambiar el número que se guarda en duracion_dias al crear la fila — no requiere tocar el resto del sistema. Y si alguien paga antes de que caduque su suscripción actual, lo natural es sumar los días nuevos a la fecha de vencimiento que ya tenía, en vez de reiniciar el contador, para que nunca pierda tiempo ya pagado.</w:t>
      </w:r>
    </w:p>
    <w:p>
      <w:pPr>
        <w:spacing w:after="180"/>
        <w:jc w:val="both"/>
      </w:pPr>
      <w:r>
        <w:t xml:space="preserve">Quién crea esa fila: nunca el propio usuario desde la app —eso sería fácil de falsificar—, sino la función de servidor que recibe el aviso de pago confirmado de Stripe, tal como se explicó en el estudio de Academia, pagos y seguridad. Esa misma función es el punto natural para, más adelante, mandar un aviso por correo unos días antes de que venza la suscripción, si se quiere añadir esa mejora.</w:t>
      </w:r>
    </w:p>
    <w:p>
      <w:pPr>
        <w:pStyle w:val="Heading1"/>
        <w:spacing w:after="160" w:before="320"/>
      </w:pPr>
      <w:r>
        <w:t xml:space="preserve">Listado consolidado de tareas</w:t>
      </w:r>
    </w:p>
    <w:p>
      <w:pPr>
        <w:spacing w:after="180"/>
        <w:jc w:val="both"/>
      </w:pPr>
      <w:r>
        <w:t xml:space="preserve">Ordenado por fases: primero lo que hay que tener listo antes de empezar a cobrar, después la deuda técnica ya identificada en el simulador actual, luego lo específico de la Academia, y al final lo que puede esperar.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850"/>
      </w:tblGrid>
      <w:tr>
        <w:tc>
          <w:tcPr>
            <w:tcW w:type="dxa" w:w="2200"/>
            <w:shd w:fill="1F3B57" w:color="auto" w:val="clear"/>
            <w:tcMar>
              <w:top w:type="dxa" w:w="100"/>
              <w:left w:type="dxa" w:w="120"/>
              <w:bottom w:type="dxa" w:w="100"/>
              <w:right w:type="dxa" w:w="120"/>
            </w:tcMar>
          </w:tcPr>
          <w:p>
            <w:r>
              <w:rPr>
                <w:b/>
                <w:bCs/>
                <w:color w:val="FFFFFF"/>
                <w:sz w:val="20"/>
                <w:szCs w:val="20"/>
              </w:rPr>
              <w:t xml:space="preserve">Fase</w:t>
            </w:r>
          </w:p>
        </w:tc>
        <w:tc>
          <w:tcPr>
            <w:tcW w:type="dxa" w:w="5300"/>
            <w:shd w:fill="1F3B57" w:color="auto" w:val="clear"/>
            <w:tcMar>
              <w:top w:type="dxa" w:w="100"/>
              <w:left w:type="dxa" w:w="120"/>
              <w:bottom w:type="dxa" w:w="100"/>
              <w:right w:type="dxa" w:w="120"/>
            </w:tcMar>
          </w:tcPr>
          <w:p>
            <w:r>
              <w:rPr>
                <w:b/>
                <w:bCs/>
                <w:color w:val="FFFFFF"/>
                <w:sz w:val="20"/>
                <w:szCs w:val="20"/>
              </w:rPr>
              <w:t xml:space="preserve">Tarea</w:t>
            </w:r>
          </w:p>
        </w:tc>
        <w:tc>
          <w:tcPr>
            <w:tcW w:type="dxa" w:w="1850"/>
            <w:shd w:fill="1F3B57" w:color="auto" w:val="clear"/>
            <w:tcMar>
              <w:top w:type="dxa" w:w="100"/>
              <w:left w:type="dxa" w:w="120"/>
              <w:bottom w:type="dxa" w:w="100"/>
              <w:right w:type="dxa" w:w="120"/>
            </w:tcMar>
          </w:tcPr>
          <w:p>
            <w:r>
              <w:rPr>
                <w:b/>
                <w:bCs/>
                <w:color w:val="FFFFFF"/>
                <w:sz w:val="20"/>
                <w:szCs w:val="20"/>
              </w:rPr>
              <w:t xml:space="preserve">Prioridad</w:t>
            </w:r>
          </w:p>
        </w:tc>
      </w:tr>
      <w:tr>
        <w:tc>
          <w:tcPr>
            <w:tcW w:type="dxa" w:w="2200"/>
            <w:tcMar>
              <w:top w:type="dxa" w:w="100"/>
              <w:left w:type="dxa" w:w="120"/>
              <w:bottom w:type="dxa" w:w="100"/>
              <w:right w:type="dxa" w:w="120"/>
            </w:tcMar>
          </w:tcPr>
          <w:p>
            <w:r>
              <w:rPr>
                <w:b w:val="false"/>
                <w:bCs w:val="false"/>
                <w:sz w:val="20"/>
                <w:szCs w:val="20"/>
              </w:rPr>
              <w:t xml:space="preserve">1 · Antes de cobrar</w:t>
            </w:r>
          </w:p>
        </w:tc>
        <w:tc>
          <w:tcPr>
            <w:tcW w:type="dxa" w:w="5300"/>
            <w:tcMar>
              <w:top w:type="dxa" w:w="100"/>
              <w:left w:type="dxa" w:w="120"/>
              <w:bottom w:type="dxa" w:w="100"/>
              <w:right w:type="dxa" w:w="120"/>
            </w:tcMar>
          </w:tcPr>
          <w:p>
            <w:r>
              <w:rPr>
                <w:b w:val="false"/>
                <w:bCs w:val="false"/>
                <w:sz w:val="20"/>
                <w:szCs w:val="20"/>
              </w:rPr>
              <w:t xml:space="preserve">Crear la tabla suscripciones y la función que calcula si un usuario tiene acceso activo</w:t>
            </w:r>
          </w:p>
        </w:tc>
        <w:tc>
          <w:tcPr>
            <w:tcW w:type="dxa" w:w="1850"/>
            <w:tcMar>
              <w:top w:type="dxa" w:w="100"/>
              <w:left w:type="dxa" w:w="120"/>
              <w:bottom w:type="dxa" w:w="100"/>
              <w:right w:type="dxa" w:w="120"/>
            </w:tcMar>
          </w:tcPr>
          <w:p>
            <w:r>
              <w:rPr>
                <w:b w:val="false"/>
                <w:bCs w:val="false"/>
                <w:sz w:val="20"/>
                <w:szCs w:val="20"/>
              </w:rPr>
              <w:t xml:space="preserve">Crítico</w:t>
            </w:r>
          </w:p>
        </w:tc>
      </w:tr>
      <w:tr>
        <w:tc>
          <w:tcPr>
            <w:tcW w:type="dxa" w:w="2200"/>
            <w:tcMar>
              <w:top w:type="dxa" w:w="100"/>
              <w:left w:type="dxa" w:w="120"/>
              <w:bottom w:type="dxa" w:w="100"/>
              <w:right w:type="dxa" w:w="120"/>
            </w:tcMar>
          </w:tcPr>
          <w:p>
            <w:r>
              <w:rPr>
                <w:b w:val="false"/>
                <w:bCs w:val="false"/>
                <w:sz w:val="20"/>
                <w:szCs w:val="20"/>
              </w:rPr>
              <w:t xml:space="preserve">1 · Antes de cobrar</w:t>
            </w:r>
          </w:p>
        </w:tc>
        <w:tc>
          <w:tcPr>
            <w:tcW w:type="dxa" w:w="5300"/>
            <w:tcMar>
              <w:top w:type="dxa" w:w="100"/>
              <w:left w:type="dxa" w:w="120"/>
              <w:bottom w:type="dxa" w:w="100"/>
              <w:right w:type="dxa" w:w="120"/>
            </w:tcMar>
          </w:tcPr>
          <w:p>
            <w:r>
              <w:rPr>
                <w:b w:val="false"/>
                <w:bCs w:val="false"/>
                <w:sz w:val="20"/>
                <w:szCs w:val="20"/>
              </w:rPr>
              <w:t xml:space="preserve">Dar de alta Stripe (tarjeta + Bizum) y montar el checkout de pago</w:t>
            </w:r>
          </w:p>
        </w:tc>
        <w:tc>
          <w:tcPr>
            <w:tcW w:type="dxa" w:w="1850"/>
            <w:tcMar>
              <w:top w:type="dxa" w:w="100"/>
              <w:left w:type="dxa" w:w="120"/>
              <w:bottom w:type="dxa" w:w="100"/>
              <w:right w:type="dxa" w:w="120"/>
            </w:tcMar>
          </w:tcPr>
          <w:p>
            <w:r>
              <w:rPr>
                <w:b w:val="false"/>
                <w:bCs w:val="false"/>
                <w:sz w:val="20"/>
                <w:szCs w:val="20"/>
              </w:rPr>
              <w:t xml:space="preserve">Crítico</w:t>
            </w:r>
          </w:p>
        </w:tc>
      </w:tr>
      <w:tr>
        <w:tc>
          <w:tcPr>
            <w:tcW w:type="dxa" w:w="2200"/>
            <w:tcMar>
              <w:top w:type="dxa" w:w="100"/>
              <w:left w:type="dxa" w:w="120"/>
              <w:bottom w:type="dxa" w:w="100"/>
              <w:right w:type="dxa" w:w="120"/>
            </w:tcMar>
          </w:tcPr>
          <w:p>
            <w:r>
              <w:rPr>
                <w:b w:val="false"/>
                <w:bCs w:val="false"/>
                <w:sz w:val="20"/>
                <w:szCs w:val="20"/>
              </w:rPr>
              <w:t xml:space="preserve">1 · Antes de cobrar</w:t>
            </w:r>
          </w:p>
        </w:tc>
        <w:tc>
          <w:tcPr>
            <w:tcW w:type="dxa" w:w="5300"/>
            <w:tcMar>
              <w:top w:type="dxa" w:w="100"/>
              <w:left w:type="dxa" w:w="120"/>
              <w:bottom w:type="dxa" w:w="100"/>
              <w:right w:type="dxa" w:w="120"/>
            </w:tcMar>
          </w:tcPr>
          <w:p>
            <w:r>
              <w:rPr>
                <w:b w:val="false"/>
                <w:bCs w:val="false"/>
                <w:sz w:val="20"/>
                <w:szCs w:val="20"/>
              </w:rPr>
              <w:t xml:space="preserve">Edge Function que reciba el webhook de Stripe, verifique la firma y cree/renueve la suscripción</w:t>
            </w:r>
          </w:p>
        </w:tc>
        <w:tc>
          <w:tcPr>
            <w:tcW w:type="dxa" w:w="1850"/>
            <w:tcMar>
              <w:top w:type="dxa" w:w="100"/>
              <w:left w:type="dxa" w:w="120"/>
              <w:bottom w:type="dxa" w:w="100"/>
              <w:right w:type="dxa" w:w="120"/>
            </w:tcMar>
          </w:tcPr>
          <w:p>
            <w:r>
              <w:rPr>
                <w:b w:val="false"/>
                <w:bCs w:val="false"/>
                <w:sz w:val="20"/>
                <w:szCs w:val="20"/>
              </w:rPr>
              <w:t xml:space="preserve">Crítico</w:t>
            </w:r>
          </w:p>
        </w:tc>
      </w:tr>
      <w:tr>
        <w:tc>
          <w:tcPr>
            <w:tcW w:type="dxa" w:w="2200"/>
            <w:tcMar>
              <w:top w:type="dxa" w:w="100"/>
              <w:left w:type="dxa" w:w="120"/>
              <w:bottom w:type="dxa" w:w="100"/>
              <w:right w:type="dxa" w:w="120"/>
            </w:tcMar>
          </w:tcPr>
          <w:p>
            <w:r>
              <w:rPr>
                <w:b w:val="false"/>
                <w:bCs w:val="false"/>
                <w:sz w:val="20"/>
                <w:szCs w:val="20"/>
              </w:rPr>
              <w:t xml:space="preserve">1 · Antes de cobrar</w:t>
            </w:r>
          </w:p>
        </w:tc>
        <w:tc>
          <w:tcPr>
            <w:tcW w:type="dxa" w:w="5300"/>
            <w:tcMar>
              <w:top w:type="dxa" w:w="100"/>
              <w:left w:type="dxa" w:w="120"/>
              <w:bottom w:type="dxa" w:w="100"/>
              <w:right w:type="dxa" w:w="120"/>
            </w:tcMar>
          </w:tcPr>
          <w:p>
            <w:r>
              <w:rPr>
                <w:b w:val="false"/>
                <w:bCs w:val="false"/>
                <w:sz w:val="20"/>
                <w:szCs w:val="20"/>
              </w:rPr>
              <w:t xml:space="preserve">Configurar SMTP propio (Resend) — hoy el correo de Supabase se bloquea a 2 altas/hora</w:t>
            </w:r>
          </w:p>
        </w:tc>
        <w:tc>
          <w:tcPr>
            <w:tcW w:type="dxa" w:w="1850"/>
            <w:tcMar>
              <w:top w:type="dxa" w:w="100"/>
              <w:left w:type="dxa" w:w="120"/>
              <w:bottom w:type="dxa" w:w="100"/>
              <w:right w:type="dxa" w:w="120"/>
            </w:tcMar>
          </w:tcPr>
          <w:p>
            <w:r>
              <w:rPr>
                <w:b w:val="false"/>
                <w:bCs w:val="false"/>
                <w:sz w:val="20"/>
                <w:szCs w:val="20"/>
              </w:rPr>
              <w:t xml:space="preserve">Crítico</w:t>
            </w:r>
          </w:p>
        </w:tc>
      </w:tr>
      <w:tr>
        <w:tc>
          <w:tcPr>
            <w:tcW w:type="dxa" w:w="2200"/>
            <w:tcMar>
              <w:top w:type="dxa" w:w="100"/>
              <w:left w:type="dxa" w:w="120"/>
              <w:bottom w:type="dxa" w:w="100"/>
              <w:right w:type="dxa" w:w="120"/>
            </w:tcMar>
          </w:tcPr>
          <w:p>
            <w:r>
              <w:rPr>
                <w:b w:val="false"/>
                <w:bCs w:val="false"/>
                <w:sz w:val="20"/>
                <w:szCs w:val="20"/>
              </w:rPr>
              <w:t xml:space="preserve">1 · Antes de cobrar</w:t>
            </w:r>
          </w:p>
        </w:tc>
        <w:tc>
          <w:tcPr>
            <w:tcW w:type="dxa" w:w="5300"/>
            <w:tcMar>
              <w:top w:type="dxa" w:w="100"/>
              <w:left w:type="dxa" w:w="120"/>
              <w:bottom w:type="dxa" w:w="100"/>
              <w:right w:type="dxa" w:w="120"/>
            </w:tcMar>
          </w:tcPr>
          <w:p>
            <w:r>
              <w:rPr>
                <w:b w:val="false"/>
                <w:bCs w:val="false"/>
                <w:sz w:val="20"/>
                <w:szCs w:val="20"/>
              </w:rPr>
              <w:t xml:space="preserve">Subir el proyecto de Supabase a Pro (backups, sin pausas, más capacidad)</w:t>
            </w:r>
          </w:p>
        </w:tc>
        <w:tc>
          <w:tcPr>
            <w:tcW w:type="dxa" w:w="1850"/>
            <w:tcMar>
              <w:top w:type="dxa" w:w="100"/>
              <w:left w:type="dxa" w:w="120"/>
              <w:bottom w:type="dxa" w:w="100"/>
              <w:right w:type="dxa" w:w="120"/>
            </w:tcMar>
          </w:tcPr>
          <w:p>
            <w:r>
              <w:rPr>
                <w:b w:val="false"/>
                <w:bCs w:val="false"/>
                <w:sz w:val="20"/>
                <w:szCs w:val="20"/>
              </w:rPr>
              <w:t xml:space="preserve">Crítico</w:t>
            </w:r>
          </w:p>
        </w:tc>
      </w:tr>
      <w:tr>
        <w:tc>
          <w:tcPr>
            <w:tcW w:type="dxa" w:w="2200"/>
            <w:tcMar>
              <w:top w:type="dxa" w:w="100"/>
              <w:left w:type="dxa" w:w="120"/>
              <w:bottom w:type="dxa" w:w="100"/>
              <w:right w:type="dxa" w:w="120"/>
            </w:tcMar>
          </w:tcPr>
          <w:p>
            <w:r>
              <w:rPr>
                <w:b w:val="false"/>
                <w:bCs w:val="false"/>
                <w:sz w:val="20"/>
                <w:szCs w:val="20"/>
              </w:rPr>
              <w:t xml:space="preserve">1 · Antes de cobrar</w:t>
            </w:r>
          </w:p>
        </w:tc>
        <w:tc>
          <w:tcPr>
            <w:tcW w:type="dxa" w:w="5300"/>
            <w:tcMar>
              <w:top w:type="dxa" w:w="100"/>
              <w:left w:type="dxa" w:w="120"/>
              <w:bottom w:type="dxa" w:w="100"/>
              <w:right w:type="dxa" w:w="120"/>
            </w:tcMar>
          </w:tcPr>
          <w:p>
            <w:r>
              <w:rPr>
                <w:b w:val="false"/>
                <w:bCs w:val="false"/>
                <w:sz w:val="20"/>
                <w:szCs w:val="20"/>
              </w:rPr>
              <w:t xml:space="preserve">Publicar política de privacidad y términos de suscripción (qué pasa si no se renueva, reembolsos, RGPD)</w:t>
            </w:r>
          </w:p>
        </w:tc>
        <w:tc>
          <w:tcPr>
            <w:tcW w:type="dxa" w:w="1850"/>
            <w:tcMar>
              <w:top w:type="dxa" w:w="100"/>
              <w:left w:type="dxa" w:w="120"/>
              <w:bottom w:type="dxa" w:w="100"/>
              <w:right w:type="dxa" w:w="120"/>
            </w:tcMar>
          </w:tcPr>
          <w:p>
            <w:r>
              <w:rPr>
                <w:b w:val="false"/>
                <w:bCs w:val="false"/>
                <w:sz w:val="20"/>
                <w:szCs w:val="20"/>
              </w:rPr>
              <w:t xml:space="preserve">Alto</w:t>
            </w:r>
          </w:p>
        </w:tc>
      </w:tr>
      <w:tr>
        <w:tc>
          <w:tcPr>
            <w:tcW w:type="dxa" w:w="2200"/>
            <w:tcMar>
              <w:top w:type="dxa" w:w="100"/>
              <w:left w:type="dxa" w:w="120"/>
              <w:bottom w:type="dxa" w:w="100"/>
              <w:right w:type="dxa" w:w="120"/>
            </w:tcMar>
          </w:tcPr>
          <w:p>
            <w:r>
              <w:rPr>
                <w:b w:val="false"/>
                <w:bCs w:val="false"/>
                <w:sz w:val="20"/>
                <w:szCs w:val="20"/>
              </w:rPr>
              <w:t xml:space="preserve">1 · Antes de cobrar</w:t>
            </w:r>
          </w:p>
        </w:tc>
        <w:tc>
          <w:tcPr>
            <w:tcW w:type="dxa" w:w="5300"/>
            <w:tcMar>
              <w:top w:type="dxa" w:w="100"/>
              <w:left w:type="dxa" w:w="120"/>
              <w:bottom w:type="dxa" w:w="100"/>
              <w:right w:type="dxa" w:w="120"/>
            </w:tcMar>
          </w:tcPr>
          <w:p>
            <w:r>
              <w:rPr>
                <w:b w:val="false"/>
                <w:bCs w:val="false"/>
                <w:sz w:val="20"/>
                <w:szCs w:val="20"/>
              </w:rPr>
              <w:t xml:space="preserve">Confirmar el hosting definitivo (Cloudflare Pages) y el dominio propio</w:t>
            </w:r>
          </w:p>
        </w:tc>
        <w:tc>
          <w:tcPr>
            <w:tcW w:type="dxa" w:w="1850"/>
            <w:tcMar>
              <w:top w:type="dxa" w:w="100"/>
              <w:left w:type="dxa" w:w="120"/>
              <w:bottom w:type="dxa" w:w="100"/>
              <w:right w:type="dxa" w:w="120"/>
            </w:tcMar>
          </w:tcPr>
          <w:p>
            <w:r>
              <w:rPr>
                <w:b w:val="false"/>
                <w:bCs w:val="false"/>
                <w:sz w:val="20"/>
                <w:szCs w:val="20"/>
              </w:rPr>
              <w:t xml:space="preserve">Alto</w:t>
            </w:r>
          </w:p>
        </w:tc>
      </w:tr>
      <w:tr>
        <w:tc>
          <w:tcPr>
            <w:tcW w:type="dxa" w:w="2200"/>
            <w:tcMar>
              <w:top w:type="dxa" w:w="100"/>
              <w:left w:type="dxa" w:w="120"/>
              <w:bottom w:type="dxa" w:w="100"/>
              <w:right w:type="dxa" w:w="120"/>
            </w:tcMar>
          </w:tcPr>
          <w:p>
            <w:r>
              <w:rPr>
                <w:b w:val="false"/>
                <w:bCs w:val="false"/>
                <w:sz w:val="20"/>
                <w:szCs w:val="20"/>
              </w:rPr>
              <w:t xml:space="preserve">2 · Simulador (deuda técnica)</w:t>
            </w:r>
          </w:p>
        </w:tc>
        <w:tc>
          <w:tcPr>
            <w:tcW w:type="dxa" w:w="5300"/>
            <w:tcMar>
              <w:top w:type="dxa" w:w="100"/>
              <w:left w:type="dxa" w:w="120"/>
              <w:bottom w:type="dxa" w:w="100"/>
              <w:right w:type="dxa" w:w="120"/>
            </w:tcMar>
          </w:tcPr>
          <w:p>
            <w:r>
              <w:rPr>
                <w:b w:val="false"/>
                <w:bCs w:val="false"/>
                <w:sz w:val="20"/>
                <w:szCs w:val="20"/>
              </w:rPr>
              <w:t xml:space="preserve">Quitar la consulta duplicada de historial en Home.tsx / Resultados.tsx</w:t>
            </w:r>
          </w:p>
        </w:tc>
        <w:tc>
          <w:tcPr>
            <w:tcW w:type="dxa" w:w="1850"/>
            <w:tcMar>
              <w:top w:type="dxa" w:w="100"/>
              <w:left w:type="dxa" w:w="120"/>
              <w:bottom w:type="dxa" w:w="100"/>
              <w:right w:type="dxa" w:w="120"/>
            </w:tcMar>
          </w:tcPr>
          <w:p>
            <w:r>
              <w:rPr>
                <w:b w:val="false"/>
                <w:bCs w:val="false"/>
                <w:sz w:val="20"/>
                <w:szCs w:val="20"/>
              </w:rPr>
              <w:t xml:space="preserve">Alto</w:t>
            </w:r>
          </w:p>
        </w:tc>
      </w:tr>
      <w:tr>
        <w:tc>
          <w:tcPr>
            <w:tcW w:type="dxa" w:w="2200"/>
            <w:tcMar>
              <w:top w:type="dxa" w:w="100"/>
              <w:left w:type="dxa" w:w="120"/>
              <w:bottom w:type="dxa" w:w="100"/>
              <w:right w:type="dxa" w:w="120"/>
            </w:tcMar>
          </w:tcPr>
          <w:p>
            <w:r>
              <w:rPr>
                <w:b w:val="false"/>
                <w:bCs w:val="false"/>
                <w:sz w:val="20"/>
                <w:szCs w:val="20"/>
              </w:rPr>
              <w:t xml:space="preserve">2 · Simulador (deuda técnica)</w:t>
            </w:r>
          </w:p>
        </w:tc>
        <w:tc>
          <w:tcPr>
            <w:tcW w:type="dxa" w:w="5300"/>
            <w:tcMar>
              <w:top w:type="dxa" w:w="100"/>
              <w:left w:type="dxa" w:w="120"/>
              <w:bottom w:type="dxa" w:w="100"/>
              <w:right w:type="dxa" w:w="120"/>
            </w:tcMar>
          </w:tcPr>
          <w:p>
            <w:r>
              <w:rPr>
                <w:b w:val="false"/>
                <w:bCs w:val="false"/>
                <w:sz w:val="20"/>
                <w:szCs w:val="20"/>
              </w:rPr>
              <w:t xml:space="preserve">Unificar la verificación de dispositivo en una función RPC única</w:t>
            </w:r>
          </w:p>
        </w:tc>
        <w:tc>
          <w:tcPr>
            <w:tcW w:type="dxa" w:w="1850"/>
            <w:tcMar>
              <w:top w:type="dxa" w:w="100"/>
              <w:left w:type="dxa" w:w="120"/>
              <w:bottom w:type="dxa" w:w="100"/>
              <w:right w:type="dxa" w:w="120"/>
            </w:tcMar>
          </w:tcPr>
          <w:p>
            <w:r>
              <w:rPr>
                <w:b w:val="false"/>
                <w:bCs w:val="false"/>
                <w:sz w:val="20"/>
                <w:szCs w:val="20"/>
              </w:rPr>
              <w:t xml:space="preserve">Medio</w:t>
            </w:r>
          </w:p>
        </w:tc>
      </w:tr>
      <w:tr>
        <w:tc>
          <w:tcPr>
            <w:tcW w:type="dxa" w:w="2200"/>
            <w:tcMar>
              <w:top w:type="dxa" w:w="100"/>
              <w:left w:type="dxa" w:w="120"/>
              <w:bottom w:type="dxa" w:w="100"/>
              <w:right w:type="dxa" w:w="120"/>
            </w:tcMar>
          </w:tcPr>
          <w:p>
            <w:r>
              <w:rPr>
                <w:b w:val="false"/>
                <w:bCs w:val="false"/>
                <w:sz w:val="20"/>
                <w:szCs w:val="20"/>
              </w:rPr>
              <w:t xml:space="preserve">2 · Simulador (deuda técnica)</w:t>
            </w:r>
          </w:p>
        </w:tc>
        <w:tc>
          <w:tcPr>
            <w:tcW w:type="dxa" w:w="5300"/>
            <w:tcMar>
              <w:top w:type="dxa" w:w="100"/>
              <w:left w:type="dxa" w:w="120"/>
              <w:bottom w:type="dxa" w:w="100"/>
              <w:right w:type="dxa" w:w="120"/>
            </w:tcMar>
          </w:tcPr>
          <w:p>
            <w:r>
              <w:rPr>
                <w:b w:val="false"/>
                <w:bCs w:val="false"/>
                <w:sz w:val="20"/>
                <w:szCs w:val="20"/>
              </w:rPr>
              <w:t xml:space="preserve">Sustituir la animación de 76 fotogramas por un vídeo corto o spritesheet</w:t>
            </w:r>
          </w:p>
        </w:tc>
        <w:tc>
          <w:tcPr>
            <w:tcW w:type="dxa" w:w="1850"/>
            <w:tcMar>
              <w:top w:type="dxa" w:w="100"/>
              <w:left w:type="dxa" w:w="120"/>
              <w:bottom w:type="dxa" w:w="100"/>
              <w:right w:type="dxa" w:w="120"/>
            </w:tcMar>
          </w:tcPr>
          <w:p>
            <w:r>
              <w:rPr>
                <w:b w:val="false"/>
                <w:bCs w:val="false"/>
                <w:sz w:val="20"/>
                <w:szCs w:val="20"/>
              </w:rPr>
              <w:t xml:space="preserve">Bajo</w:t>
            </w:r>
          </w:p>
        </w:tc>
      </w:tr>
      <w:tr>
        <w:tc>
          <w:tcPr>
            <w:tcW w:type="dxa" w:w="2200"/>
            <w:tcMar>
              <w:top w:type="dxa" w:w="100"/>
              <w:left w:type="dxa" w:w="120"/>
              <w:bottom w:type="dxa" w:w="100"/>
              <w:right w:type="dxa" w:w="120"/>
            </w:tcMar>
          </w:tcPr>
          <w:p>
            <w:r>
              <w:rPr>
                <w:b w:val="false"/>
                <w:bCs w:val="false"/>
                <w:sz w:val="20"/>
                <w:szCs w:val="20"/>
              </w:rPr>
              <w:t xml:space="preserve">3 · Academia</w:t>
            </w:r>
          </w:p>
        </w:tc>
        <w:tc>
          <w:tcPr>
            <w:tcW w:type="dxa" w:w="5300"/>
            <w:tcMar>
              <w:top w:type="dxa" w:w="100"/>
              <w:left w:type="dxa" w:w="120"/>
              <w:bottom w:type="dxa" w:w="100"/>
              <w:right w:type="dxa" w:w="120"/>
            </w:tcMar>
          </w:tcPr>
          <w:p>
            <w:r>
              <w:rPr>
                <w:b w:val="false"/>
                <w:bCs w:val="false"/>
                <w:sz w:val="20"/>
                <w:szCs w:val="20"/>
              </w:rPr>
              <w:t xml:space="preserve">Contratar proveedor de vídeo (Bunny Stream o Cloudflare Stream) y no usar Supabase para servir vídeo</w:t>
            </w:r>
          </w:p>
        </w:tc>
        <w:tc>
          <w:tcPr>
            <w:tcW w:type="dxa" w:w="1850"/>
            <w:tcMar>
              <w:top w:type="dxa" w:w="100"/>
              <w:left w:type="dxa" w:w="120"/>
              <w:bottom w:type="dxa" w:w="100"/>
              <w:right w:type="dxa" w:w="120"/>
            </w:tcMar>
          </w:tcPr>
          <w:p>
            <w:r>
              <w:rPr>
                <w:b w:val="false"/>
                <w:bCs w:val="false"/>
                <w:sz w:val="20"/>
                <w:szCs w:val="20"/>
              </w:rPr>
              <w:t xml:space="preserve">Alto</w:t>
            </w:r>
          </w:p>
        </w:tc>
      </w:tr>
      <w:tr>
        <w:tc>
          <w:tcPr>
            <w:tcW w:type="dxa" w:w="2200"/>
            <w:tcMar>
              <w:top w:type="dxa" w:w="100"/>
              <w:left w:type="dxa" w:w="120"/>
              <w:bottom w:type="dxa" w:w="100"/>
              <w:right w:type="dxa" w:w="120"/>
            </w:tcMar>
          </w:tcPr>
          <w:p>
            <w:r>
              <w:rPr>
                <w:b w:val="false"/>
                <w:bCs w:val="false"/>
                <w:sz w:val="20"/>
                <w:szCs w:val="20"/>
              </w:rPr>
              <w:t xml:space="preserve">3 · Academia</w:t>
            </w:r>
          </w:p>
        </w:tc>
        <w:tc>
          <w:tcPr>
            <w:tcW w:type="dxa" w:w="5300"/>
            <w:tcMar>
              <w:top w:type="dxa" w:w="100"/>
              <w:left w:type="dxa" w:w="120"/>
              <w:bottom w:type="dxa" w:w="100"/>
              <w:right w:type="dxa" w:w="120"/>
            </w:tcMar>
          </w:tcPr>
          <w:p>
            <w:r>
              <w:rPr>
                <w:b w:val="false"/>
                <w:bCs w:val="false"/>
                <w:sz w:val="20"/>
                <w:szCs w:val="20"/>
              </w:rPr>
              <w:t xml:space="preserve">Crear tablas de cursos, lecciones y progreso, con RLS y comprobación de suscripción activa</w:t>
            </w:r>
          </w:p>
        </w:tc>
        <w:tc>
          <w:tcPr>
            <w:tcW w:type="dxa" w:w="1850"/>
            <w:tcMar>
              <w:top w:type="dxa" w:w="100"/>
              <w:left w:type="dxa" w:w="120"/>
              <w:bottom w:type="dxa" w:w="100"/>
              <w:right w:type="dxa" w:w="120"/>
            </w:tcMar>
          </w:tcPr>
          <w:p>
            <w:r>
              <w:rPr>
                <w:b w:val="false"/>
                <w:bCs w:val="false"/>
                <w:sz w:val="20"/>
                <w:szCs w:val="20"/>
              </w:rPr>
              <w:t xml:space="preserve">Alto</w:t>
            </w:r>
          </w:p>
        </w:tc>
      </w:tr>
      <w:tr>
        <w:tc>
          <w:tcPr>
            <w:tcW w:type="dxa" w:w="2200"/>
            <w:tcMar>
              <w:top w:type="dxa" w:w="100"/>
              <w:left w:type="dxa" w:w="120"/>
              <w:bottom w:type="dxa" w:w="100"/>
              <w:right w:type="dxa" w:w="120"/>
            </w:tcMar>
          </w:tcPr>
          <w:p>
            <w:r>
              <w:rPr>
                <w:b w:val="false"/>
                <w:bCs w:val="false"/>
                <w:sz w:val="20"/>
                <w:szCs w:val="20"/>
              </w:rPr>
              <w:t xml:space="preserve">3 · Academia</w:t>
            </w:r>
          </w:p>
        </w:tc>
        <w:tc>
          <w:tcPr>
            <w:tcW w:type="dxa" w:w="5300"/>
            <w:tcMar>
              <w:top w:type="dxa" w:w="100"/>
              <w:left w:type="dxa" w:w="120"/>
              <w:bottom w:type="dxa" w:w="100"/>
              <w:right w:type="dxa" w:w="120"/>
            </w:tcMar>
          </w:tcPr>
          <w:p>
            <w:r>
              <w:rPr>
                <w:b w:val="false"/>
                <w:bCs w:val="false"/>
                <w:sz w:val="20"/>
                <w:szCs w:val="20"/>
              </w:rPr>
              <w:t xml:space="preserve">Enlaces de reproducción firmados con caducidad corta para cada vídeo</w:t>
            </w:r>
          </w:p>
        </w:tc>
        <w:tc>
          <w:tcPr>
            <w:tcW w:type="dxa" w:w="1850"/>
            <w:tcMar>
              <w:top w:type="dxa" w:w="100"/>
              <w:left w:type="dxa" w:w="120"/>
              <w:bottom w:type="dxa" w:w="100"/>
              <w:right w:type="dxa" w:w="120"/>
            </w:tcMar>
          </w:tcPr>
          <w:p>
            <w:r>
              <w:rPr>
                <w:b w:val="false"/>
                <w:bCs w:val="false"/>
                <w:sz w:val="20"/>
                <w:szCs w:val="20"/>
              </w:rPr>
              <w:t xml:space="preserve">Medio</w:t>
            </w:r>
          </w:p>
        </w:tc>
      </w:tr>
      <w:tr>
        <w:tc>
          <w:tcPr>
            <w:tcW w:type="dxa" w:w="2200"/>
            <w:tcMar>
              <w:top w:type="dxa" w:w="100"/>
              <w:left w:type="dxa" w:w="120"/>
              <w:bottom w:type="dxa" w:w="100"/>
              <w:right w:type="dxa" w:w="120"/>
            </w:tcMar>
          </w:tcPr>
          <w:p>
            <w:r>
              <w:rPr>
                <w:b w:val="false"/>
                <w:bCs w:val="false"/>
                <w:sz w:val="20"/>
                <w:szCs w:val="20"/>
              </w:rPr>
              <w:t xml:space="preserve">4 · Más adelante</w:t>
            </w:r>
          </w:p>
        </w:tc>
        <w:tc>
          <w:tcPr>
            <w:tcW w:type="dxa" w:w="5300"/>
            <w:tcMar>
              <w:top w:type="dxa" w:w="100"/>
              <w:left w:type="dxa" w:w="120"/>
              <w:bottom w:type="dxa" w:w="100"/>
              <w:right w:type="dxa" w:w="120"/>
            </w:tcMar>
          </w:tcPr>
          <w:p>
            <w:r>
              <w:rPr>
                <w:b w:val="false"/>
                <w:bCs w:val="false"/>
                <w:sz w:val="20"/>
                <w:szCs w:val="20"/>
              </w:rPr>
              <w:t xml:space="preserve">Panel de administración separado (gestión de contenido, usuarios y pagos)</w:t>
            </w:r>
          </w:p>
        </w:tc>
        <w:tc>
          <w:tcPr>
            <w:tcW w:type="dxa" w:w="1850"/>
            <w:tcMar>
              <w:top w:type="dxa" w:w="100"/>
              <w:left w:type="dxa" w:w="120"/>
              <w:bottom w:type="dxa" w:w="100"/>
              <w:right w:type="dxa" w:w="120"/>
            </w:tcMar>
          </w:tcPr>
          <w:p>
            <w:r>
              <w:rPr>
                <w:b w:val="false"/>
                <w:bCs w:val="false"/>
                <w:sz w:val="20"/>
                <w:szCs w:val="20"/>
              </w:rPr>
              <w:t xml:space="preserve">Bajo por ahora</w:t>
            </w:r>
          </w:p>
        </w:tc>
      </w:tr>
      <w:tr>
        <w:tc>
          <w:tcPr>
            <w:tcW w:type="dxa" w:w="2200"/>
            <w:tcMar>
              <w:top w:type="dxa" w:w="100"/>
              <w:left w:type="dxa" w:w="120"/>
              <w:bottom w:type="dxa" w:w="100"/>
              <w:right w:type="dxa" w:w="120"/>
            </w:tcMar>
          </w:tcPr>
          <w:p>
            <w:r>
              <w:rPr>
                <w:b w:val="false"/>
                <w:bCs w:val="false"/>
                <w:sz w:val="20"/>
                <w:szCs w:val="20"/>
              </w:rPr>
              <w:t xml:space="preserve">4 · Más adelante</w:t>
            </w:r>
          </w:p>
        </w:tc>
        <w:tc>
          <w:tcPr>
            <w:tcW w:type="dxa" w:w="5300"/>
            <w:tcMar>
              <w:top w:type="dxa" w:w="100"/>
              <w:left w:type="dxa" w:w="120"/>
              <w:bottom w:type="dxa" w:w="100"/>
              <w:right w:type="dxa" w:w="120"/>
            </w:tcMar>
          </w:tcPr>
          <w:p>
            <w:r>
              <w:rPr>
                <w:b w:val="false"/>
                <w:bCs w:val="false"/>
                <w:sz w:val="20"/>
                <w:szCs w:val="20"/>
              </w:rPr>
              <w:t xml:space="preserve">Revisar VeriFactu antes de julio de 2027 si se factura de forma continuada</w:t>
            </w:r>
          </w:p>
        </w:tc>
        <w:tc>
          <w:tcPr>
            <w:tcW w:type="dxa" w:w="1850"/>
            <w:tcMar>
              <w:top w:type="dxa" w:w="100"/>
              <w:left w:type="dxa" w:w="120"/>
              <w:bottom w:type="dxa" w:w="100"/>
              <w:right w:type="dxa" w:w="120"/>
            </w:tcMar>
          </w:tcPr>
          <w:p>
            <w:r>
              <w:rPr>
                <w:b w:val="false"/>
                <w:bCs w:val="false"/>
                <w:sz w:val="20"/>
                <w:szCs w:val="20"/>
              </w:rPr>
              <w:t xml:space="preserve">Bajo por ahora</w:t>
            </w:r>
          </w:p>
        </w:tc>
      </w:tr>
      <w:tr>
        <w:tc>
          <w:tcPr>
            <w:tcW w:type="dxa" w:w="2200"/>
            <w:tcMar>
              <w:top w:type="dxa" w:w="100"/>
              <w:left w:type="dxa" w:w="120"/>
              <w:bottom w:type="dxa" w:w="100"/>
              <w:right w:type="dxa" w:w="120"/>
            </w:tcMar>
          </w:tcPr>
          <w:p>
            <w:r>
              <w:rPr>
                <w:b w:val="false"/>
                <w:bCs w:val="false"/>
                <w:sz w:val="20"/>
                <w:szCs w:val="20"/>
              </w:rPr>
              <w:t xml:space="preserve">4 · Más adelante</w:t>
            </w:r>
          </w:p>
        </w:tc>
        <w:tc>
          <w:tcPr>
            <w:tcW w:type="dxa" w:w="5300"/>
            <w:tcMar>
              <w:top w:type="dxa" w:w="100"/>
              <w:left w:type="dxa" w:w="120"/>
              <w:bottom w:type="dxa" w:w="100"/>
              <w:right w:type="dxa" w:w="120"/>
            </w:tcMar>
          </w:tcPr>
          <w:p>
            <w:r>
              <w:rPr>
                <w:b w:val="false"/>
                <w:bCs w:val="false"/>
                <w:sz w:val="20"/>
                <w:szCs w:val="20"/>
              </w:rPr>
              <w:t xml:space="preserve">Subir el nivel de cómputo de Supabase solo si hay picos reales de gente conectada a la vez</w:t>
            </w:r>
          </w:p>
        </w:tc>
        <w:tc>
          <w:tcPr>
            <w:tcW w:type="dxa" w:w="1850"/>
            <w:tcMar>
              <w:top w:type="dxa" w:w="100"/>
              <w:left w:type="dxa" w:w="120"/>
              <w:bottom w:type="dxa" w:w="100"/>
              <w:right w:type="dxa" w:w="120"/>
            </w:tcMar>
          </w:tcPr>
          <w:p>
            <w:r>
              <w:rPr>
                <w:b w:val="false"/>
                <w:bCs w:val="false"/>
                <w:sz w:val="20"/>
                <w:szCs w:val="20"/>
              </w:rPr>
              <w:t xml:space="preserve">Según uso</w:t>
            </w:r>
          </w:p>
        </w:tc>
      </w:tr>
    </w:tbl>
    <w:p>
      <w:pPr>
        <w:spacing w:before="200"/>
      </w:pPr>
    </w:p>
    <w:p>
      <w:pPr>
        <w:pStyle w:val="Heading1"/>
        <w:spacing w:after="160" w:before="320"/>
      </w:pPr>
      <w:r>
        <w:t xml:space="preserve">Siguiente paso recomendado</w:t>
      </w:r>
    </w:p>
    <w:p>
      <w:pPr>
        <w:spacing w:after="180"/>
        <w:jc w:val="both"/>
      </w:pPr>
      <w:r>
        <w:t xml:space="preserve">De toda la lista, lo primero que desbloquea todo lo demás es la fase 1: sin la tabla de suscripciones, el checkout de Stripe y la Edge Function que las conecta, no hay manera de cobrar ni de dar ni quitar acceso automáticamente. El resto —la deuda técnica del simulador y la Academia— se puede ir trabajando en paralelo o justo después, pero no depende de que la fase 1 esté terminada.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B57"/>
      <w:sz w:val="30"/>
      <w:szCs w:val="30"/>
    </w:rPr>
  </w:style>
  <w:style w:type="paragraph" w:styleId="Heading2">
    <w:name w:val="Heading 2"/>
    <w:basedOn w:val="Normal"/>
    <w:next w:val="Normal"/>
    <w:qFormat/>
    <w:rPr>
      <w:rFonts w:ascii="Calibri" w:cs="Calibri" w:eastAsia="Calibri" w:hAnsi="Calibri"/>
      <w:b/>
      <w:bCs/>
      <w:color w:val="1F3B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2026-08-01T12:18:02.501Z</dcterms:created>
  <dcterms:modified xsi:type="dcterms:W3CDTF">2026-08-01T12:18:02.501Z</dcterms:modified>
</cp:coreProperties>
</file>

<file path=docProps/custom.xml><?xml version="1.0" encoding="utf-8"?>
<Properties xmlns="http://schemas.openxmlformats.org/officeDocument/2006/custom-properties" xmlns:vt="http://schemas.openxmlformats.org/officeDocument/2006/docPropsVTypes"/>
</file>