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B57"/>
          <w:sz w:val="44"/>
          <w:szCs w:val="44"/>
        </w:rPr>
        <w:t xml:space="preserve">Academia, pagos y seguridad</w:t>
      </w:r>
    </w:p>
    <w:p>
      <w:pPr>
        <w:spacing w:after="40"/>
      </w:pPr>
      <w:r>
        <w:rPr>
          <w:color w:val="555555"/>
          <w:sz w:val="24"/>
          <w:szCs w:val="24"/>
        </w:rPr>
        <w:t xml:space="preserve">ExamPrep / Odonto-Quiz — hoja de ruta técnica para la fase 2 (contenido de pago)</w:t>
      </w:r>
    </w:p>
    <w:p>
      <w:pPr>
        <w:spacing w:after="300"/>
      </w:pPr>
      <w:r>
        <w:rPr>
          <w:i/>
          <w:iCs/>
          <w:color w:val="888888"/>
          <w:sz w:val="20"/>
          <w:szCs w:val="20"/>
        </w:rPr>
        <w:t xml:space="preserve">Alejandro · 1 de agosto de 2026</w:t>
      </w:r>
    </w:p>
    <w:p>
      <w:pPr>
        <w:pStyle w:val="Heading1"/>
        <w:spacing w:after="160" w:before="320"/>
      </w:pPr>
      <w:r>
        <w:t xml:space="preserve">Contexto</w:t>
      </w:r>
    </w:p>
    <w:p>
      <w:pPr>
        <w:spacing w:after="180"/>
        <w:jc w:val="both"/>
      </w:pPr>
      <w:r>
        <w:t xml:space="preserve">Este documento parte del estudio de escalabilidad ya entregado y lo amplía con la siguiente fase del proyecto: convertir el simulador actual en una plataforma con una sección de "Academia" (vídeos y resúmenes de estudio) y con pago automatizado (tarjeta, Bizum y transferencia). También se deja constancia de que el panel de administración de la base de datos es un desarrollo aparte, previsto para más adelante, y se indica qué hay que tener listo cuando llegue ese momento.</w:t>
      </w:r>
    </w:p>
    <w:p>
      <w:pPr>
        <w:spacing w:after="180"/>
        <w:jc w:val="both"/>
      </w:pPr>
      <w:r>
        <w:t xml:space="preserve">La idea general es: el simulador se lanza primero tal como está, y la Academia se añade después como una capa nueva sobre la misma base de usuarios y autenticación, sin rehacer lo ya construido.</w:t>
      </w:r>
    </w:p>
    <w:p>
      <w:pPr>
        <w:pStyle w:val="Heading1"/>
        <w:spacing w:after="160" w:before="320"/>
      </w:pPr>
      <w:r>
        <w:t xml:space="preserve">1. La Academia: vídeos y resúmenes</w:t>
      </w:r>
    </w:p>
    <w:p>
      <w:pPr>
        <w:spacing w:after="180"/>
        <w:jc w:val="both"/>
      </w:pPr>
      <w:r>
        <w:t xml:space="preserve">El error más común en este tipo de proyectos es intentar guardar los vídeos directamente en Supabase Storage. Funciona para archivos pequeños, pero no está pensado para vídeo: no genera versiones adaptadas a la conexión del usuario, no tiene reproductor propio y, sobre todo, cobra por cada gigabyte que se descarga (los primeros 250 GB de salida son gratis en el plan Pro, pero un catálogo de vídeos con cientos de usuarios los agota rápido).</w:t>
      </w:r>
    </w:p>
    <w:p>
      <w:pPr>
        <w:spacing w:after="180"/>
        <w:jc w:val="both"/>
      </w:pPr>
      <w:r>
        <w:t xml:space="preserve">Lo recomendable es contratar un servicio especializado en vídeo bajo demanda y usar Supabase solo para lo que ya hace bien: usuarios, permisos y metadatos. Entre las opciones, Bunny Stream es la más económica para empezar (en torno a 0,01 $ por GB almacenado y 0,005-0,01 $ por GB entregado, con el reproductor y la conversión de formato incluidos); Cloudflare Stream es una alternativa sólida con precio algo más alto pero muy fácil de integrar si en el futuro se usa Cloudflare para el resto del hosting; Mux queda para más adelante, si se necesitan estadísticas de visionado avanzadas.</w:t>
      </w:r>
    </w:p>
    <w:p>
      <w:pPr>
        <w:spacing w:after="180"/>
        <w:jc w:val="both"/>
      </w:pPr>
      <w:r>
        <w:t xml:space="preserve">Con cualquiera de estos proveedores, cada vídeo se reproduce mediante un enlace firmado con caducidad corta (minutos u horas), de forma que no se puede compartir el enlace libremente ni descargarlo con un clic derecho sencillo. No es una protección perfecta contra la piratería —ningún sistema lo es del todo—, pero sí evita el descuido común de que un enlace público circule sin control. Los resúmenes, si son PDF o texto, sí encajan bien en un bucket privado de Supabase Storage con la misma política de acceso firmado.</w:t>
      </w:r>
    </w:p>
    <w:p>
      <w:pPr>
        <w:spacing w:after="180"/>
        <w:jc w:val="both"/>
      </w:pPr>
      <w:r>
        <w:t xml:space="preserve">En la base de datos hará falta un pequeño grupo de tablas nuevas: los cursos y lecciones de la Academia, y el progreso de cada usuario dentro de ellas (qué ha visto, hasta qué minuto). Todas deben llevar Row Level Security desde el primer día, igual que las tres tablas que ya existen, para que un usuario solo pueda ver el contenido al que tiene derecho de acceso.</w:t>
      </w:r>
    </w:p>
    <w:p>
      <w:pPr>
        <w:pStyle w:val="Heading1"/>
        <w:spacing w:after="160" w:before="320"/>
      </w:pPr>
      <w:r>
        <w:t xml:space="preserve">2. Niveles de seguridad</w:t>
      </w:r>
    </w:p>
    <w:p>
      <w:pPr>
        <w:spacing w:after="180"/>
        <w:jc w:val="both"/>
      </w:pPr>
      <w:r>
        <w:t xml:space="preserve">Hoy la aplicación ya tiene una base razonable: autenticación gestionada por Supabase, Row Level Security en las tres tablas existentes, y ninguna clave sensible expuesta en el código del cliente. Al añadir pagos y contenido de pago, ese nivel deja de ser suficiente y conviene reforzar varios puntos concretos.</w:t>
      </w:r>
    </w:p>
    <w:p>
      <w:pPr>
        <w:spacing w:after="180"/>
        <w:jc w:val="both"/>
      </w:pPr>
      <w:r>
        <w:t xml:space="preserve">La pieza más delicada es la service_role key de Supabase, la clave que puede saltarse por completo las reglas de Row Level Security. Esa clave nunca debe usarse en el navegador; su único lugar es dentro de una función de servidor (una Supabase Edge Function, por ejemplo) que reciba el aviso de un pago confirmado y, solo entonces, active el acceso del usuario a la Academia. Cualquier otro camino —como marcar el acceso desde el propio cliente tras el pago— es fácil de falsificar.</w:t>
      </w:r>
    </w:p>
    <w:p>
      <w:pPr>
        <w:spacing w:after="180"/>
        <w:jc w:val="both"/>
      </w:pPr>
      <w:r>
        <w:t xml:space="preserve">Los avisos de pago (webhooks) que envíen Stripe o Redsys deben verificarse con la firma criptográfica que ambos proveedores incluyen, para asegurarse de que la notificación de "pago recibido" viene realmente de ellos y no de alguien simulándola. Usando el checkout alojado de Stripe o el TPV de Redsys, la aplicación nunca llega a tocar el número de tarjeta del usuario, lo cual mantiene el proyecto fuera del alcance de la certificación PCI DSS (que sí sería obligatoria si se construyera un formulario de tarjeta propio).</w:t>
      </w:r>
    </w:p>
    <w:p>
      <w:pPr>
        <w:spacing w:after="180"/>
        <w:jc w:val="both"/>
      </w:pPr>
      <w:r>
        <w:t xml:space="preserve">Al tratarse de una app que cobra y guarda datos personales de usuarios en la Unión Europea, aplica el RGPD: conviene tener publicada una política de privacidad, dejar claro con qué base legal se tratan los datos, y poder atender solicitudes de acceso o borrado de datos si un usuario lo pide. Para el futuro panel de administración, cuando se construya, es recomendable exigir doble factor de autenticación a quien tenga ese acceso, ya que desde ahí se puede ver y modificar información de todos los usuarios.</w:t>
      </w:r>
    </w:p>
    <w:p>
      <w:pPr>
        <w:spacing w:after="180"/>
        <w:jc w:val="both"/>
      </w:pPr>
      <w:r>
        <w:t xml:space="preserve">Por último, conviene activar las copias de seguridad automáticas de Supabase (con recuperación a un punto en el tiempo, disponible en el plan Pro) en cuanto la base de datos empiece a contener pagos y progreso de cursos, y no solo respuestas de examen.</w:t>
      </w:r>
    </w:p>
    <w:p>
      <w:pPr>
        <w:pStyle w:val="Heading1"/>
        <w:spacing w:after="160" w:before="320"/>
      </w:pPr>
      <w:r>
        <w:t xml:space="preserve">3. Automatización de los pagos</w:t>
      </w:r>
    </w:p>
    <w:p>
      <w:pPr>
        <w:spacing w:after="180"/>
        <w:jc w:val="both"/>
      </w:pPr>
      <w:r>
        <w:t xml:space="preserve">De los tres métodos mencionados, tarjeta y Bizum sí se pueden automatizar de principio a fin: el usuario paga y su acceso se activa solo, en segundos, sin que nadie tenga que revisarlo a mano. La transferencia bancaria manual es harina de otro costal: un ingreso normal en la cuenta no lleva de forma automática un enlace al pedido del usuario, salvo que exista un sistema que lea los movimientos del banco y los cruce con el pedido por importe y referencia.</w:t>
      </w:r>
    </w:p>
    <w:p>
      <w:pPr>
        <w:spacing w:after="180"/>
        <w:jc w:val="both"/>
      </w:pPr>
      <w:r>
        <w:t xml:space="preserve">La opción más práctica para tarjeta y Bizum es Stripe, que en España ya integra Bizum junto con tarjeta en un único checkout, con una sola integración y sin gestionar el circuito bancario por separado. El flujo quedaría así: el usuario elige el curso o la suscripción, paga en el checkout de Stripe, y Stripe avisa automáticamente (mediante un webhook) a una función en el backend, que activa el acceso a la Academia al instante. Como alternativa, existe Redsys, el TPV virtual que ofrecen los bancos españoles y que también soporta Bizum; suele tener comisiones más bajas a partir de cierto volumen, pero el alta y la integración son más lentas y burocráticas que con Stripe, así que tiene sentido revisarlo más adelante, cuando el volumen de ventas lo justifique.</w:t>
      </w:r>
    </w:p>
    <w:p>
      <w:pPr>
        <w:spacing w:after="180"/>
        <w:jc w:val="both"/>
      </w:pPr>
      <w:r>
        <w:t xml:space="preserve">Para que la transferencia bancaria fuera igual de automática haría falta contratar un proveedor de Open Banking (por ejemplo GoCardless), que se conecta a la cuenta bancaria bajo la normativa europea PSD2 y concilia cada ingreso con su pedido correspondiente. Es una pieza adicional de infraestructura con su propio coste, y probablemente no compensa mientras el volumen de usuarios que insista en pagar por transferencia sea bajo. La recomendación práctica es lanzar con Stripe (tarjeta y Bizum) como único método automático, y dejar la transferencia como opción manual solo para casos puntuales —por ejemplo, un centro de estudios que pague en bloque por varios alumnos—, donde revisar el ingreso a mano una vez no es un problema de escala.</w:t>
      </w:r>
    </w:p>
    <w:p>
      <w:pPr>
        <w:spacing w:after="180"/>
        <w:jc w:val="both"/>
      </w:pPr>
      <w:r>
        <w:t xml:space="preserve">Un punto a tener en el radar, aunque no es urgente: la normativa española de facturación VeriFactu será exigible a partir de julio de 2027 para autónomos y pequeñas empresas, y la factura electrónica obligatoria llegará en octubre de 2027-2028 según el tamaño del negocio. No condiciona nada de lo anterior hoy, pero conviene elegir desde el principio una pasarela o un software de facturación (Stripe Invoicing, o herramientas españolas como Holded o Quaderno) que pueda adaptarse a esa normativa cuando llegue, para no tener que migrar de sistema de cobro más adelante.</w:t>
      </w:r>
    </w:p>
    <w:p>
      <w:pPr>
        <w:pStyle w:val="Heading1"/>
        <w:spacing w:after="160" w:before="320"/>
      </w:pPr>
      <w:r>
        <w:t xml:space="preserve">4. Panel de administración (fase futura)</w:t>
      </w:r>
    </w:p>
    <w:p>
      <w:pPr>
        <w:spacing w:after="180"/>
        <w:jc w:val="both"/>
      </w:pPr>
      <w:r>
        <w:t xml:space="preserve">Tal como se comentó, este panel queda para más adelante, pero conviene planificarlo ya para que no obligue a rediseñar nada de lo anterior. Lo más sensato es que sea una aplicación separada del simulador —no una pantalla oculta dentro de la misma app— con su propio inicio de sesión restringido a un rol de administrador definido en la base de datos, y que sea la única pieza del sistema autorizada a usar la service_role key para leer o modificar datos de todos los usuarios. Desde ahí se gestionarían el contenido de la Academia (subir vídeos y resúmenes), el estado de los pagos y, si hace falta, soporte a usuarios. Cuando llegue el momento de construirlo, tiene sentido retomar este documento para detallar sus requisitos concretos.</w:t>
      </w:r>
    </w:p>
    <w:p>
      <w:pPr>
        <w:pStyle w:val="Heading1"/>
        <w:spacing w:after="160" w:before="320"/>
      </w:pPr>
      <w:r>
        <w:t xml:space="preserve">Hoja de ruta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550"/>
        <w:gridCol w:w="1900"/>
      </w:tblGrid>
      <w:tr>
        <w:tc>
          <w:tcPr>
            <w:tcW w:type="dxa" w:w="1900"/>
            <w:shd w:fill="1F3B57" w:color="auto" w:val="clear"/>
            <w:tcMar>
              <w:top w:type="dxa" w:w="100"/>
              <w:left w:type="dxa" w:w="120"/>
              <w:bottom w:type="dxa" w:w="100"/>
              <w:right w:type="dxa" w:w="120"/>
            </w:tcMar>
          </w:tcPr>
          <w:p>
            <w:r>
              <w:rPr>
                <w:b/>
                <w:bCs/>
                <w:color w:val="FFFFFF"/>
                <w:sz w:val="20"/>
                <w:szCs w:val="20"/>
              </w:rPr>
              <w:t xml:space="preserve">Fase</w:t>
            </w:r>
          </w:p>
        </w:tc>
        <w:tc>
          <w:tcPr>
            <w:tcW w:type="dxa" w:w="5550"/>
            <w:shd w:fill="1F3B57" w:color="auto" w:val="clear"/>
            <w:tcMar>
              <w:top w:type="dxa" w:w="100"/>
              <w:left w:type="dxa" w:w="120"/>
              <w:bottom w:type="dxa" w:w="100"/>
              <w:right w:type="dxa" w:w="120"/>
            </w:tcMar>
          </w:tcPr>
          <w:p>
            <w:r>
              <w:rPr>
                <w:b/>
                <w:bCs/>
                <w:color w:val="FFFFFF"/>
                <w:sz w:val="20"/>
                <w:szCs w:val="20"/>
              </w:rPr>
              <w:t xml:space="preserve">Qué se necesita</w:t>
            </w:r>
          </w:p>
        </w:tc>
        <w:tc>
          <w:tcPr>
            <w:tcW w:type="dxa" w:w="1900"/>
            <w:shd w:fill="1F3B57" w:color="auto" w:val="clear"/>
            <w:tcMar>
              <w:top w:type="dxa" w:w="100"/>
              <w:left w:type="dxa" w:w="120"/>
              <w:bottom w:type="dxa" w:w="100"/>
              <w:right w:type="dxa" w:w="120"/>
            </w:tcMar>
          </w:tcPr>
          <w:p>
            <w:r>
              <w:rPr>
                <w:b/>
                <w:bCs/>
                <w:color w:val="FFFFFF"/>
                <w:sz w:val="20"/>
                <w:szCs w:val="20"/>
              </w:rPr>
              <w:t xml:space="preserve">Prioridad</w:t>
            </w:r>
          </w:p>
        </w:tc>
      </w:tr>
      <w:tr>
        <w:tc>
          <w:tcPr>
            <w:tcW w:type="dxa" w:w="1900"/>
            <w:tcMar>
              <w:top w:type="dxa" w:w="100"/>
              <w:left w:type="dxa" w:w="120"/>
              <w:bottom w:type="dxa" w:w="100"/>
              <w:right w:type="dxa" w:w="120"/>
            </w:tcMar>
          </w:tcPr>
          <w:p>
            <w:r>
              <w:rPr>
                <w:b w:val="false"/>
                <w:bCs w:val="false"/>
                <w:sz w:val="20"/>
                <w:szCs w:val="20"/>
              </w:rPr>
              <w:t xml:space="preserve">Ahora (simulador)</w:t>
            </w:r>
          </w:p>
        </w:tc>
        <w:tc>
          <w:tcPr>
            <w:tcW w:type="dxa" w:w="5550"/>
            <w:tcMar>
              <w:top w:type="dxa" w:w="100"/>
              <w:left w:type="dxa" w:w="120"/>
              <w:bottom w:type="dxa" w:w="100"/>
              <w:right w:type="dxa" w:w="120"/>
            </w:tcMar>
          </w:tcPr>
          <w:p>
            <w:r>
              <w:rPr>
                <w:b w:val="false"/>
                <w:bCs w:val="false"/>
                <w:sz w:val="20"/>
                <w:szCs w:val="20"/>
              </w:rPr>
              <w:t xml:space="preserve">Resolver SMTP propio y plan Supabase antes de dar de alta usuarios (ver estudio de escalabilidad)</w:t>
            </w:r>
          </w:p>
        </w:tc>
        <w:tc>
          <w:tcPr>
            <w:tcW w:type="dxa" w:w="1900"/>
            <w:tcMar>
              <w:top w:type="dxa" w:w="100"/>
              <w:left w:type="dxa" w:w="120"/>
              <w:bottom w:type="dxa" w:w="100"/>
              <w:right w:type="dxa" w:w="120"/>
            </w:tcMar>
          </w:tcPr>
          <w:p>
            <w:r>
              <w:rPr>
                <w:b w:val="false"/>
                <w:bCs w:val="false"/>
                <w:sz w:val="20"/>
                <w:szCs w:val="20"/>
              </w:rPr>
              <w:t xml:space="preserve">Crítico</w:t>
            </w:r>
          </w:p>
        </w:tc>
      </w:tr>
      <w:tr>
        <w:tc>
          <w:tcPr>
            <w:tcW w:type="dxa" w:w="1900"/>
            <w:tcMar>
              <w:top w:type="dxa" w:w="100"/>
              <w:left w:type="dxa" w:w="120"/>
              <w:bottom w:type="dxa" w:w="100"/>
              <w:right w:type="dxa" w:w="120"/>
            </w:tcMar>
          </w:tcPr>
          <w:p>
            <w:r>
              <w:rPr>
                <w:b w:val="false"/>
                <w:bCs w:val="false"/>
                <w:sz w:val="20"/>
                <w:szCs w:val="20"/>
              </w:rPr>
              <w:t xml:space="preserve">Antes de cobrar</w:t>
            </w:r>
          </w:p>
        </w:tc>
        <w:tc>
          <w:tcPr>
            <w:tcW w:type="dxa" w:w="5550"/>
            <w:tcMar>
              <w:top w:type="dxa" w:w="100"/>
              <w:left w:type="dxa" w:w="120"/>
              <w:bottom w:type="dxa" w:w="100"/>
              <w:right w:type="dxa" w:w="120"/>
            </w:tcMar>
          </w:tcPr>
          <w:p>
            <w:r>
              <w:rPr>
                <w:b w:val="false"/>
                <w:bCs w:val="false"/>
                <w:sz w:val="20"/>
                <w:szCs w:val="20"/>
              </w:rPr>
              <w:t xml:space="preserve">Alta como autónomo/empresa + cuenta en Stripe (tarjeta + Bizum) verificada</w:t>
            </w:r>
          </w:p>
        </w:tc>
        <w:tc>
          <w:tcPr>
            <w:tcW w:type="dxa" w:w="1900"/>
            <w:tcMar>
              <w:top w:type="dxa" w:w="100"/>
              <w:left w:type="dxa" w:w="120"/>
              <w:bottom w:type="dxa" w:w="100"/>
              <w:right w:type="dxa" w:w="120"/>
            </w:tcMar>
          </w:tcPr>
          <w:p>
            <w:r>
              <w:rPr>
                <w:b w:val="false"/>
                <w:bCs w:val="false"/>
                <w:sz w:val="20"/>
                <w:szCs w:val="20"/>
              </w:rPr>
              <w:t xml:space="preserve">Crítico</w:t>
            </w:r>
          </w:p>
        </w:tc>
      </w:tr>
      <w:tr>
        <w:tc>
          <w:tcPr>
            <w:tcW w:type="dxa" w:w="1900"/>
            <w:tcMar>
              <w:top w:type="dxa" w:w="100"/>
              <w:left w:type="dxa" w:w="120"/>
              <w:bottom w:type="dxa" w:w="100"/>
              <w:right w:type="dxa" w:w="120"/>
            </w:tcMar>
          </w:tcPr>
          <w:p>
            <w:r>
              <w:rPr>
                <w:b w:val="false"/>
                <w:bCs w:val="false"/>
                <w:sz w:val="20"/>
                <w:szCs w:val="20"/>
              </w:rPr>
              <w:t xml:space="preserve">Antes de cobrar</w:t>
            </w:r>
          </w:p>
        </w:tc>
        <w:tc>
          <w:tcPr>
            <w:tcW w:type="dxa" w:w="5550"/>
            <w:tcMar>
              <w:top w:type="dxa" w:w="100"/>
              <w:left w:type="dxa" w:w="120"/>
              <w:bottom w:type="dxa" w:w="100"/>
              <w:right w:type="dxa" w:w="120"/>
            </w:tcMar>
          </w:tcPr>
          <w:p>
            <w:r>
              <w:rPr>
                <w:b w:val="false"/>
                <w:bCs w:val="false"/>
                <w:sz w:val="20"/>
                <w:szCs w:val="20"/>
              </w:rPr>
              <w:t xml:space="preserve">Edge Function que verifique el webhook de pago y active el acceso automáticamente</w:t>
            </w:r>
          </w:p>
        </w:tc>
        <w:tc>
          <w:tcPr>
            <w:tcW w:type="dxa" w:w="1900"/>
            <w:tcMar>
              <w:top w:type="dxa" w:w="100"/>
              <w:left w:type="dxa" w:w="120"/>
              <w:bottom w:type="dxa" w:w="100"/>
              <w:right w:type="dxa" w:w="120"/>
            </w:tcMar>
          </w:tcPr>
          <w:p>
            <w:r>
              <w:rPr>
                <w:b w:val="false"/>
                <w:bCs w:val="false"/>
                <w:sz w:val="20"/>
                <w:szCs w:val="20"/>
              </w:rPr>
              <w:t xml:space="preserve">Crítico</w:t>
            </w:r>
          </w:p>
        </w:tc>
      </w:tr>
      <w:tr>
        <w:tc>
          <w:tcPr>
            <w:tcW w:type="dxa" w:w="1900"/>
            <w:tcMar>
              <w:top w:type="dxa" w:w="100"/>
              <w:left w:type="dxa" w:w="120"/>
              <w:bottom w:type="dxa" w:w="100"/>
              <w:right w:type="dxa" w:w="120"/>
            </w:tcMar>
          </w:tcPr>
          <w:p>
            <w:r>
              <w:rPr>
                <w:b w:val="false"/>
                <w:bCs w:val="false"/>
                <w:sz w:val="20"/>
                <w:szCs w:val="20"/>
              </w:rPr>
              <w:t xml:space="preserve">Antes de cobrar</w:t>
            </w:r>
          </w:p>
        </w:tc>
        <w:tc>
          <w:tcPr>
            <w:tcW w:type="dxa" w:w="5550"/>
            <w:tcMar>
              <w:top w:type="dxa" w:w="100"/>
              <w:left w:type="dxa" w:w="120"/>
              <w:bottom w:type="dxa" w:w="100"/>
              <w:right w:type="dxa" w:w="120"/>
            </w:tcMar>
          </w:tcPr>
          <w:p>
            <w:r>
              <w:rPr>
                <w:b w:val="false"/>
                <w:bCs w:val="false"/>
                <w:sz w:val="20"/>
                <w:szCs w:val="20"/>
              </w:rPr>
              <w:t xml:space="preserve">Política de privacidad y términos de uso (RGPD) publicados en la app</w:t>
            </w:r>
          </w:p>
        </w:tc>
        <w:tc>
          <w:tcPr>
            <w:tcW w:type="dxa" w:w="1900"/>
            <w:tcMar>
              <w:top w:type="dxa" w:w="100"/>
              <w:left w:type="dxa" w:w="120"/>
              <w:bottom w:type="dxa" w:w="100"/>
              <w:right w:type="dxa" w:w="120"/>
            </w:tcMar>
          </w:tcPr>
          <w:p>
            <w:r>
              <w:rPr>
                <w:b w:val="false"/>
                <w:bCs w:val="false"/>
                <w:sz w:val="20"/>
                <w:szCs w:val="20"/>
              </w:rPr>
              <w:t xml:space="preserve">Alto</w:t>
            </w:r>
          </w:p>
        </w:tc>
      </w:tr>
      <w:tr>
        <w:tc>
          <w:tcPr>
            <w:tcW w:type="dxa" w:w="1900"/>
            <w:tcMar>
              <w:top w:type="dxa" w:w="100"/>
              <w:left w:type="dxa" w:w="120"/>
              <w:bottom w:type="dxa" w:w="100"/>
              <w:right w:type="dxa" w:w="120"/>
            </w:tcMar>
          </w:tcPr>
          <w:p>
            <w:r>
              <w:rPr>
                <w:b w:val="false"/>
                <w:bCs w:val="false"/>
                <w:sz w:val="20"/>
                <w:szCs w:val="20"/>
              </w:rPr>
              <w:t xml:space="preserve">Al lanzar Academia</w:t>
            </w:r>
          </w:p>
        </w:tc>
        <w:tc>
          <w:tcPr>
            <w:tcW w:type="dxa" w:w="5550"/>
            <w:tcMar>
              <w:top w:type="dxa" w:w="100"/>
              <w:left w:type="dxa" w:w="120"/>
              <w:bottom w:type="dxa" w:w="100"/>
              <w:right w:type="dxa" w:w="120"/>
            </w:tcMar>
          </w:tcPr>
          <w:p>
            <w:r>
              <w:rPr>
                <w:b w:val="false"/>
                <w:bCs w:val="false"/>
                <w:sz w:val="20"/>
                <w:szCs w:val="20"/>
              </w:rPr>
              <w:t xml:space="preserve">Cuenta en un proveedor de vídeo (Bunny Stream o Cloudflare Stream) y tablas de cursos/lecciones/progreso con RLS</w:t>
            </w:r>
          </w:p>
        </w:tc>
        <w:tc>
          <w:tcPr>
            <w:tcW w:type="dxa" w:w="1900"/>
            <w:tcMar>
              <w:top w:type="dxa" w:w="100"/>
              <w:left w:type="dxa" w:w="120"/>
              <w:bottom w:type="dxa" w:w="100"/>
              <w:right w:type="dxa" w:w="120"/>
            </w:tcMar>
          </w:tcPr>
          <w:p>
            <w:r>
              <w:rPr>
                <w:b w:val="false"/>
                <w:bCs w:val="false"/>
                <w:sz w:val="20"/>
                <w:szCs w:val="20"/>
              </w:rPr>
              <w:t xml:space="preserve">Alto</w:t>
            </w:r>
          </w:p>
        </w:tc>
      </w:tr>
      <w:tr>
        <w:tc>
          <w:tcPr>
            <w:tcW w:type="dxa" w:w="1900"/>
            <w:tcMar>
              <w:top w:type="dxa" w:w="100"/>
              <w:left w:type="dxa" w:w="120"/>
              <w:bottom w:type="dxa" w:w="100"/>
              <w:right w:type="dxa" w:w="120"/>
            </w:tcMar>
          </w:tcPr>
          <w:p>
            <w:r>
              <w:rPr>
                <w:b w:val="false"/>
                <w:bCs w:val="false"/>
                <w:sz w:val="20"/>
                <w:szCs w:val="20"/>
              </w:rPr>
              <w:t xml:space="preserve">Al lanzar Academia</w:t>
            </w:r>
          </w:p>
        </w:tc>
        <w:tc>
          <w:tcPr>
            <w:tcW w:type="dxa" w:w="5550"/>
            <w:tcMar>
              <w:top w:type="dxa" w:w="100"/>
              <w:left w:type="dxa" w:w="120"/>
              <w:bottom w:type="dxa" w:w="100"/>
              <w:right w:type="dxa" w:w="120"/>
            </w:tcMar>
          </w:tcPr>
          <w:p>
            <w:r>
              <w:rPr>
                <w:b w:val="false"/>
                <w:bCs w:val="false"/>
                <w:sz w:val="20"/>
                <w:szCs w:val="20"/>
              </w:rPr>
              <w:t xml:space="preserve">Enlaces de reproducción firmados con caducidad corta para los vídeos</w:t>
            </w:r>
          </w:p>
        </w:tc>
        <w:tc>
          <w:tcPr>
            <w:tcW w:type="dxa" w:w="1900"/>
            <w:tcMar>
              <w:top w:type="dxa" w:w="100"/>
              <w:left w:type="dxa" w:w="120"/>
              <w:bottom w:type="dxa" w:w="100"/>
              <w:right w:type="dxa" w:w="120"/>
            </w:tcMar>
          </w:tcPr>
          <w:p>
            <w:r>
              <w:rPr>
                <w:b w:val="false"/>
                <w:bCs w:val="false"/>
                <w:sz w:val="20"/>
                <w:szCs w:val="20"/>
              </w:rPr>
              <w:t xml:space="preserve">Medio</w:t>
            </w:r>
          </w:p>
        </w:tc>
      </w:tr>
      <w:tr>
        <w:tc>
          <w:tcPr>
            <w:tcW w:type="dxa" w:w="1900"/>
            <w:tcMar>
              <w:top w:type="dxa" w:w="100"/>
              <w:left w:type="dxa" w:w="120"/>
              <w:bottom w:type="dxa" w:w="100"/>
              <w:right w:type="dxa" w:w="120"/>
            </w:tcMar>
          </w:tcPr>
          <w:p>
            <w:r>
              <w:rPr>
                <w:b w:val="false"/>
                <w:bCs w:val="false"/>
                <w:sz w:val="20"/>
                <w:szCs w:val="20"/>
              </w:rPr>
              <w:t xml:space="preserve">Más adelante</w:t>
            </w:r>
          </w:p>
        </w:tc>
        <w:tc>
          <w:tcPr>
            <w:tcW w:type="dxa" w:w="5550"/>
            <w:tcMar>
              <w:top w:type="dxa" w:w="100"/>
              <w:left w:type="dxa" w:w="120"/>
              <w:bottom w:type="dxa" w:w="100"/>
              <w:right w:type="dxa" w:w="120"/>
            </w:tcMar>
          </w:tcPr>
          <w:p>
            <w:r>
              <w:rPr>
                <w:b w:val="false"/>
                <w:bCs w:val="false"/>
                <w:sz w:val="20"/>
                <w:szCs w:val="20"/>
              </w:rPr>
              <w:t xml:space="preserve">Panel de administración separado (gestión de contenido, usuarios y pagos) con su propio login y roles</w:t>
            </w:r>
          </w:p>
        </w:tc>
        <w:tc>
          <w:tcPr>
            <w:tcW w:type="dxa" w:w="1900"/>
            <w:tcMar>
              <w:top w:type="dxa" w:w="100"/>
              <w:left w:type="dxa" w:w="120"/>
              <w:bottom w:type="dxa" w:w="100"/>
              <w:right w:type="dxa" w:w="120"/>
            </w:tcMar>
          </w:tcPr>
          <w:p>
            <w:r>
              <w:rPr>
                <w:b w:val="false"/>
                <w:bCs w:val="false"/>
                <w:sz w:val="20"/>
                <w:szCs w:val="20"/>
              </w:rPr>
              <w:t xml:space="preserve">Bajo por ahora</w:t>
            </w:r>
          </w:p>
        </w:tc>
      </w:tr>
      <w:tr>
        <w:tc>
          <w:tcPr>
            <w:tcW w:type="dxa" w:w="1900"/>
            <w:tcMar>
              <w:top w:type="dxa" w:w="100"/>
              <w:left w:type="dxa" w:w="120"/>
              <w:bottom w:type="dxa" w:w="100"/>
              <w:right w:type="dxa" w:w="120"/>
            </w:tcMar>
          </w:tcPr>
          <w:p>
            <w:r>
              <w:rPr>
                <w:b w:val="false"/>
                <w:bCs w:val="false"/>
                <w:sz w:val="20"/>
                <w:szCs w:val="20"/>
              </w:rPr>
              <w:t xml:space="preserve">Más adelante</w:t>
            </w:r>
          </w:p>
        </w:tc>
        <w:tc>
          <w:tcPr>
            <w:tcW w:type="dxa" w:w="5550"/>
            <w:tcMar>
              <w:top w:type="dxa" w:w="100"/>
              <w:left w:type="dxa" w:w="120"/>
              <w:bottom w:type="dxa" w:w="100"/>
              <w:right w:type="dxa" w:w="120"/>
            </w:tcMar>
          </w:tcPr>
          <w:p>
            <w:r>
              <w:rPr>
                <w:b w:val="false"/>
                <w:bCs w:val="false"/>
                <w:sz w:val="20"/>
                <w:szCs w:val="20"/>
              </w:rPr>
              <w:t xml:space="preserve">Revisar VeriFactu antes de julio de 2027 si se factura de forma continuada</w:t>
            </w:r>
          </w:p>
        </w:tc>
        <w:tc>
          <w:tcPr>
            <w:tcW w:type="dxa" w:w="1900"/>
            <w:tcMar>
              <w:top w:type="dxa" w:w="100"/>
              <w:left w:type="dxa" w:w="120"/>
              <w:bottom w:type="dxa" w:w="100"/>
              <w:right w:type="dxa" w:w="120"/>
            </w:tcMar>
          </w:tcPr>
          <w:p>
            <w:r>
              <w:rPr>
                <w:b w:val="false"/>
                <w:bCs w:val="false"/>
                <w:sz w:val="20"/>
                <w:szCs w:val="20"/>
              </w:rPr>
              <w:t xml:space="preserve">Bajo por ahora</w:t>
            </w:r>
          </w:p>
        </w:tc>
      </w:tr>
    </w:tbl>
    <w:p>
      <w:pPr>
        <w:spacing w:before="240"/>
      </w:pPr>
    </w:p>
    <w:p>
      <w:pPr>
        <w:pStyle w:val="Heading1"/>
        <w:spacing w:after="160" w:before="320"/>
      </w:pPr>
      <w:r>
        <w:t xml:space="preserve">Conclusión</w:t>
      </w:r>
    </w:p>
    <w:p>
      <w:pPr>
        <w:spacing w:after="180"/>
        <w:jc w:val="both"/>
      </w:pPr>
      <w:r>
        <w:t xml:space="preserve">Ninguno de los tres frentes —Academia, pagos y seguridad— obliga a rehacer el simulador actual: se construyen como capas nuevas sobre la misma autenticación y la misma base de datos. Lo más urgente cuando se decida avanzar es, en este orden, dejar listo el cobro automático con Stripe (tarjeta y Bizum) y la función que activa el acceso tras el pago, después contratar el proveedor de vídeo y crear las tablas de la Academia con Row Level Security desde el inicio, y dejar la transferencia bancaria y el panel de administración como piezas de una fase posterior, sin que bloqueen el lanzamiento de las anteriores.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2026-08-01T11:15:40.029Z</dcterms:created>
  <dcterms:modified xsi:type="dcterms:W3CDTF">2026-08-01T11:15:40.030Z</dcterms:modified>
</cp:coreProperties>
</file>

<file path=docProps/custom.xml><?xml version="1.0" encoding="utf-8"?>
<Properties xmlns="http://schemas.openxmlformats.org/officeDocument/2006/custom-properties" xmlns:vt="http://schemas.openxmlformats.org/officeDocument/2006/docPropsVTypes"/>
</file>