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B57"/>
          <w:sz w:val="44"/>
          <w:szCs w:val="44"/>
        </w:rPr>
        <w:t xml:space="preserve">Estudio de escalabilidad</w:t>
      </w:r>
    </w:p>
    <w:p>
      <w:pPr>
        <w:spacing w:after="40"/>
      </w:pPr>
      <w:r>
        <w:rPr>
          <w:color w:val="555555"/>
          <w:sz w:val="24"/>
          <w:szCs w:val="24"/>
        </w:rPr>
        <w:t xml:space="preserve">ExamPrep / Odonto-Quiz — preparación para 1000+ usuarios simultáneos</w:t>
      </w:r>
    </w:p>
    <w:p>
      <w:pPr>
        <w:spacing w:after="300"/>
      </w:pPr>
      <w:r>
        <w:rPr>
          <w:i/>
          <w:iCs/>
          <w:color w:val="888888"/>
          <w:sz w:val="20"/>
          <w:szCs w:val="20"/>
        </w:rPr>
        <w:t xml:space="preserve">Alejandro · 1 de agosto de 2026</w:t>
      </w:r>
    </w:p>
    <w:p>
      <w:pPr>
        <w:pStyle w:val="Heading1"/>
        <w:spacing w:after="160" w:before="320"/>
      </w:pPr>
      <w:r>
        <w:t xml:space="preserve">Resumen ejecutivo</w:t>
      </w:r>
    </w:p>
    <w:p>
      <w:pPr>
        <w:spacing w:after="180"/>
        <w:jc w:val="both"/>
      </w:pPr>
      <w:r>
        <w:t xml:space="preserve">La aplicación es una SPA de React 19 (Vite) sin servidor propio: toda la lógica de negocio corre en el navegador y el único backend es Supabase (Postgres + Auth + PostgREST), consumido directamente desde el cliente con la clave anónima y Row Level Security. Esta arquitectura es, en sí misma, una buena base para escalar a miles de usuarios: no existe un proceso Node propio que se sature, ya que el frontend estático lo puede servir cualquier CDN y el backend lo gestiona Supabase de forma administrada.</w:t>
      </w:r>
    </w:p>
    <w:p>
      <w:pPr>
        <w:spacing w:after="180"/>
        <w:jc w:val="both"/>
      </w:pPr>
      <w:r>
        <w:t xml:space="preserve">Dicho esto, en la revisión del código y del esquema aparecen seis puntos concretos que conviene resolver antes de anunciar la app a 1000 usuarios reales, dos de ellos con potencial de bloquear por completo el registro de usuarios el día del lanzamiento. El detalle de cada uno, con su impacto y la corrección sugerida, está más abajo; la tabla de la sección final resume las prioridades.</w:t>
      </w:r>
    </w:p>
    <w:p>
      <w:pPr>
        <w:pStyle w:val="Heading1"/>
        <w:spacing w:after="160" w:before="320"/>
      </w:pPr>
      <w:r>
        <w:t xml:space="preserve">Arquitectura actual</w:t>
      </w:r>
    </w:p>
    <w:p>
      <w:pPr>
        <w:spacing w:after="180"/>
        <w:jc w:val="both"/>
      </w:pPr>
      <w:r>
        <w:t xml:space="preserve">El proyecto usa Vite + React 19 + TypeScript, compilado a una SPA estática (carpeta dist/) sin ningún servidor Express ni API propia — no se encontró configuración de Node, Docker ni ningún backend adicional en el repositorio. Toda la persistencia (historial de intentos, configuración de examen guardada y control de dispositivos activos) vive en tres tablas de Postgres en Supabase, cada una protegida con Row Level Security para que cada usuario solo lea y escriba sus propios datos. La autenticación (registro, login, sesión) la maneja Supabase Auth de forma nativa.</w:t>
      </w:r>
    </w:p>
    <w:p>
      <w:pPr>
        <w:spacing w:after="180"/>
        <w:jc w:val="both"/>
      </w:pPr>
      <w:r>
        <w:t xml:space="preserve">Esto significa que la pregunta "¿escala a 1000 usuarios?" tiene dos partes independientes: la entrega de los archivos estáticos (trivial de escalar en cualquier CDN moderna) y la capacidad del proyecto de Supabase para absorber la carga de consultas y autenticaciones (donde sí hay límites reales por plan de precio).</w:t>
      </w:r>
    </w:p>
    <w:p>
      <w:pPr>
        <w:pStyle w:val="Heading1"/>
        <w:spacing w:after="160" w:before="320"/>
      </w:pPr>
      <w:r>
        <w:t xml:space="preserve">Hallazgos</w:t>
      </w:r>
    </w:p>
    <w:p>
      <w:pPr>
        <w:pStyle w:val="Heading2"/>
        <w:spacing w:after="120" w:before="260"/>
      </w:pPr>
      <w:r>
        <w:t xml:space="preserve">1. Límite de correos de autenticación (crítico)</w:t>
      </w:r>
    </w:p>
    <w:p>
      <w:pPr>
        <w:spacing w:after="180"/>
        <w:jc w:val="both"/>
      </w:pPr>
      <w:r>
        <w:t xml:space="preserve">El registro de un usuario nuevo pasa por Supabase Auth con confirmación por correo (así lo indica el flujo revisarCorreo en Login.tsx). Por defecto, Supabase limita el envío de correos de autenticación a 2 por hora cuando se usa el proveedor SMTP integrado del plan gratuito, y a 30 por hora incluso configurando un SMTP propio sin ajustar el límite manualmente. Si los 1000 usuarios se registran en una ventana corta —lo habitual cuando se lanza a un grupo o clase— la gran mayoría recibirá un error 429 y no podrá completar el alta.</w:t>
      </w:r>
    </w:p>
    <w:p>
      <w:pPr>
        <w:spacing w:after="180"/>
        <w:jc w:val="both"/>
      </w:pPr>
      <w:r>
        <w:t xml:space="preserve">Antes de escalar, hay que configurar un proveedor SMTP propio (Resend, Postmark, SendGrid o similar) en el proyecto de Supabase y revisar manualmente los límites de Authentication → Rate Limits en el panel, subiéndolos a un valor acorde al volumen esperado de altas por hora.</w:t>
      </w:r>
    </w:p>
    <w:p>
      <w:pPr>
        <w:pStyle w:val="Heading2"/>
        <w:spacing w:after="120" w:before="260"/>
      </w:pPr>
      <w:r>
        <w:t xml:space="preserve">2. Plan y capacidad de Supabase (crítico)</w:t>
      </w:r>
    </w:p>
    <w:p>
      <w:pPr>
        <w:spacing w:after="180"/>
        <w:jc w:val="both"/>
      </w:pPr>
      <w:r>
        <w:t xml:space="preserve">El plan gratuito de Supabase admite 60 conexiones directas y 200 conexiones vía pooler, con un cómputo compartido que además pausa el proyecto tras un periodo de inactividad y no ofrece garantías de disponibilidad. Aunque las llamadas de supabase-js a estas tablas van por PostgREST (HTTP) y no consumen una conexión Postgres por usuario conectado, la capacidad de cómputo y el número de peticiones concurrentes que el proyecto puede sostener sí están limitados por el plan. Con 1000 usuarios activos —por ejemplo, todos iniciando un simulacro a la misma hora— es razonable esperar que el plan Free se convierta en el cuello de botella real de la aplicación, no el código.</w:t>
      </w:r>
    </w:p>
    <w:p>
      <w:pPr>
        <w:spacing w:after="180"/>
        <w:jc w:val="both"/>
      </w:pPr>
      <w:r>
        <w:t xml:space="preserve">Se recomienda subir el proyecto a un plan Pro (o superior según el pico de uso esperado) antes de anunciar la app a esa escala, y activar las alertas de uso de Supabase para detectar saturación con margen de reacción.</w:t>
      </w:r>
    </w:p>
    <w:p>
      <w:pPr>
        <w:pStyle w:val="Heading2"/>
        <w:spacing w:after="120" w:before="260"/>
      </w:pPr>
      <w:r>
        <w:t xml:space="preserve">3. Consultas duplicadas en la pantalla de inicio (alto)</w:t>
      </w:r>
    </w:p>
    <w:p>
      <w:pPr>
        <w:spacing w:after="180"/>
        <w:jc w:val="both"/>
      </w:pPr>
      <w:r>
        <w:t xml:space="preserve">En Home.tsx se llama por separado a getHistorialRemoto(userId, cursoId) y a getPromedioRemoto(userId, cursoId); esta última, definida en historial.ts, vuelve a pedir internamente el mismo historial (hasta 30 filas) solo para calcular un promedio que ya podría derivarse de los datos que Home.tsx acaba de recibir. El resultado es que la pantalla más visitada de la app —el Home, a la que se vuelve tras cada examen— dispara el doble de lecturas a Postgres de las necesarias. Con 1000 usuarios navegando activamente, esto duplica sin necesidad la carga de lectura sobre la tabla historial_intentos.</w:t>
      </w:r>
    </w:p>
    <w:p>
      <w:pPr>
        <w:spacing w:after="180"/>
        <w:jc w:val="both"/>
      </w:pPr>
      <w:r>
        <w:t xml:space="preserve">La corrección es sencilla: calcular el promedio en Home.tsx (y en Resultados.tsx, que tiene el mismo patrón) a partir del arreglo que ya devuelve getHistorialRemoto, y eliminar la llamada extra a getPromedioRemoto. Es un cambio de código de bajo esfuerzo con impacto directo en la carga de la base de datos.</w:t>
      </w:r>
    </w:p>
    <w:p>
      <w:pPr>
        <w:pStyle w:val="Heading2"/>
        <w:spacing w:after="120" w:before="260"/>
      </w:pPr>
      <w:r>
        <w:t xml:space="preserve">4. Verificación de dispositivo en cada carga de sesión (medio)</w:t>
      </w:r>
    </w:p>
    <w:p>
      <w:pPr>
        <w:spacing w:after="180"/>
        <w:jc w:val="both"/>
      </w:pPr>
      <w:r>
        <w:t xml:space="preserve">verificarDispositivo() en dispositivos.ts ejecuta hasta tres consultas secuenciales (un select, seguido de un update o de un select de conteo más un insert) cada vez que un usuario autenticado abre la app. Individualmente son consultas baratas porque están cubiertas por la clave única (user_id, device_id), pero con 1000 inicios de sesión concentrados en pocos minutos se traduce en hasta 3000 idas y vueltas a la base de datos solo para este control. Además, al ser tres pasos separados sin transacción, existe una ventana de condición de carrera: dos pestañas abriéndose casi al mismo tiempo podrían pasar ambas el conteo antes de que cualquiera inserte, permitiendo temporalmente más de los dos dispositivos configurados como límite.</w:t>
      </w:r>
    </w:p>
    <w:p>
      <w:pPr>
        <w:spacing w:after="180"/>
        <w:jc w:val="both"/>
      </w:pPr>
      <w:r>
        <w:t xml:space="preserve">Conviene mover esta lógica a una función de Postgres (RPC vía supabase.rpc) que haga la verificación, el conteo y el alta o actualización en una sola llamada atómica. Esto reduce las tres idas y vueltas a una y elimina la condición de carrera.</w:t>
      </w:r>
    </w:p>
    <w:p>
      <w:pPr>
        <w:pStyle w:val="Heading2"/>
        <w:spacing w:after="120" w:before="260"/>
      </w:pPr>
      <w:r>
        <w:t xml:space="preserve">5. Peso de los datos y del bundle inicial (medio-bajo)</w:t>
      </w:r>
    </w:p>
    <w:p>
      <w:pPr>
        <w:spacing w:after="180"/>
        <w:jc w:val="both"/>
      </w:pPr>
      <w:r>
        <w:t xml:space="preserve">El banco de preguntas (198 preguntas, 176 KB en disco) se compila como un chunk aparte de unos 820 KB sin comprimir (≈130 KB con gzip), separado del bundle principal de la app (≈500 KB sin comprimir, ≈141 KB con gzip). No es un volumen alarmante para un CDN moderno, pero cada usuario nuevo —o cada usuario sin caché de navegador— descarga en torno a 270 KB de JavaScript comprimido antes de poder usar la app. Con 1000 usuarios conectándose a la vez el tráfico total es perfectamente manejable para cualquier hosting estático (Vercel, Netlify, Cloudflare Pages), siempre que se sirva con cabeceras de caché largas para los archivos con hash en el nombre, que Vite ya genera por defecto.</w:t>
      </w:r>
    </w:p>
    <w:p>
      <w:pPr>
        <w:pStyle w:val="Heading2"/>
        <w:spacing w:after="120" w:before="260"/>
      </w:pPr>
      <w:r>
        <w:t xml:space="preserve">6. Animación de bienvenida con 76 imágenes (bajo)</w:t>
      </w:r>
    </w:p>
    <w:p>
      <w:pPr>
        <w:spacing w:after="180"/>
        <w:jc w:val="both"/>
      </w:pPr>
      <w:r>
        <w:t xml:space="preserve">Splash.tsx precarga 76 fotogramas JPEG más un archivo de audio (en total unos 840 KB) en cada apertura de la app, antes de que la caché del navegador pueda evitarlo en visitas repetidas. Esto no compromete la escalabilidad si el hosting es estático, pero añade 77 peticiones HTTP paralelas y peso innecesario a la primera carga de cada sesión nueva. Sustituir la secuencia de imágenes por un video corto (mp4/webm) o un spritesheet reduciría esas 77 peticiones a una o dos, mejorando el tiempo de carga percibido sin tocar la lógica de negocio.</w:t>
      </w:r>
    </w:p>
    <w:p>
      <w:pPr>
        <w:pStyle w:val="Heading2"/>
        <w:spacing w:after="120" w:before="260"/>
      </w:pPr>
      <w:r>
        <w:t xml:space="preserve">7. Esquema de base de datos e índices</w:t>
      </w:r>
    </w:p>
    <w:p>
      <w:pPr>
        <w:spacing w:after="180"/>
        <w:jc w:val="both"/>
      </w:pPr>
      <w:r>
        <w:t xml:space="preserve">El esquema en supabase/schema.sql está bien planteado para este volumen: historial_intentos tiene el índice compuesto (user_id, curso_id, fecha desc) que cubre exactamente el patrón de consulta usado en la app, y config_examen y dispositivos_activos quedan cubiertas por sus claves primaria y única compuestas. No se detectan tablas sin índice ni consultas que requieran un escaneo completo. Row Level Security está activo y correctamente acotado a auth.uid() = user_id en las tres tablas, lo cual es adecuado tanto para seguridad como para rendimiento a esta escala.</w:t>
      </w:r>
    </w:p>
    <w:p>
      <w:pPr>
        <w:pStyle w:val="Heading1"/>
        <w:spacing w:after="160" w:before="320"/>
      </w:pPr>
      <w:r>
        <w:t xml:space="preserve">Plan de acción priorizado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750"/>
        <w:gridCol w:w="2000"/>
      </w:tblGrid>
      <w:tr>
        <w:tc>
          <w:tcPr>
            <w:tcW w:type="dxa" w:w="1600"/>
            <w:shd w:fill="1F3B57" w:color="auto" w:val="clear"/>
            <w:tcMar>
              <w:top w:type="dxa" w:w="100"/>
              <w:left w:type="dxa" w:w="120"/>
              <w:bottom w:type="dxa" w:w="100"/>
              <w:right w:type="dxa" w:w="120"/>
            </w:tcMar>
          </w:tcPr>
          <w:p>
            <w:r>
              <w:rPr>
                <w:b/>
                <w:bCs/>
                <w:color w:val="FFFFFF"/>
                <w:sz w:val="20"/>
                <w:szCs w:val="20"/>
              </w:rPr>
              <w:t xml:space="preserve">Prioridad</w:t>
            </w:r>
          </w:p>
        </w:tc>
        <w:tc>
          <w:tcPr>
            <w:tcW w:type="dxa" w:w="5750"/>
            <w:shd w:fill="1F3B57" w:color="auto" w:val="clear"/>
            <w:tcMar>
              <w:top w:type="dxa" w:w="100"/>
              <w:left w:type="dxa" w:w="120"/>
              <w:bottom w:type="dxa" w:w="100"/>
              <w:right w:type="dxa" w:w="120"/>
            </w:tcMar>
          </w:tcPr>
          <w:p>
            <w:r>
              <w:rPr>
                <w:b/>
                <w:bCs/>
                <w:color w:val="FFFFFF"/>
                <w:sz w:val="20"/>
                <w:szCs w:val="20"/>
              </w:rPr>
              <w:t xml:space="preserve">Hallazgo / acción</w:t>
            </w:r>
          </w:p>
        </w:tc>
        <w:tc>
          <w:tcPr>
            <w:tcW w:type="dxa" w:w="2000"/>
            <w:shd w:fill="1F3B57" w:color="auto" w:val="clear"/>
            <w:tcMar>
              <w:top w:type="dxa" w:w="100"/>
              <w:left w:type="dxa" w:w="120"/>
              <w:bottom w:type="dxa" w:w="100"/>
              <w:right w:type="dxa" w:w="120"/>
            </w:tcMar>
          </w:tcPr>
          <w:p>
            <w:r>
              <w:rPr>
                <w:b/>
                <w:bCs/>
                <w:color w:val="FFFFFF"/>
                <w:sz w:val="20"/>
                <w:szCs w:val="20"/>
              </w:rPr>
              <w:t xml:space="preserve">Esfuerzo</w:t>
            </w:r>
          </w:p>
        </w:tc>
      </w:tr>
      <w:tr>
        <w:tc>
          <w:tcPr>
            <w:tcW w:type="dxa" w:w="1600"/>
            <w:tcMar>
              <w:top w:type="dxa" w:w="100"/>
              <w:left w:type="dxa" w:w="120"/>
              <w:bottom w:type="dxa" w:w="100"/>
              <w:right w:type="dxa" w:w="120"/>
            </w:tcMar>
          </w:tcPr>
          <w:p>
            <w:r>
              <w:rPr>
                <w:b w:val="false"/>
                <w:bCs w:val="false"/>
                <w:sz w:val="20"/>
                <w:szCs w:val="20"/>
              </w:rPr>
              <w:t xml:space="preserve">Crítico</w:t>
            </w:r>
          </w:p>
        </w:tc>
        <w:tc>
          <w:tcPr>
            <w:tcW w:type="dxa" w:w="5750"/>
            <w:tcMar>
              <w:top w:type="dxa" w:w="100"/>
              <w:left w:type="dxa" w:w="120"/>
              <w:bottom w:type="dxa" w:w="100"/>
              <w:right w:type="dxa" w:w="120"/>
            </w:tcMar>
          </w:tcPr>
          <w:p>
            <w:r>
              <w:rPr>
                <w:b w:val="false"/>
                <w:bCs w:val="false"/>
                <w:sz w:val="20"/>
                <w:szCs w:val="20"/>
              </w:rPr>
              <w:t xml:space="preserve">Configurar un proveedor SMTP propio (o revisar límites de Auth) antes de dar de alta a los 1000 usuarios</w:t>
            </w:r>
          </w:p>
        </w:tc>
        <w:tc>
          <w:tcPr>
            <w:tcW w:type="dxa" w:w="2000"/>
            <w:tcMar>
              <w:top w:type="dxa" w:w="100"/>
              <w:left w:type="dxa" w:w="120"/>
              <w:bottom w:type="dxa" w:w="100"/>
              <w:right w:type="dxa" w:w="120"/>
            </w:tcMar>
          </w:tcPr>
          <w:p>
            <w:r>
              <w:rPr>
                <w:b w:val="false"/>
                <w:bCs w:val="false"/>
                <w:sz w:val="20"/>
                <w:szCs w:val="20"/>
              </w:rPr>
              <w:t xml:space="preserve">Bajo — configuración en el panel de Supabase</w:t>
            </w:r>
          </w:p>
        </w:tc>
      </w:tr>
      <w:tr>
        <w:tc>
          <w:tcPr>
            <w:tcW w:type="dxa" w:w="1600"/>
            <w:tcMar>
              <w:top w:type="dxa" w:w="100"/>
              <w:left w:type="dxa" w:w="120"/>
              <w:bottom w:type="dxa" w:w="100"/>
              <w:right w:type="dxa" w:w="120"/>
            </w:tcMar>
          </w:tcPr>
          <w:p>
            <w:r>
              <w:rPr>
                <w:b w:val="false"/>
                <w:bCs w:val="false"/>
                <w:sz w:val="20"/>
                <w:szCs w:val="20"/>
              </w:rPr>
              <w:t xml:space="preserve">Crítico</w:t>
            </w:r>
          </w:p>
        </w:tc>
        <w:tc>
          <w:tcPr>
            <w:tcW w:type="dxa" w:w="5750"/>
            <w:tcMar>
              <w:top w:type="dxa" w:w="100"/>
              <w:left w:type="dxa" w:w="120"/>
              <w:bottom w:type="dxa" w:w="100"/>
              <w:right w:type="dxa" w:w="120"/>
            </w:tcMar>
          </w:tcPr>
          <w:p>
            <w:r>
              <w:rPr>
                <w:b w:val="false"/>
                <w:bCs w:val="false"/>
                <w:sz w:val="20"/>
                <w:szCs w:val="20"/>
              </w:rPr>
              <w:t xml:space="preserve">Subir el proyecto de Supabase de plan Free a Pro antes del lanzamiento a esa escala</w:t>
            </w:r>
          </w:p>
        </w:tc>
        <w:tc>
          <w:tcPr>
            <w:tcW w:type="dxa" w:w="2000"/>
            <w:tcMar>
              <w:top w:type="dxa" w:w="100"/>
              <w:left w:type="dxa" w:w="120"/>
              <w:bottom w:type="dxa" w:w="100"/>
              <w:right w:type="dxa" w:w="120"/>
            </w:tcMar>
          </w:tcPr>
          <w:p>
            <w:r>
              <w:rPr>
                <w:b w:val="false"/>
                <w:bCs w:val="false"/>
                <w:sz w:val="20"/>
                <w:szCs w:val="20"/>
              </w:rPr>
              <w:t xml:space="preserve">Bajo — solo facturación</w:t>
            </w:r>
          </w:p>
        </w:tc>
      </w:tr>
      <w:tr>
        <w:tc>
          <w:tcPr>
            <w:tcW w:type="dxa" w:w="1600"/>
            <w:tcMar>
              <w:top w:type="dxa" w:w="100"/>
              <w:left w:type="dxa" w:w="120"/>
              <w:bottom w:type="dxa" w:w="100"/>
              <w:right w:type="dxa" w:w="120"/>
            </w:tcMar>
          </w:tcPr>
          <w:p>
            <w:r>
              <w:rPr>
                <w:b w:val="false"/>
                <w:bCs w:val="false"/>
                <w:sz w:val="20"/>
                <w:szCs w:val="20"/>
              </w:rPr>
              <w:t xml:space="preserve">Alto</w:t>
            </w:r>
          </w:p>
        </w:tc>
        <w:tc>
          <w:tcPr>
            <w:tcW w:type="dxa" w:w="5750"/>
            <w:tcMar>
              <w:top w:type="dxa" w:w="100"/>
              <w:left w:type="dxa" w:w="120"/>
              <w:bottom w:type="dxa" w:w="100"/>
              <w:right w:type="dxa" w:w="120"/>
            </w:tcMar>
          </w:tcPr>
          <w:p>
            <w:r>
              <w:rPr>
                <w:b w:val="false"/>
                <w:bCs w:val="false"/>
                <w:sz w:val="20"/>
                <w:szCs w:val="20"/>
              </w:rPr>
              <w:t xml:space="preserve">Eliminar la consulta duplicada de historial en Home.tsx (getHistorialRemoto + getPromedioRemoto)</w:t>
            </w:r>
          </w:p>
        </w:tc>
        <w:tc>
          <w:tcPr>
            <w:tcW w:type="dxa" w:w="2000"/>
            <w:tcMar>
              <w:top w:type="dxa" w:w="100"/>
              <w:left w:type="dxa" w:w="120"/>
              <w:bottom w:type="dxa" w:w="100"/>
              <w:right w:type="dxa" w:w="120"/>
            </w:tcMar>
          </w:tcPr>
          <w:p>
            <w:r>
              <w:rPr>
                <w:b w:val="false"/>
                <w:bCs w:val="false"/>
                <w:sz w:val="20"/>
                <w:szCs w:val="20"/>
              </w:rPr>
              <w:t xml:space="preserve">Bajo — cambio de código</w:t>
            </w:r>
          </w:p>
        </w:tc>
      </w:tr>
      <w:tr>
        <w:tc>
          <w:tcPr>
            <w:tcW w:type="dxa" w:w="1600"/>
            <w:tcMar>
              <w:top w:type="dxa" w:w="100"/>
              <w:left w:type="dxa" w:w="120"/>
              <w:bottom w:type="dxa" w:w="100"/>
              <w:right w:type="dxa" w:w="120"/>
            </w:tcMar>
          </w:tcPr>
          <w:p>
            <w:r>
              <w:rPr>
                <w:b w:val="false"/>
                <w:bCs w:val="false"/>
                <w:sz w:val="20"/>
                <w:szCs w:val="20"/>
              </w:rPr>
              <w:t xml:space="preserve">Medio</w:t>
            </w:r>
          </w:p>
        </w:tc>
        <w:tc>
          <w:tcPr>
            <w:tcW w:type="dxa" w:w="5750"/>
            <w:tcMar>
              <w:top w:type="dxa" w:w="100"/>
              <w:left w:type="dxa" w:w="120"/>
              <w:bottom w:type="dxa" w:w="100"/>
              <w:right w:type="dxa" w:w="120"/>
            </w:tcMar>
          </w:tcPr>
          <w:p>
            <w:r>
              <w:rPr>
                <w:b w:val="false"/>
                <w:bCs w:val="false"/>
                <w:sz w:val="20"/>
                <w:szCs w:val="20"/>
              </w:rPr>
              <w:t xml:space="preserve">Unificar la verificación de dispositivo (3 consultas) en una única función RPC de Postgres</w:t>
            </w:r>
          </w:p>
        </w:tc>
        <w:tc>
          <w:tcPr>
            <w:tcW w:type="dxa" w:w="2000"/>
            <w:tcMar>
              <w:top w:type="dxa" w:w="100"/>
              <w:left w:type="dxa" w:w="120"/>
              <w:bottom w:type="dxa" w:w="100"/>
              <w:right w:type="dxa" w:w="120"/>
            </w:tcMar>
          </w:tcPr>
          <w:p>
            <w:r>
              <w:rPr>
                <w:b w:val="false"/>
                <w:bCs w:val="false"/>
                <w:sz w:val="20"/>
                <w:szCs w:val="20"/>
              </w:rPr>
              <w:t xml:space="preserve">Medio — código + SQL</w:t>
            </w:r>
          </w:p>
        </w:tc>
      </w:tr>
      <w:tr>
        <w:tc>
          <w:tcPr>
            <w:tcW w:type="dxa" w:w="1600"/>
            <w:tcMar>
              <w:top w:type="dxa" w:w="100"/>
              <w:left w:type="dxa" w:w="120"/>
              <w:bottom w:type="dxa" w:w="100"/>
              <w:right w:type="dxa" w:w="120"/>
            </w:tcMar>
          </w:tcPr>
          <w:p>
            <w:r>
              <w:rPr>
                <w:b w:val="false"/>
                <w:bCs w:val="false"/>
                <w:sz w:val="20"/>
                <w:szCs w:val="20"/>
              </w:rPr>
              <w:t xml:space="preserve">Medio</w:t>
            </w:r>
          </w:p>
        </w:tc>
        <w:tc>
          <w:tcPr>
            <w:tcW w:type="dxa" w:w="5750"/>
            <w:tcMar>
              <w:top w:type="dxa" w:w="100"/>
              <w:left w:type="dxa" w:w="120"/>
              <w:bottom w:type="dxa" w:w="100"/>
              <w:right w:type="dxa" w:w="120"/>
            </w:tcMar>
          </w:tcPr>
          <w:p>
            <w:r>
              <w:rPr>
                <w:b w:val="false"/>
                <w:bCs w:val="false"/>
                <w:sz w:val="20"/>
                <w:szCs w:val="20"/>
              </w:rPr>
              <w:t xml:space="preserve">Confirmar el hosting del frontend (CDN estático) y activar cache-control largo para /assets</w:t>
            </w:r>
          </w:p>
        </w:tc>
        <w:tc>
          <w:tcPr>
            <w:tcW w:type="dxa" w:w="2000"/>
            <w:tcMar>
              <w:top w:type="dxa" w:w="100"/>
              <w:left w:type="dxa" w:w="120"/>
              <w:bottom w:type="dxa" w:w="100"/>
              <w:right w:type="dxa" w:w="120"/>
            </w:tcMar>
          </w:tcPr>
          <w:p>
            <w:r>
              <w:rPr>
                <w:b w:val="false"/>
                <w:bCs w:val="false"/>
                <w:sz w:val="20"/>
                <w:szCs w:val="20"/>
              </w:rPr>
              <w:t xml:space="preserve">Bajo — configuración de despliegue</w:t>
            </w:r>
          </w:p>
        </w:tc>
      </w:tr>
      <w:tr>
        <w:tc>
          <w:tcPr>
            <w:tcW w:type="dxa" w:w="1600"/>
            <w:tcMar>
              <w:top w:type="dxa" w:w="100"/>
              <w:left w:type="dxa" w:w="120"/>
              <w:bottom w:type="dxa" w:w="100"/>
              <w:right w:type="dxa" w:w="120"/>
            </w:tcMar>
          </w:tcPr>
          <w:p>
            <w:r>
              <w:rPr>
                <w:b w:val="false"/>
                <w:bCs w:val="false"/>
                <w:sz w:val="20"/>
                <w:szCs w:val="20"/>
              </w:rPr>
              <w:t xml:space="preserve">Bajo</w:t>
            </w:r>
          </w:p>
        </w:tc>
        <w:tc>
          <w:tcPr>
            <w:tcW w:type="dxa" w:w="5750"/>
            <w:tcMar>
              <w:top w:type="dxa" w:w="100"/>
              <w:left w:type="dxa" w:w="120"/>
              <w:bottom w:type="dxa" w:w="100"/>
              <w:right w:type="dxa" w:w="120"/>
            </w:tcMar>
          </w:tcPr>
          <w:p>
            <w:r>
              <w:rPr>
                <w:b w:val="false"/>
                <w:bCs w:val="false"/>
                <w:sz w:val="20"/>
                <w:szCs w:val="20"/>
              </w:rPr>
              <w:t xml:space="preserve">Sustituir la animación de 76 fotogramas + audio por un video corto o spritesheet</w:t>
            </w:r>
          </w:p>
        </w:tc>
        <w:tc>
          <w:tcPr>
            <w:tcW w:type="dxa" w:w="2000"/>
            <w:tcMar>
              <w:top w:type="dxa" w:w="100"/>
              <w:left w:type="dxa" w:w="120"/>
              <w:bottom w:type="dxa" w:w="100"/>
              <w:right w:type="dxa" w:w="120"/>
            </w:tcMar>
          </w:tcPr>
          <w:p>
            <w:r>
              <w:rPr>
                <w:b w:val="false"/>
                <w:bCs w:val="false"/>
                <w:sz w:val="20"/>
                <w:szCs w:val="20"/>
              </w:rPr>
              <w:t xml:space="preserve">Bajo-medio — assets</w:t>
            </w:r>
          </w:p>
        </w:tc>
      </w:tr>
    </w:tbl>
    <w:p>
      <w:pPr>
        <w:spacing w:before="240"/>
      </w:pPr>
    </w:p>
    <w:p>
      <w:pPr>
        <w:pStyle w:val="Heading1"/>
        <w:spacing w:after="160" w:before="320"/>
      </w:pPr>
      <w:r>
        <w:t xml:space="preserve">Conclusión</w:t>
      </w:r>
    </w:p>
    <w:p>
      <w:pPr>
        <w:spacing w:after="180"/>
        <w:jc w:val="both"/>
      </w:pPr>
      <w:r>
        <w:t xml:space="preserve">La aplicación no tiene un problema de arquitectura de fondo: al no depender de un servidor propio, el camino hacia 1000 usuarios simultáneos pasa principalmente por configuración (SMTP propio, plan de Supabase, cabeceras de caché) y por dos correcciones de código de bajo esfuerzo (consultas duplicadas del historial y consolidación de la verificación de dispositivo). De los siete puntos anteriores, los dos primeros —el límite de correos de autenticación y el plan de Supabase— son los únicos que podrían impedir un lanzamiento real a esa escala si no se resuelven antes, y ambos se solucionan sin tocar una línea de código.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7"/>
      <w:sz w:val="30"/>
      <w:szCs w:val="30"/>
    </w:rPr>
  </w:style>
  <w:style w:type="paragraph" w:styleId="Heading2">
    <w:name w:val="Heading 2"/>
    <w:basedOn w:val="Normal"/>
    <w:next w:val="Normal"/>
    <w:qFormat/>
    <w:rPr>
      <w:rFonts w:ascii="Calibri" w:cs="Calibri" w:eastAsia="Calibri" w:hAnsi="Calibri"/>
      <w:b/>
      <w:bCs/>
      <w:color w:val="1F3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2026-08-01T11:02:22.904Z</dcterms:created>
  <dcterms:modified xsi:type="dcterms:W3CDTF">2026-08-01T11:02:22.905Z</dcterms:modified>
</cp:coreProperties>
</file>

<file path=docProps/custom.xml><?xml version="1.0" encoding="utf-8"?>
<Properties xmlns="http://schemas.openxmlformats.org/officeDocument/2006/custom-properties" xmlns:vt="http://schemas.openxmlformats.org/officeDocument/2006/docPropsVTypes"/>
</file>