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B57"/>
          <w:sz w:val="44"/>
          <w:szCs w:val="44"/>
        </w:rPr>
        <w:t xml:space="preserve">Presupuesto de lanzamiento</w:t>
      </w:r>
    </w:p>
    <w:p>
      <w:pPr>
        <w:spacing w:after="40"/>
      </w:pPr>
      <w:r>
        <w:rPr>
          <w:color w:val="555555"/>
          <w:sz w:val="24"/>
          <w:szCs w:val="24"/>
        </w:rPr>
        <w:t xml:space="preserve">ExamPrep / Odonto-Quiz — qué cuesta sacar la app y cuándo sube el gasto por crecimiento</w:t>
      </w:r>
    </w:p>
    <w:p>
      <w:pPr>
        <w:spacing w:after="300"/>
      </w:pPr>
      <w:r>
        <w:rPr>
          <w:i/>
          <w:iCs/>
          <w:color w:val="888888"/>
          <w:sz w:val="20"/>
          <w:szCs w:val="20"/>
        </w:rPr>
        <w:t xml:space="preserve">Alejandro · 1 de agosto de 2026</w:t>
      </w:r>
    </w:p>
    <w:p>
      <w:pPr>
        <w:pStyle w:val="Heading1"/>
        <w:spacing w:after="160" w:before="320"/>
      </w:pPr>
      <w:r>
        <w:t xml:space="preserve">Idea principal</w:t>
      </w:r>
    </w:p>
    <w:p>
      <w:pPr>
        <w:spacing w:after="180"/>
        <w:jc w:val="both"/>
      </w:pPr>
      <w:r>
        <w:t xml:space="preserve">La pregunta natural es "¿a partir de cuántos usuarios empiezo a pagar?", pero en la práctica casi ningún gasto de esta app depende del número de usuarios registrados. La mayoría de las cuotas se activan por una decisión, no por una cifra: el día en que se pasa de pruebas a producción real. Solo dos cosas sí escalan con el crecimiento: cuánta gente usa la app al mismo tiempo (que afecta a la potencia de la base de datos) y cuánto se vende (que afecta a la comisión de la pasarela de pago). Ambas se explican en la segunda tabla.</w:t>
      </w:r>
    </w:p>
    <w:p>
      <w:pPr>
        <w:pStyle w:val="Heading1"/>
        <w:spacing w:after="160" w:before="320"/>
      </w:pPr>
      <w:r>
        <w:t xml:space="preserve">Presupuesto del día del lanzamiento</w:t>
      </w:r>
    </w:p>
    <w:p>
      <w:pPr>
        <w:spacing w:after="180"/>
        <w:jc w:val="both"/>
      </w:pPr>
      <w:r>
        <w:t xml:space="preserve">Esto es lo que hay que tener contratado antes de anunciar la app a usuarios reales, independientemente de si son 10 o 1000: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1F3B57" w:color="auto" w:val="clear"/>
            <w:tcMar>
              <w:top w:type="dxa" w:w="100"/>
              <w:left w:type="dxa" w:w="120"/>
              <w:bottom w:type="dxa" w:w="100"/>
              <w:right w:type="dxa" w:w="120"/>
            </w:tcMar>
          </w:tcPr>
          <w:p>
            <w:r>
              <w:rPr>
                <w:b/>
                <w:bCs/>
                <w:color w:val="FFFFFF"/>
                <w:sz w:val="20"/>
                <w:szCs w:val="20"/>
              </w:rPr>
              <w:t xml:space="preserve">Partida</w:t>
            </w:r>
          </w:p>
        </w:tc>
        <w:tc>
          <w:tcPr>
            <w:tcW w:type="dxa" w:w="2400"/>
            <w:shd w:fill="1F3B57" w:color="auto" w:val="clear"/>
            <w:tcMar>
              <w:top w:type="dxa" w:w="100"/>
              <w:left w:type="dxa" w:w="120"/>
              <w:bottom w:type="dxa" w:w="100"/>
              <w:right w:type="dxa" w:w="120"/>
            </w:tcMar>
          </w:tcPr>
          <w:p>
            <w:r>
              <w:rPr>
                <w:b/>
                <w:bCs/>
                <w:color w:val="FFFFFF"/>
                <w:sz w:val="20"/>
                <w:szCs w:val="20"/>
              </w:rPr>
              <w:t xml:space="preserve">Coste</w:t>
            </w:r>
          </w:p>
        </w:tc>
        <w:tc>
          <w:tcPr>
            <w:tcW w:type="dxa" w:w="3750"/>
            <w:shd w:fill="1F3B57" w:color="auto" w:val="clear"/>
            <w:tcMar>
              <w:top w:type="dxa" w:w="100"/>
              <w:left w:type="dxa" w:w="120"/>
              <w:bottom w:type="dxa" w:w="100"/>
              <w:right w:type="dxa" w:w="120"/>
            </w:tcMar>
          </w:tcPr>
          <w:p>
            <w:r>
              <w:rPr>
                <w:b/>
                <w:bCs/>
                <w:color w:val="FFFFFF"/>
                <w:sz w:val="20"/>
                <w:szCs w:val="20"/>
              </w:rPr>
              <w:t xml:space="preserve">¿Obligatorio desde el lanzamiento?</w:t>
            </w:r>
          </w:p>
        </w:tc>
      </w:tr>
      <w:tr>
        <w:tc>
          <w:tcPr>
            <w:tcW w:type="dxa" w:w="3200"/>
            <w:tcMar>
              <w:top w:type="dxa" w:w="100"/>
              <w:left w:type="dxa" w:w="120"/>
              <w:bottom w:type="dxa" w:w="100"/>
              <w:right w:type="dxa" w:w="120"/>
            </w:tcMar>
          </w:tcPr>
          <w:p>
            <w:r>
              <w:rPr>
                <w:b w:val="false"/>
                <w:bCs w:val="false"/>
                <w:sz w:val="20"/>
                <w:szCs w:val="20"/>
              </w:rPr>
              <w:t xml:space="preserve">Hosting del frontend (Cloudflare Pages)</w:t>
            </w:r>
          </w:p>
        </w:tc>
        <w:tc>
          <w:tcPr>
            <w:tcW w:type="dxa" w:w="2400"/>
            <w:tcMar>
              <w:top w:type="dxa" w:w="100"/>
              <w:left w:type="dxa" w:w="120"/>
              <w:bottom w:type="dxa" w:w="100"/>
              <w:right w:type="dxa" w:w="120"/>
            </w:tcMar>
          </w:tcPr>
          <w:p>
            <w:r>
              <w:rPr>
                <w:b w:val="false"/>
                <w:bCs w:val="false"/>
                <w:sz w:val="20"/>
                <w:szCs w:val="20"/>
              </w:rPr>
              <w:t xml:space="preserve">0 €/mes</w:t>
            </w:r>
          </w:p>
        </w:tc>
        <w:tc>
          <w:tcPr>
            <w:tcW w:type="dxa" w:w="3750"/>
            <w:tcMar>
              <w:top w:type="dxa" w:w="100"/>
              <w:left w:type="dxa" w:w="120"/>
              <w:bottom w:type="dxa" w:w="100"/>
              <w:right w:type="dxa" w:w="120"/>
            </w:tcMar>
          </w:tcPr>
          <w:p>
            <w:r>
              <w:rPr>
                <w:b w:val="false"/>
                <w:bCs w:val="false"/>
                <w:sz w:val="20"/>
                <w:szCs w:val="20"/>
              </w:rPr>
              <w:t xml:space="preserve">Sí, pero gratis — sin límite de banda ancha y permite uso comercial</w:t>
            </w:r>
          </w:p>
        </w:tc>
      </w:tr>
      <w:tr>
        <w:tc>
          <w:tcPr>
            <w:tcW w:type="dxa" w:w="3200"/>
            <w:tcMar>
              <w:top w:type="dxa" w:w="100"/>
              <w:left w:type="dxa" w:w="120"/>
              <w:bottom w:type="dxa" w:w="100"/>
              <w:right w:type="dxa" w:w="120"/>
            </w:tcMar>
          </w:tcPr>
          <w:p>
            <w:r>
              <w:rPr>
                <w:b w:val="false"/>
                <w:bCs w:val="false"/>
                <w:sz w:val="20"/>
                <w:szCs w:val="20"/>
              </w:rPr>
              <w:t xml:space="preserve">Dominio propio (.com / .es)</w:t>
            </w:r>
          </w:p>
        </w:tc>
        <w:tc>
          <w:tcPr>
            <w:tcW w:type="dxa" w:w="2400"/>
            <w:tcMar>
              <w:top w:type="dxa" w:w="100"/>
              <w:left w:type="dxa" w:w="120"/>
              <w:bottom w:type="dxa" w:w="100"/>
              <w:right w:type="dxa" w:w="120"/>
            </w:tcMar>
          </w:tcPr>
          <w:p>
            <w:r>
              <w:rPr>
                <w:b w:val="false"/>
                <w:bCs w:val="false"/>
                <w:sz w:val="20"/>
                <w:szCs w:val="20"/>
              </w:rPr>
              <w:t xml:space="preserve">≈ 12 €/año</w:t>
            </w:r>
          </w:p>
        </w:tc>
        <w:tc>
          <w:tcPr>
            <w:tcW w:type="dxa" w:w="3750"/>
            <w:tcMar>
              <w:top w:type="dxa" w:w="100"/>
              <w:left w:type="dxa" w:w="120"/>
              <w:bottom w:type="dxa" w:w="100"/>
              <w:right w:type="dxa" w:w="120"/>
            </w:tcMar>
          </w:tcPr>
          <w:p>
            <w:r>
              <w:rPr>
                <w:b w:val="false"/>
                <w:bCs w:val="false"/>
                <w:sz w:val="20"/>
                <w:szCs w:val="20"/>
              </w:rPr>
              <w:t xml:space="preserve">Sí — imprescindible para dar imagen seria y para configurar el correo de Auth</w:t>
            </w:r>
          </w:p>
        </w:tc>
      </w:tr>
      <w:tr>
        <w:tc>
          <w:tcPr>
            <w:tcW w:type="dxa" w:w="3200"/>
            <w:tcMar>
              <w:top w:type="dxa" w:w="100"/>
              <w:left w:type="dxa" w:w="120"/>
              <w:bottom w:type="dxa" w:w="100"/>
              <w:right w:type="dxa" w:w="120"/>
            </w:tcMar>
          </w:tcPr>
          <w:p>
            <w:r>
              <w:rPr>
                <w:b w:val="false"/>
                <w:bCs w:val="false"/>
                <w:sz w:val="20"/>
                <w:szCs w:val="20"/>
              </w:rPr>
              <w:t xml:space="preserve">Supabase Pro (base de datos + Auth)</w:t>
            </w:r>
          </w:p>
        </w:tc>
        <w:tc>
          <w:tcPr>
            <w:tcW w:type="dxa" w:w="2400"/>
            <w:tcMar>
              <w:top w:type="dxa" w:w="100"/>
              <w:left w:type="dxa" w:w="120"/>
              <w:bottom w:type="dxa" w:w="100"/>
              <w:right w:type="dxa" w:w="120"/>
            </w:tcMar>
          </w:tcPr>
          <w:p>
            <w:r>
              <w:rPr>
                <w:b w:val="false"/>
                <w:bCs w:val="false"/>
                <w:sz w:val="20"/>
                <w:szCs w:val="20"/>
              </w:rPr>
              <w:t xml:space="preserve">25 $/mes (≈ 23 €)</w:t>
            </w:r>
          </w:p>
        </w:tc>
        <w:tc>
          <w:tcPr>
            <w:tcW w:type="dxa" w:w="3750"/>
            <w:tcMar>
              <w:top w:type="dxa" w:w="100"/>
              <w:left w:type="dxa" w:w="120"/>
              <w:bottom w:type="dxa" w:w="100"/>
              <w:right w:type="dxa" w:w="120"/>
            </w:tcMar>
          </w:tcPr>
          <w:p>
            <w:r>
              <w:rPr>
                <w:b w:val="false"/>
                <w:bCs w:val="false"/>
                <w:sz w:val="20"/>
                <w:szCs w:val="20"/>
              </w:rPr>
              <w:t xml:space="preserve">Sí, desde el día del lanzamiento real, no cuando lleguéis a X usuarios</w:t>
            </w:r>
          </w:p>
        </w:tc>
      </w:tr>
      <w:tr>
        <w:tc>
          <w:tcPr>
            <w:tcW w:type="dxa" w:w="3200"/>
            <w:tcMar>
              <w:top w:type="dxa" w:w="100"/>
              <w:left w:type="dxa" w:w="120"/>
              <w:bottom w:type="dxa" w:w="100"/>
              <w:right w:type="dxa" w:w="120"/>
            </w:tcMar>
          </w:tcPr>
          <w:p>
            <w:r>
              <w:rPr>
                <w:b w:val="false"/>
                <w:bCs w:val="false"/>
                <w:sz w:val="20"/>
                <w:szCs w:val="20"/>
              </w:rPr>
              <w:t xml:space="preserve">SMTP propio para correos de registro (Resend)</w:t>
            </w:r>
          </w:p>
        </w:tc>
        <w:tc>
          <w:tcPr>
            <w:tcW w:type="dxa" w:w="2400"/>
            <w:tcMar>
              <w:top w:type="dxa" w:w="100"/>
              <w:left w:type="dxa" w:w="120"/>
              <w:bottom w:type="dxa" w:w="100"/>
              <w:right w:type="dxa" w:w="120"/>
            </w:tcMar>
          </w:tcPr>
          <w:p>
            <w:r>
              <w:rPr>
                <w:b w:val="false"/>
                <w:bCs w:val="false"/>
                <w:sz w:val="20"/>
                <w:szCs w:val="20"/>
              </w:rPr>
              <w:t xml:space="preserve">0 € al inicio (hasta 100 altas/día); 20 $/mes si se supera</w:t>
            </w:r>
          </w:p>
        </w:tc>
        <w:tc>
          <w:tcPr>
            <w:tcW w:type="dxa" w:w="3750"/>
            <w:tcMar>
              <w:top w:type="dxa" w:w="100"/>
              <w:left w:type="dxa" w:w="120"/>
              <w:bottom w:type="dxa" w:w="100"/>
              <w:right w:type="dxa" w:w="120"/>
            </w:tcMar>
          </w:tcPr>
          <w:p>
            <w:r>
              <w:rPr>
                <w:b w:val="false"/>
                <w:bCs w:val="false"/>
                <w:sz w:val="20"/>
                <w:szCs w:val="20"/>
              </w:rPr>
              <w:t xml:space="preserve">Recomendado — el correo de Supabase por defecto se bloquea a las 2 altas/hora</w:t>
            </w:r>
          </w:p>
        </w:tc>
      </w:tr>
      <w:tr>
        <w:tc>
          <w:tcPr>
            <w:tcW w:type="dxa" w:w="3200"/>
            <w:tcMar>
              <w:top w:type="dxa" w:w="100"/>
              <w:left w:type="dxa" w:w="120"/>
              <w:bottom w:type="dxa" w:w="100"/>
              <w:right w:type="dxa" w:w="120"/>
            </w:tcMar>
          </w:tcPr>
          <w:p>
            <w:r>
              <w:rPr>
                <w:b w:val="false"/>
                <w:bCs w:val="false"/>
                <w:sz w:val="20"/>
                <w:szCs w:val="20"/>
              </w:rPr>
              <w:t xml:space="preserve">Pasarela de pago (Stripe)</w:t>
            </w:r>
          </w:p>
        </w:tc>
        <w:tc>
          <w:tcPr>
            <w:tcW w:type="dxa" w:w="2400"/>
            <w:tcMar>
              <w:top w:type="dxa" w:w="100"/>
              <w:left w:type="dxa" w:w="120"/>
              <w:bottom w:type="dxa" w:w="100"/>
              <w:right w:type="dxa" w:w="120"/>
            </w:tcMar>
          </w:tcPr>
          <w:p>
            <w:r>
              <w:rPr>
                <w:b w:val="false"/>
                <w:bCs w:val="false"/>
                <w:sz w:val="20"/>
                <w:szCs w:val="20"/>
              </w:rPr>
              <w:t xml:space="preserve">Sin cuota fija; 1,5 % + 0,25 € por cobro con tarjeta UE</w:t>
            </w:r>
          </w:p>
        </w:tc>
        <w:tc>
          <w:tcPr>
            <w:tcW w:type="dxa" w:w="3750"/>
            <w:tcMar>
              <w:top w:type="dxa" w:w="100"/>
              <w:left w:type="dxa" w:w="120"/>
              <w:bottom w:type="dxa" w:w="100"/>
              <w:right w:type="dxa" w:w="120"/>
            </w:tcMar>
          </w:tcPr>
          <w:p>
            <w:r>
              <w:rPr>
                <w:b w:val="false"/>
                <w:bCs w:val="false"/>
                <w:sz w:val="20"/>
                <w:szCs w:val="20"/>
              </w:rPr>
              <w:t xml:space="preserve">Solo si ya se cobra; no es un coste mensual fijo</w:t>
            </w:r>
          </w:p>
        </w:tc>
      </w:tr>
    </w:tbl>
    <w:p>
      <w:pPr>
        <w:spacing w:before="200"/>
      </w:pPr>
    </w:p>
    <w:p>
      <w:pPr>
        <w:spacing w:after="180"/>
        <w:jc w:val="both"/>
      </w:pPr>
      <w:r>
        <w:t xml:space="preserve">Sumando lo imprescindible, el presupuesto mensual realista para lanzar en serio ronda los 25-30 € al mes, más unos 12 € al año de dominio. La partida de Supabase Pro no es negociable desde el minuto uno porque el plan gratuito pausa el proyecto tras una semana sin actividad, no hace copias de seguridad automáticas y bloquea el registro a solo 2 correos de confirmación por hora — es decir, sin ese pago la app ni siquiera podría dar de alta a los primeros usuarios de forma fiable.</w:t>
      </w:r>
    </w:p>
    <w:p>
      <w:pPr>
        <w:spacing w:after="180"/>
        <w:jc w:val="both"/>
      </w:pPr>
      <w:r>
        <w:t xml:space="preserve">Sobre el hosting: si en algún momento se prueba con Vercel en vez de Cloudflare Pages, hay que tener en cuenta que el plan gratuito (Hobby) de Vercel prohíbe expresamente el uso comercial — en cuanto la app cobra dinero, exige su plan Pro a 20 $/mes por persona. Cloudflare Pages, en cambio, permite uso comercial en su plan gratuito y no tiene límite de banda ancha, por lo que es la opción recomendada para evitar ese coste.</w:t>
      </w:r>
    </w:p>
    <w:p>
      <w:pPr>
        <w:pStyle w:val="Heading1"/>
        <w:spacing w:after="160" w:before="320"/>
      </w:pPr>
      <w:r>
        <w:t xml:space="preserve">Cuándo sube el gasto con el crecimiento</w:t>
      </w:r>
    </w:p>
    <w:p>
      <w:pPr>
        <w:spacing w:after="180"/>
        <w:jc w:val="both"/>
      </w:pPr>
      <w:r>
        <w:t xml:space="preserve">La siguiente tabla ordena, de menor a mayor escala, qué es lo que realmente obliga a pagar más — y en casi todos los casos no es "llegar a 300 usuarios" sino otra cosa: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50"/>
      </w:tblGrid>
      <w:tr>
        <w:tc>
          <w:tcPr>
            <w:tcW w:type="dxa" w:w="2700"/>
            <w:shd w:fill="1F3B57" w:color="auto" w:val="clear"/>
            <w:tcMar>
              <w:top w:type="dxa" w:w="100"/>
              <w:left w:type="dxa" w:w="120"/>
              <w:bottom w:type="dxa" w:w="100"/>
              <w:right w:type="dxa" w:w="120"/>
            </w:tcMar>
          </w:tcPr>
          <w:p>
            <w:r>
              <w:rPr>
                <w:b/>
                <w:bCs/>
                <w:color w:val="FFFFFF"/>
                <w:sz w:val="20"/>
                <w:szCs w:val="20"/>
              </w:rPr>
              <w:t xml:space="preserve">Etapa</w:t>
            </w:r>
          </w:p>
        </w:tc>
        <w:tc>
          <w:tcPr>
            <w:tcW w:type="dxa" w:w="3700"/>
            <w:shd w:fill="1F3B57" w:color="auto" w:val="clear"/>
            <w:tcMar>
              <w:top w:type="dxa" w:w="100"/>
              <w:left w:type="dxa" w:w="120"/>
              <w:bottom w:type="dxa" w:w="100"/>
              <w:right w:type="dxa" w:w="120"/>
            </w:tcMar>
          </w:tcPr>
          <w:p>
            <w:r>
              <w:rPr>
                <w:b/>
                <w:bCs/>
                <w:color w:val="FFFFFF"/>
                <w:sz w:val="20"/>
                <w:szCs w:val="20"/>
              </w:rPr>
              <w:t xml:space="preserve">Qué dispara el gasto</w:t>
            </w:r>
          </w:p>
        </w:tc>
        <w:tc>
          <w:tcPr>
            <w:tcW w:type="dxa" w:w="2950"/>
            <w:shd w:fill="1F3B57" w:color="auto" w:val="clear"/>
            <w:tcMar>
              <w:top w:type="dxa" w:w="100"/>
              <w:left w:type="dxa" w:w="120"/>
              <w:bottom w:type="dxa" w:w="100"/>
              <w:right w:type="dxa" w:w="120"/>
            </w:tcMar>
          </w:tcPr>
          <w:p>
            <w:r>
              <w:rPr>
                <w:b/>
                <w:bCs/>
                <w:color w:val="FFFFFF"/>
                <w:sz w:val="20"/>
                <w:szCs w:val="20"/>
              </w:rPr>
              <w:t xml:space="preserve">Coste adicional</w:t>
            </w:r>
          </w:p>
        </w:tc>
      </w:tr>
      <w:tr>
        <w:tc>
          <w:tcPr>
            <w:tcW w:type="dxa" w:w="2700"/>
            <w:tcMar>
              <w:top w:type="dxa" w:w="100"/>
              <w:left w:type="dxa" w:w="120"/>
              <w:bottom w:type="dxa" w:w="100"/>
              <w:right w:type="dxa" w:w="120"/>
            </w:tcMar>
          </w:tcPr>
          <w:p>
            <w:r>
              <w:rPr>
                <w:b w:val="false"/>
                <w:bCs w:val="false"/>
                <w:sz w:val="20"/>
                <w:szCs w:val="20"/>
              </w:rPr>
              <w:t xml:space="preserve">0 → cientos de usuarios registrados</w:t>
            </w:r>
          </w:p>
        </w:tc>
        <w:tc>
          <w:tcPr>
            <w:tcW w:type="dxa" w:w="3700"/>
            <w:tcMar>
              <w:top w:type="dxa" w:w="100"/>
              <w:left w:type="dxa" w:w="120"/>
              <w:bottom w:type="dxa" w:w="100"/>
              <w:right w:type="dxa" w:w="120"/>
            </w:tcMar>
          </w:tcPr>
          <w:p>
            <w:r>
              <w:rPr>
                <w:b w:val="false"/>
                <w:bCs w:val="false"/>
                <w:sz w:val="20"/>
                <w:szCs w:val="20"/>
              </w:rPr>
              <w:t xml:space="preserve">Nada nuevo: hosting gratis y Supabase Pro ya cubren este rango sin tocar nada más</w:t>
            </w:r>
          </w:p>
        </w:tc>
        <w:tc>
          <w:tcPr>
            <w:tcW w:type="dxa" w:w="2950"/>
            <w:tcMar>
              <w:top w:type="dxa" w:w="100"/>
              <w:left w:type="dxa" w:w="120"/>
              <w:bottom w:type="dxa" w:w="100"/>
              <w:right w:type="dxa" w:w="120"/>
            </w:tcMar>
          </w:tcPr>
          <w:p>
            <w:r>
              <w:rPr>
                <w:b w:val="false"/>
                <w:bCs w:val="false"/>
                <w:sz w:val="20"/>
                <w:szCs w:val="20"/>
              </w:rPr>
              <w:t xml:space="preserve">0 € extra sobre el presupuesto de lanzamiento</w:t>
            </w:r>
          </w:p>
        </w:tc>
      </w:tr>
      <w:tr>
        <w:tc>
          <w:tcPr>
            <w:tcW w:type="dxa" w:w="2700"/>
            <w:tcMar>
              <w:top w:type="dxa" w:w="100"/>
              <w:left w:type="dxa" w:w="120"/>
              <w:bottom w:type="dxa" w:w="100"/>
              <w:right w:type="dxa" w:w="120"/>
            </w:tcMar>
          </w:tcPr>
          <w:p>
            <w:r>
              <w:rPr>
                <w:b w:val="false"/>
                <w:bCs w:val="false"/>
                <w:sz w:val="20"/>
                <w:szCs w:val="20"/>
              </w:rPr>
              <w:t xml:space="preserve">Picos de gente conectada a la vez (no usuarios totales)</w:t>
            </w:r>
          </w:p>
        </w:tc>
        <w:tc>
          <w:tcPr>
            <w:tcW w:type="dxa" w:w="3700"/>
            <w:tcMar>
              <w:top w:type="dxa" w:w="100"/>
              <w:left w:type="dxa" w:w="120"/>
              <w:bottom w:type="dxa" w:w="100"/>
              <w:right w:type="dxa" w:w="120"/>
            </w:tcMar>
          </w:tcPr>
          <w:p>
            <w:r>
              <w:rPr>
                <w:b w:val="false"/>
                <w:bCs w:val="false"/>
                <w:sz w:val="20"/>
                <w:szCs w:val="20"/>
              </w:rPr>
              <w:t xml:space="preserve">La instancia de cómputo Micro (incluida en el Pro) se queda corta si cientos de personas hacen examen en el mismo momento</w:t>
            </w:r>
          </w:p>
        </w:tc>
        <w:tc>
          <w:tcPr>
            <w:tcW w:type="dxa" w:w="2950"/>
            <w:tcMar>
              <w:top w:type="dxa" w:w="100"/>
              <w:left w:type="dxa" w:w="120"/>
              <w:bottom w:type="dxa" w:w="100"/>
              <w:right w:type="dxa" w:w="120"/>
            </w:tcMar>
          </w:tcPr>
          <w:p>
            <w:r>
              <w:rPr>
                <w:b w:val="false"/>
                <w:bCs w:val="false"/>
                <w:sz w:val="20"/>
                <w:szCs w:val="20"/>
              </w:rPr>
              <w:t xml:space="preserve">+ 5 a 50 $/mes al subir a Small o Medium según el pico real</w:t>
            </w:r>
          </w:p>
        </w:tc>
      </w:tr>
      <w:tr>
        <w:tc>
          <w:tcPr>
            <w:tcW w:type="dxa" w:w="2700"/>
            <w:tcMar>
              <w:top w:type="dxa" w:w="100"/>
              <w:left w:type="dxa" w:w="120"/>
              <w:bottom w:type="dxa" w:w="100"/>
              <w:right w:type="dxa" w:w="120"/>
            </w:tcMar>
          </w:tcPr>
          <w:p>
            <w:r>
              <w:rPr>
                <w:b w:val="false"/>
                <w:bCs w:val="false"/>
                <w:sz w:val="20"/>
                <w:szCs w:val="20"/>
              </w:rPr>
              <w:t xml:space="preserve">Más de 100.000 usuarios activos al mes</w:t>
            </w:r>
          </w:p>
        </w:tc>
        <w:tc>
          <w:tcPr>
            <w:tcW w:type="dxa" w:w="3700"/>
            <w:tcMar>
              <w:top w:type="dxa" w:w="100"/>
              <w:left w:type="dxa" w:w="120"/>
              <w:bottom w:type="dxa" w:w="100"/>
              <w:right w:type="dxa" w:w="120"/>
            </w:tcMar>
          </w:tcPr>
          <w:p>
            <w:r>
              <w:rPr>
                <w:b w:val="false"/>
                <w:bCs w:val="false"/>
                <w:sz w:val="20"/>
                <w:szCs w:val="20"/>
              </w:rPr>
              <w:t xml:space="preserve">Supabase empieza a cobrar por usuario activo por encima de ese umbral</w:t>
            </w:r>
          </w:p>
        </w:tc>
        <w:tc>
          <w:tcPr>
            <w:tcW w:type="dxa" w:w="2950"/>
            <w:tcMar>
              <w:top w:type="dxa" w:w="100"/>
              <w:left w:type="dxa" w:w="120"/>
              <w:bottom w:type="dxa" w:w="100"/>
              <w:right w:type="dxa" w:w="120"/>
            </w:tcMar>
          </w:tcPr>
          <w:p>
            <w:r>
              <w:rPr>
                <w:b w:val="false"/>
                <w:bCs w:val="false"/>
                <w:sz w:val="20"/>
                <w:szCs w:val="20"/>
              </w:rPr>
              <w:t xml:space="preserve">0,00325 $ por usuario de más (muy lejos de 1000 usuarios)</w:t>
            </w:r>
          </w:p>
        </w:tc>
      </w:tr>
      <w:tr>
        <w:tc>
          <w:tcPr>
            <w:tcW w:type="dxa" w:w="2700"/>
            <w:tcMar>
              <w:top w:type="dxa" w:w="100"/>
              <w:left w:type="dxa" w:w="120"/>
              <w:bottom w:type="dxa" w:w="100"/>
              <w:right w:type="dxa" w:w="120"/>
            </w:tcMar>
          </w:tcPr>
          <w:p>
            <w:r>
              <w:rPr>
                <w:b w:val="false"/>
                <w:bCs w:val="false"/>
                <w:sz w:val="20"/>
                <w:szCs w:val="20"/>
              </w:rPr>
              <w:t xml:space="preserve">Lanzamiento de la Academia (vídeos)</w:t>
            </w:r>
          </w:p>
        </w:tc>
        <w:tc>
          <w:tcPr>
            <w:tcW w:type="dxa" w:w="3700"/>
            <w:tcMar>
              <w:top w:type="dxa" w:w="100"/>
              <w:left w:type="dxa" w:w="120"/>
              <w:bottom w:type="dxa" w:w="100"/>
              <w:right w:type="dxa" w:w="120"/>
            </w:tcMar>
          </w:tcPr>
          <w:p>
            <w:r>
              <w:rPr>
                <w:b w:val="false"/>
                <w:bCs w:val="false"/>
                <w:sz w:val="20"/>
                <w:szCs w:val="20"/>
              </w:rPr>
              <w:t xml:space="preserve">Ya no depende de cuántos usuarios haya, sino de cuánto vídeo se sube y se reproduce</w:t>
            </w:r>
          </w:p>
        </w:tc>
        <w:tc>
          <w:tcPr>
            <w:tcW w:type="dxa" w:w="2950"/>
            <w:tcMar>
              <w:top w:type="dxa" w:w="100"/>
              <w:left w:type="dxa" w:w="120"/>
              <w:bottom w:type="dxa" w:w="100"/>
              <w:right w:type="dxa" w:w="120"/>
            </w:tcMar>
          </w:tcPr>
          <w:p>
            <w:r>
              <w:rPr>
                <w:b w:val="false"/>
                <w:bCs w:val="false"/>
                <w:sz w:val="20"/>
                <w:szCs w:val="20"/>
              </w:rPr>
              <w:t xml:space="preserve">Variable: desde unos pocos € al mes con Bunny/Cloudflare Stream, según catálogo</w:t>
            </w:r>
          </w:p>
        </w:tc>
      </w:tr>
      <w:tr>
        <w:tc>
          <w:tcPr>
            <w:tcW w:type="dxa" w:w="2700"/>
            <w:tcMar>
              <w:top w:type="dxa" w:w="100"/>
              <w:left w:type="dxa" w:w="120"/>
              <w:bottom w:type="dxa" w:w="100"/>
              <w:right w:type="dxa" w:w="120"/>
            </w:tcMar>
          </w:tcPr>
          <w:p>
            <w:r>
              <w:rPr>
                <w:b w:val="false"/>
                <w:bCs w:val="false"/>
                <w:sz w:val="20"/>
                <w:szCs w:val="20"/>
              </w:rPr>
              <w:t xml:space="preserve">Volumen de ventas alto</w:t>
            </w:r>
          </w:p>
        </w:tc>
        <w:tc>
          <w:tcPr>
            <w:tcW w:type="dxa" w:w="3700"/>
            <w:tcMar>
              <w:top w:type="dxa" w:w="100"/>
              <w:left w:type="dxa" w:w="120"/>
              <w:bottom w:type="dxa" w:w="100"/>
              <w:right w:type="dxa" w:w="120"/>
            </w:tcMar>
          </w:tcPr>
          <w:p>
            <w:r>
              <w:rPr>
                <w:b w:val="false"/>
                <w:bCs w:val="false"/>
                <w:sz w:val="20"/>
                <w:szCs w:val="20"/>
              </w:rPr>
              <w:t xml:space="preserve">La comisión de Stripe (1,5-1,9 % + 0,25 €) crece con lo que se cobra, no con el número de usuarios</w:t>
            </w:r>
          </w:p>
        </w:tc>
        <w:tc>
          <w:tcPr>
            <w:tcW w:type="dxa" w:w="2950"/>
            <w:tcMar>
              <w:top w:type="dxa" w:w="100"/>
              <w:left w:type="dxa" w:w="120"/>
              <w:bottom w:type="dxa" w:w="100"/>
              <w:right w:type="dxa" w:w="120"/>
            </w:tcMar>
          </w:tcPr>
          <w:p>
            <w:r>
              <w:rPr>
                <w:b w:val="false"/>
                <w:bCs w:val="false"/>
                <w:sz w:val="20"/>
                <w:szCs w:val="20"/>
              </w:rPr>
              <w:t xml:space="preserve">Proporcional a los ingresos, nunca una cuota fija</w:t>
            </w:r>
          </w:p>
        </w:tc>
      </w:tr>
    </w:tbl>
    <w:p>
      <w:pPr>
        <w:spacing w:before="200"/>
      </w:pPr>
    </w:p>
    <w:p>
      <w:pPr>
        <w:spacing w:after="180"/>
        <w:jc w:val="both"/>
      </w:pPr>
      <w:r>
        <w:t xml:space="preserve">En números concretos para vuestro caso: con 1000 usuarios registrados en total, seguís muy lejos del límite de 100.000 usuarios activos al mes de Supabase Pro, así que esa partida no se mueve. Lo único que podría obligar a subir el nivel de cómputo antes de lo esperado es que cientos de personas hagan el examen exactamente al mismo tiempo —por ejemplo, el día de un simulacro coordinado con una clase—, y eso se puede revisar y ajustar sobre la marcha desde el propio panel de Supabase, sin sorpresas si se están vigilando las alertas de uso.</w:t>
      </w:r>
    </w:p>
    <w:p>
      <w:pPr>
        <w:pStyle w:val="Heading1"/>
        <w:spacing w:after="160" w:before="320"/>
      </w:pPr>
      <w:r>
        <w:t xml:space="preserve">Conclusión</w:t>
      </w:r>
    </w:p>
    <w:p>
      <w:pPr>
        <w:spacing w:after="180"/>
        <w:jc w:val="both"/>
      </w:pPr>
      <w:r>
        <w:t xml:space="preserve">El presupuesto inicial serio para lanzar de forma fiable es de unos 25-30 € al mes más el dominio, y ese número se mantiene prácticamente igual desde el usuario número 1 hasta bien pasados los 1000, salvo que haya picos de uso simultáneo muy grandes o que se lance la Academia con vídeo, que es un gasto aparte y proporcional al contenido subido, no al número de usuarios.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2026-08-01T12:11:30.290Z</dcterms:created>
  <dcterms:modified xsi:type="dcterms:W3CDTF">2026-08-01T12:11:30.291Z</dcterms:modified>
</cp:coreProperties>
</file>

<file path=docProps/custom.xml><?xml version="1.0" encoding="utf-8"?>
<Properties xmlns="http://schemas.openxmlformats.org/officeDocument/2006/custom-properties" xmlns:vt="http://schemas.openxmlformats.org/officeDocument/2006/docPropsVTypes"/>
</file>