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DE2F" w14:textId="77777777" w:rsidR="006B7657" w:rsidRPr="000F53CB" w:rsidRDefault="00000000" w:rsidP="000F53CB">
      <w:pPr>
        <w:pStyle w:val="p1"/>
        <w:spacing w:line="360" w:lineRule="auto"/>
        <w:jc w:val="center"/>
        <w:rPr>
          <w:rFonts w:asciiTheme="minorHAnsi" w:hAnsiTheme="minorHAnsi" w:cstheme="minorHAnsi"/>
          <w:sz w:val="28"/>
          <w:szCs w:val="28"/>
        </w:rPr>
      </w:pPr>
      <w:r w:rsidRPr="000F53CB">
        <w:rPr>
          <w:rFonts w:asciiTheme="minorHAnsi" w:hAnsiTheme="minorHAnsi" w:cstheme="minorHAnsi"/>
          <w:b/>
          <w:sz w:val="28"/>
          <w:szCs w:val="28"/>
        </w:rPr>
        <w:t>SUPREMA CORTE DI CASSAZIONE</w:t>
      </w:r>
    </w:p>
    <w:p w14:paraId="336FA18B" w14:textId="77777777" w:rsidR="006B7657" w:rsidRPr="000F53CB" w:rsidRDefault="006B7657" w:rsidP="000F53CB">
      <w:pPr>
        <w:pStyle w:val="p2"/>
        <w:spacing w:line="360" w:lineRule="auto"/>
        <w:rPr>
          <w:rFonts w:asciiTheme="minorHAnsi" w:hAnsiTheme="minorHAnsi" w:cstheme="minorHAnsi"/>
          <w:sz w:val="28"/>
          <w:szCs w:val="28"/>
        </w:rPr>
      </w:pPr>
    </w:p>
    <w:p w14:paraId="48010DDE" w14:textId="77777777" w:rsidR="000F53CB" w:rsidRDefault="00000000" w:rsidP="000F53CB">
      <w:pPr>
        <w:pStyle w:val="p1"/>
        <w:spacing w:before="0" w:beforeAutospacing="0" w:after="0" w:afterAutospacing="0" w:line="360" w:lineRule="auto"/>
        <w:jc w:val="center"/>
        <w:rPr>
          <w:rFonts w:asciiTheme="minorHAnsi" w:hAnsiTheme="minorHAnsi" w:cstheme="minorHAnsi"/>
          <w:b/>
          <w:sz w:val="28"/>
          <w:szCs w:val="28"/>
        </w:rPr>
      </w:pPr>
      <w:r w:rsidRPr="000F53CB">
        <w:rPr>
          <w:rFonts w:asciiTheme="minorHAnsi" w:hAnsiTheme="minorHAnsi" w:cstheme="minorHAnsi"/>
          <w:b/>
          <w:sz w:val="28"/>
          <w:szCs w:val="28"/>
        </w:rPr>
        <w:t>RICORSO</w:t>
      </w:r>
    </w:p>
    <w:p w14:paraId="5F9E4B94" w14:textId="7045BE65" w:rsidR="006B7657" w:rsidRPr="000F53CB" w:rsidRDefault="000F53CB" w:rsidP="000F53CB">
      <w:pPr>
        <w:pStyle w:val="p1"/>
        <w:spacing w:before="0" w:beforeAutospacing="0" w:after="0" w:afterAutospacing="0" w:line="360" w:lineRule="auto"/>
        <w:jc w:val="center"/>
        <w:rPr>
          <w:rFonts w:asciiTheme="minorHAnsi" w:hAnsiTheme="minorHAnsi" w:cstheme="minorHAnsi"/>
          <w:sz w:val="28"/>
          <w:szCs w:val="28"/>
        </w:rPr>
      </w:pPr>
      <w:r w:rsidRPr="000F53CB">
        <w:rPr>
          <w:rFonts w:asciiTheme="minorHAnsi" w:hAnsiTheme="minorHAnsi" w:cstheme="minorHAnsi"/>
          <w:b/>
          <w:i/>
          <w:iCs/>
          <w:sz w:val="28"/>
          <w:szCs w:val="28"/>
        </w:rPr>
        <w:t>ex</w:t>
      </w:r>
      <w:r w:rsidRPr="000F53CB">
        <w:rPr>
          <w:rFonts w:asciiTheme="minorHAnsi" w:hAnsiTheme="minorHAnsi" w:cstheme="minorHAnsi"/>
          <w:b/>
          <w:sz w:val="28"/>
          <w:szCs w:val="28"/>
        </w:rPr>
        <w:t xml:space="preserve"> art. </w:t>
      </w:r>
      <w:r w:rsidR="00000000" w:rsidRPr="000F53CB">
        <w:rPr>
          <w:rFonts w:asciiTheme="minorHAnsi" w:hAnsiTheme="minorHAnsi" w:cstheme="minorHAnsi"/>
          <w:b/>
          <w:sz w:val="28"/>
          <w:szCs w:val="28"/>
        </w:rPr>
        <w:t xml:space="preserve">360 </w:t>
      </w:r>
      <w:r w:rsidRPr="000F53CB">
        <w:rPr>
          <w:rFonts w:asciiTheme="minorHAnsi" w:hAnsiTheme="minorHAnsi" w:cstheme="minorHAnsi"/>
          <w:b/>
          <w:sz w:val="28"/>
          <w:szCs w:val="28"/>
        </w:rPr>
        <w:t>Cod. proc. civ</w:t>
      </w:r>
      <w:r w:rsidR="00000000" w:rsidRPr="000F53CB">
        <w:rPr>
          <w:rFonts w:asciiTheme="minorHAnsi" w:hAnsiTheme="minorHAnsi" w:cstheme="minorHAnsi"/>
          <w:b/>
          <w:sz w:val="28"/>
          <w:szCs w:val="28"/>
        </w:rPr>
        <w:t>.</w:t>
      </w:r>
    </w:p>
    <w:p w14:paraId="56C65F68" w14:textId="77777777" w:rsidR="006B7657" w:rsidRPr="000F53CB" w:rsidRDefault="00000000" w:rsidP="000F53CB">
      <w:pPr>
        <w:pStyle w:val="p1"/>
        <w:spacing w:after="0" w:afterAutospacing="0" w:line="360" w:lineRule="auto"/>
        <w:rPr>
          <w:rFonts w:asciiTheme="minorHAnsi" w:hAnsiTheme="minorHAnsi" w:cstheme="minorHAnsi"/>
        </w:rPr>
      </w:pPr>
      <w:r w:rsidRPr="000F53CB">
        <w:rPr>
          <w:rFonts w:asciiTheme="minorHAnsi" w:hAnsiTheme="minorHAnsi" w:cstheme="minorHAnsi"/>
        </w:rPr>
        <w:t xml:space="preserve">Nell’interesse di </w:t>
      </w:r>
    </w:p>
    <w:p w14:paraId="1346EF2D" w14:textId="079C6AD1" w:rsidR="006B7657" w:rsidRPr="000F53CB" w:rsidRDefault="00000000" w:rsidP="000F53CB">
      <w:pPr>
        <w:pStyle w:val="p1"/>
        <w:spacing w:before="0" w:beforeAutospacing="0" w:line="360" w:lineRule="auto"/>
        <w:ind w:right="-2"/>
        <w:jc w:val="both"/>
        <w:rPr>
          <w:rFonts w:asciiTheme="minorHAnsi" w:hAnsiTheme="minorHAnsi" w:cstheme="minorHAnsi"/>
        </w:rPr>
      </w:pPr>
      <w:r w:rsidRPr="000F53CB">
        <w:rPr>
          <w:rFonts w:asciiTheme="minorHAnsi" w:hAnsiTheme="minorHAnsi" w:cstheme="minorHAnsi"/>
          <w:b/>
        </w:rPr>
        <w:t>MANCINI Marco</w:t>
      </w:r>
      <w:r w:rsidRPr="000F53CB">
        <w:rPr>
          <w:rFonts w:asciiTheme="minorHAnsi" w:hAnsiTheme="minorHAnsi" w:cstheme="minorHAnsi"/>
        </w:rPr>
        <w:t xml:space="preserve">, nato il 03 ottobre 1960 a Castel San Pietro Terme (BO), cod. fisc. MNCMRC60R03C265K, rappresentato e difeso, anche disgiuntamente, giusta procura speciale in calce al presente atto, dall’Avv. Paolo de Miranda del Foro di Ravenna, con studio in Ravenna, via Guaccimanni n. 25, pec paolo.demiranda@ordineavvocatiravenna.eu, telefax 0544 1951514, e dall’Avv. Luigi Antonio Paolo Panella del Foro di Roma, pec luigiantoniopaolopanella@ordineavvocatiroma.org, telefax 06 97659027, elettivamente domiciliato, anche ai fini delle comunicazioni di cancelleria, presso il domicilio digitale dei difensori indicati;                                                                         </w:t>
      </w:r>
      <w:r w:rsidR="000F53CB">
        <w:rPr>
          <w:rFonts w:asciiTheme="minorHAnsi" w:hAnsiTheme="minorHAnsi" w:cstheme="minorHAnsi"/>
        </w:rPr>
        <w:t xml:space="preserve">              </w:t>
      </w:r>
      <w:r w:rsidRPr="000F53CB">
        <w:rPr>
          <w:rFonts w:asciiTheme="minorHAnsi" w:hAnsiTheme="minorHAnsi" w:cstheme="minorHAnsi"/>
        </w:rPr>
        <w:t xml:space="preserve">                           - </w:t>
      </w:r>
      <w:r w:rsidRPr="000F53CB">
        <w:rPr>
          <w:rFonts w:asciiTheme="minorHAnsi" w:hAnsiTheme="minorHAnsi" w:cstheme="minorHAnsi"/>
          <w:b/>
          <w:bCs/>
        </w:rPr>
        <w:t>ricorrente</w:t>
      </w:r>
      <w:r w:rsidRPr="000F53CB">
        <w:rPr>
          <w:rFonts w:asciiTheme="minorHAnsi" w:hAnsiTheme="minorHAnsi" w:cstheme="minorHAnsi"/>
        </w:rPr>
        <w:t xml:space="preserve"> -</w:t>
      </w:r>
    </w:p>
    <w:p w14:paraId="23525562" w14:textId="77777777" w:rsidR="006B7657" w:rsidRPr="000F53CB" w:rsidRDefault="00000000" w:rsidP="000F53CB">
      <w:pPr>
        <w:pStyle w:val="p1"/>
        <w:spacing w:line="360" w:lineRule="auto"/>
        <w:jc w:val="center"/>
        <w:rPr>
          <w:rFonts w:asciiTheme="minorHAnsi" w:hAnsiTheme="minorHAnsi" w:cstheme="minorHAnsi"/>
        </w:rPr>
      </w:pPr>
      <w:r w:rsidRPr="000F53CB">
        <w:rPr>
          <w:rFonts w:asciiTheme="minorHAnsi" w:hAnsiTheme="minorHAnsi" w:cstheme="minorHAnsi"/>
          <w:b/>
        </w:rPr>
        <w:t>CONTRO</w:t>
      </w:r>
    </w:p>
    <w:p w14:paraId="2EB312CF" w14:textId="77777777" w:rsidR="000F53CB" w:rsidRPr="00746498" w:rsidRDefault="000F53CB" w:rsidP="000F53CB">
      <w:pPr>
        <w:spacing w:line="360" w:lineRule="auto"/>
        <w:jc w:val="both"/>
        <w:rPr>
          <w:rFonts w:ascii="Calibri" w:hAnsi="Calibri"/>
          <w:b/>
        </w:rPr>
      </w:pPr>
      <w:r w:rsidRPr="00746498">
        <w:rPr>
          <w:rFonts w:ascii="Calibri" w:hAnsi="Calibri"/>
          <w:b/>
        </w:rPr>
        <w:t>BARBACETTO Gian Battista</w:t>
      </w:r>
    </w:p>
    <w:p w14:paraId="26E55E1A" w14:textId="77777777" w:rsidR="000F53CB" w:rsidRPr="00746498" w:rsidRDefault="000F53CB" w:rsidP="000F53CB">
      <w:pPr>
        <w:spacing w:line="360" w:lineRule="auto"/>
        <w:jc w:val="both"/>
        <w:rPr>
          <w:rFonts w:ascii="Calibri" w:hAnsi="Calibri"/>
          <w:b/>
          <w:bCs/>
        </w:rPr>
      </w:pPr>
      <w:r w:rsidRPr="00746498">
        <w:rPr>
          <w:rFonts w:ascii="Calibri" w:hAnsi="Calibri"/>
          <w:b/>
          <w:bCs/>
        </w:rPr>
        <w:t>TRAVAGLIO Marco</w:t>
      </w:r>
    </w:p>
    <w:p w14:paraId="4857C930" w14:textId="77777777" w:rsidR="000F53CB" w:rsidRPr="00746498" w:rsidRDefault="000F53CB" w:rsidP="000F53CB">
      <w:pPr>
        <w:spacing w:line="360" w:lineRule="auto"/>
        <w:jc w:val="both"/>
        <w:rPr>
          <w:rFonts w:ascii="Calibri" w:hAnsi="Calibri" w:cs="Calibri"/>
          <w:b/>
          <w:bCs/>
          <w:color w:val="000000"/>
        </w:rPr>
      </w:pPr>
      <w:r w:rsidRPr="00746498">
        <w:rPr>
          <w:rFonts w:ascii="Calibri" w:hAnsi="Calibri"/>
          <w:b/>
        </w:rPr>
        <w:t>SOCIETÀ EDITORIALE IL FATTO S.p.A.</w:t>
      </w:r>
    </w:p>
    <w:p w14:paraId="28A267BF" w14:textId="36AD5E76" w:rsidR="006B7657" w:rsidRPr="000F53CB" w:rsidRDefault="000F53CB" w:rsidP="000F53CB">
      <w:pPr>
        <w:spacing w:line="360" w:lineRule="auto"/>
        <w:jc w:val="both"/>
        <w:rPr>
          <w:rFonts w:ascii="Calibri" w:hAnsi="Calibri" w:cs="Calibri"/>
          <w:b/>
          <w:bCs/>
          <w:color w:val="000000"/>
        </w:rPr>
      </w:pPr>
      <w:r w:rsidRPr="00746498">
        <w:rPr>
          <w:rFonts w:ascii="Calibri" w:hAnsi="Calibri" w:cs="Calibri"/>
          <w:color w:val="000000"/>
        </w:rPr>
        <w:t xml:space="preserve">con gli Avv.ti Caterina Malavenda e Mariachiara Giampaolo               </w:t>
      </w:r>
      <w:r>
        <w:rPr>
          <w:rFonts w:ascii="Calibri" w:hAnsi="Calibri" w:cs="Calibri"/>
          <w:color w:val="000000"/>
        </w:rPr>
        <w:t xml:space="preserve">     </w:t>
      </w:r>
      <w:r w:rsidRPr="00746498">
        <w:rPr>
          <w:rFonts w:ascii="Calibri" w:hAnsi="Calibri" w:cs="Calibri"/>
          <w:color w:val="000000"/>
        </w:rPr>
        <w:t xml:space="preserve">                      </w:t>
      </w:r>
      <w:r w:rsidR="00000000" w:rsidRPr="000F53CB">
        <w:rPr>
          <w:rFonts w:asciiTheme="minorHAnsi" w:hAnsiTheme="minorHAnsi" w:cstheme="minorHAnsi"/>
        </w:rPr>
        <w:t xml:space="preserve">- </w:t>
      </w:r>
      <w:r w:rsidR="00000000" w:rsidRPr="000F53CB">
        <w:rPr>
          <w:rFonts w:asciiTheme="minorHAnsi" w:hAnsiTheme="minorHAnsi" w:cstheme="minorHAnsi"/>
          <w:b/>
          <w:bCs/>
        </w:rPr>
        <w:t xml:space="preserve">intimati </w:t>
      </w:r>
      <w:r w:rsidR="00000000" w:rsidRPr="000F53CB">
        <w:rPr>
          <w:rFonts w:asciiTheme="minorHAnsi" w:hAnsiTheme="minorHAnsi" w:cstheme="minorHAnsi"/>
        </w:rPr>
        <w:t>-</w:t>
      </w:r>
    </w:p>
    <w:p w14:paraId="7972C760" w14:textId="77777777" w:rsidR="006B7657" w:rsidRPr="000F53CB" w:rsidRDefault="00000000" w:rsidP="000F53CB">
      <w:pPr>
        <w:pStyle w:val="p1"/>
        <w:spacing w:after="0" w:afterAutospacing="0" w:line="360" w:lineRule="auto"/>
        <w:jc w:val="center"/>
        <w:rPr>
          <w:rFonts w:asciiTheme="minorHAnsi" w:hAnsiTheme="minorHAnsi" w:cstheme="minorHAnsi"/>
        </w:rPr>
      </w:pPr>
      <w:r w:rsidRPr="000F53CB">
        <w:rPr>
          <w:rFonts w:asciiTheme="minorHAnsi" w:hAnsiTheme="minorHAnsi" w:cstheme="minorHAnsi"/>
          <w:b/>
        </w:rPr>
        <w:t>ATTO IMPUGNATO</w:t>
      </w:r>
    </w:p>
    <w:p w14:paraId="4357A888"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highlight w:val="yellow"/>
        </w:rPr>
        <w:t>Con il presente ricorso viene impugnata la sentenza della Corte di Appello di Bologna, Seconda Sezione Civile, pronunciata nella causa n. R.G. 864/2025, decisa nella camera di consiglio del 14.04.2026, n. [</w:t>
      </w:r>
      <w:proofErr w:type="gramStart"/>
      <w:r w:rsidRPr="000F53CB">
        <w:rPr>
          <w:rFonts w:asciiTheme="minorHAnsi" w:hAnsiTheme="minorHAnsi" w:cstheme="minorHAnsi"/>
          <w:highlight w:val="yellow"/>
        </w:rPr>
        <w:t>●]/</w:t>
      </w:r>
      <w:proofErr w:type="gramEnd"/>
      <w:r w:rsidRPr="000F53CB">
        <w:rPr>
          <w:rFonts w:asciiTheme="minorHAnsi" w:hAnsiTheme="minorHAnsi" w:cstheme="minorHAnsi"/>
          <w:highlight w:val="yellow"/>
        </w:rPr>
        <w:t>2026, depositata in data [●] e notificata in data [●] [dati da verificare sul provvedimento notificato].</w:t>
      </w:r>
    </w:p>
    <w:p w14:paraId="14E95096" w14:textId="77777777" w:rsidR="006B7657" w:rsidRPr="000F53CB" w:rsidRDefault="00000000" w:rsidP="000F53CB">
      <w:pPr>
        <w:pStyle w:val="p1"/>
        <w:spacing w:before="0" w:beforeAutospacing="0" w:line="360" w:lineRule="auto"/>
        <w:jc w:val="both"/>
        <w:rPr>
          <w:rFonts w:asciiTheme="minorHAnsi" w:hAnsiTheme="minorHAnsi" w:cstheme="minorHAnsi"/>
        </w:rPr>
      </w:pPr>
      <w:r w:rsidRPr="000F53CB">
        <w:rPr>
          <w:rFonts w:asciiTheme="minorHAnsi" w:hAnsiTheme="minorHAnsi" w:cstheme="minorHAnsi"/>
        </w:rPr>
        <w:t xml:space="preserve">La sentenza ha accolto l’appello proposto da Gian Battista Barbacetto, Marco Travaglio e Società Editoriale Il Fatto S.p.A. avverso la sentenza n. 226/2025 del Tribunale Civile di </w:t>
      </w:r>
      <w:r w:rsidRPr="000F53CB">
        <w:rPr>
          <w:rFonts w:asciiTheme="minorHAnsi" w:hAnsiTheme="minorHAnsi" w:cstheme="minorHAnsi"/>
        </w:rPr>
        <w:lastRenderedPageBreak/>
        <w:t>Ravenna, pubblicata il 05.04.2025, e, per l’effetto, ha rigettato ogni domanda proposta dal Dott. Marco Mancini, disponendo altresì la restituzione delle somme corrisposte in esecuzione della sentenza di primo grado e la condanna alle spese di entrambi i gradi.</w:t>
      </w:r>
    </w:p>
    <w:p w14:paraId="55C5428A"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highlight w:val="yellow"/>
        </w:rPr>
        <w:t>Cod. materia [●] – Responsabilità civile da diffamazione a mezzo stampa, diritto di critica, tutela della reputazione.</w:t>
      </w:r>
    </w:p>
    <w:p w14:paraId="0B967CE1" w14:textId="77777777" w:rsidR="006B7657" w:rsidRPr="000F53CB" w:rsidRDefault="00000000" w:rsidP="000F53CB">
      <w:pPr>
        <w:pStyle w:val="p1"/>
        <w:spacing w:after="0" w:afterAutospacing="0" w:line="360" w:lineRule="auto"/>
        <w:jc w:val="center"/>
        <w:rPr>
          <w:rFonts w:asciiTheme="minorHAnsi" w:hAnsiTheme="minorHAnsi" w:cstheme="minorHAnsi"/>
        </w:rPr>
      </w:pPr>
      <w:r w:rsidRPr="000F53CB">
        <w:rPr>
          <w:rFonts w:asciiTheme="minorHAnsi" w:hAnsiTheme="minorHAnsi" w:cstheme="minorHAnsi"/>
          <w:b/>
        </w:rPr>
        <w:t>VALORE DELLA CONTROVERSIA</w:t>
      </w:r>
    </w:p>
    <w:p w14:paraId="274187ED" w14:textId="77777777" w:rsidR="006B7657" w:rsidRPr="000F53CB" w:rsidRDefault="00000000" w:rsidP="000F53CB">
      <w:pPr>
        <w:pStyle w:val="p1"/>
        <w:spacing w:before="0" w:beforeAutospacing="0" w:line="360" w:lineRule="auto"/>
        <w:jc w:val="both"/>
        <w:rPr>
          <w:rFonts w:asciiTheme="minorHAnsi" w:hAnsiTheme="minorHAnsi" w:cstheme="minorHAnsi"/>
        </w:rPr>
      </w:pPr>
      <w:r w:rsidRPr="000F53CB">
        <w:rPr>
          <w:rFonts w:asciiTheme="minorHAnsi" w:hAnsiTheme="minorHAnsi" w:cstheme="minorHAnsi"/>
        </w:rPr>
        <w:t>Il valore del giudizio di appello è stato indicato dagli appellanti in euro 14.400,00, avuto riguardo alla condanna risarcitoria di euro 12.000,00 e alla riparazione pecuniaria ex art. 12 L. n. 47/1948 liquidata in euro 2.400,00, oltre al capo relativo alla pubblicazione della sentenza. Il presente ricorso, nei limiti del giudicato interno formatosi sull’entità della pretesa riconosciuta in primo grado e sull’assenza di appello incidentale del Mancini, non modifica il valore della controversia, salva diversa valutazione da parte della Cancelleria.</w:t>
      </w:r>
    </w:p>
    <w:p w14:paraId="18084DD1"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highlight w:val="yellow"/>
        </w:rPr>
        <w:t>Contributo unificato: [●].</w:t>
      </w:r>
    </w:p>
    <w:p w14:paraId="119DFFAE" w14:textId="77777777" w:rsidR="006B7657" w:rsidRPr="000F53CB" w:rsidRDefault="00000000" w:rsidP="000F53CB">
      <w:pPr>
        <w:pStyle w:val="p1"/>
        <w:spacing w:after="0" w:afterAutospacing="0" w:line="360" w:lineRule="auto"/>
        <w:jc w:val="center"/>
        <w:rPr>
          <w:rFonts w:asciiTheme="minorHAnsi" w:hAnsiTheme="minorHAnsi" w:cstheme="minorHAnsi"/>
        </w:rPr>
      </w:pPr>
      <w:r w:rsidRPr="000F53CB">
        <w:rPr>
          <w:rFonts w:asciiTheme="minorHAnsi" w:hAnsiTheme="minorHAnsi" w:cstheme="minorHAnsi"/>
          <w:b/>
        </w:rPr>
        <w:t>PAROLE CHIAVE OGGETTO DEL GIUDIZIO</w:t>
      </w:r>
    </w:p>
    <w:p w14:paraId="756664E3" w14:textId="77777777" w:rsidR="006B7657" w:rsidRPr="000F53CB" w:rsidRDefault="00000000" w:rsidP="000F53CB">
      <w:pPr>
        <w:pStyle w:val="p1"/>
        <w:spacing w:before="0" w:beforeAutospacing="0" w:line="360" w:lineRule="auto"/>
        <w:jc w:val="both"/>
        <w:rPr>
          <w:rFonts w:asciiTheme="minorHAnsi" w:hAnsiTheme="minorHAnsi" w:cstheme="minorHAnsi"/>
        </w:rPr>
      </w:pPr>
      <w:r w:rsidRPr="000F53CB">
        <w:rPr>
          <w:rFonts w:asciiTheme="minorHAnsi" w:hAnsiTheme="minorHAnsi" w:cstheme="minorHAnsi"/>
        </w:rPr>
        <w:t>Diffamazione a mezzo stampa – diritto di critica – verità del fatto presupposto – verità putativa – lettore medio – significato complessivo dell’articolo – motivazione apparente – omesso esame di fatto decisivo – liquidazione spese di lite.</w:t>
      </w:r>
    </w:p>
    <w:p w14:paraId="74395EE2" w14:textId="77777777" w:rsidR="006B7657" w:rsidRPr="000F53CB" w:rsidRDefault="00000000" w:rsidP="000F53CB">
      <w:pPr>
        <w:pStyle w:val="p1"/>
        <w:spacing w:after="0" w:afterAutospacing="0" w:line="360" w:lineRule="auto"/>
        <w:jc w:val="center"/>
        <w:rPr>
          <w:rFonts w:asciiTheme="minorHAnsi" w:hAnsiTheme="minorHAnsi" w:cstheme="minorHAnsi"/>
        </w:rPr>
      </w:pPr>
      <w:r w:rsidRPr="000F53CB">
        <w:rPr>
          <w:rFonts w:asciiTheme="minorHAnsi" w:hAnsiTheme="minorHAnsi" w:cstheme="minorHAnsi"/>
          <w:b/>
        </w:rPr>
        <w:t>SINTESI DEI MOTIVI</w:t>
      </w:r>
    </w:p>
    <w:p w14:paraId="57F9FF0F" w14:textId="77777777" w:rsidR="006B7657" w:rsidRPr="000F53CB" w:rsidRDefault="00000000" w:rsidP="000F53CB">
      <w:pPr>
        <w:pStyle w:val="p1"/>
        <w:numPr>
          <w:ilvl w:val="0"/>
          <w:numId w:val="18"/>
        </w:numPr>
        <w:spacing w:before="0" w:beforeAutospacing="0" w:after="0" w:afterAutospacing="0" w:line="360" w:lineRule="auto"/>
        <w:ind w:left="284" w:hanging="284"/>
        <w:jc w:val="both"/>
        <w:rPr>
          <w:rFonts w:asciiTheme="minorHAnsi" w:hAnsiTheme="minorHAnsi" w:cstheme="minorHAnsi"/>
        </w:rPr>
      </w:pPr>
      <w:r w:rsidRPr="000F53CB">
        <w:rPr>
          <w:rFonts w:asciiTheme="minorHAnsi" w:hAnsiTheme="minorHAnsi" w:cstheme="minorHAnsi"/>
        </w:rPr>
        <w:t>Il presente ricorso viene proposto in relazione ai seguenti motivi:</w:t>
      </w:r>
    </w:p>
    <w:p w14:paraId="2CBABF23" w14:textId="13066A5B" w:rsidR="006B7657" w:rsidRPr="000F53CB" w:rsidRDefault="00000000" w:rsidP="000F53CB">
      <w:pPr>
        <w:pStyle w:val="p1"/>
        <w:numPr>
          <w:ilvl w:val="0"/>
          <w:numId w:val="18"/>
        </w:numPr>
        <w:spacing w:line="360" w:lineRule="auto"/>
        <w:ind w:left="284" w:hanging="284"/>
        <w:jc w:val="both"/>
        <w:rPr>
          <w:rFonts w:asciiTheme="minorHAnsi" w:hAnsiTheme="minorHAnsi" w:cstheme="minorHAnsi"/>
        </w:rPr>
      </w:pPr>
      <w:r w:rsidRPr="000F53CB">
        <w:rPr>
          <w:rFonts w:asciiTheme="minorHAnsi" w:hAnsiTheme="minorHAnsi" w:cstheme="minorHAnsi"/>
        </w:rPr>
        <w:t>Art. 360, co. 1 n. 3, Cod. proc. civ. – violazione e falsa applicazione degli artt. 2043 e 2059 Cod. civ., 595 Cod. pen., 51 Cod. pen., 2 e 21 Cost., nonché dei principi in materia di diritto di critica e verità del fatto presupposto, per avere la Corte territoriale ritenuto scriminata la condotta giornalistica attribuendo all’espressione “salvato dal segreto di Stato” un significato neutro e diverso da quello concretamente veicolato al lettore medio.</w:t>
      </w:r>
    </w:p>
    <w:p w14:paraId="13436FA5" w14:textId="604EABF1" w:rsidR="006B7657" w:rsidRPr="000F53CB" w:rsidRDefault="00000000" w:rsidP="000F53CB">
      <w:pPr>
        <w:pStyle w:val="p1"/>
        <w:numPr>
          <w:ilvl w:val="0"/>
          <w:numId w:val="18"/>
        </w:numPr>
        <w:spacing w:before="0" w:beforeAutospacing="0" w:after="0" w:afterAutospacing="0" w:line="360" w:lineRule="auto"/>
        <w:ind w:left="284" w:hanging="284"/>
        <w:jc w:val="both"/>
        <w:rPr>
          <w:rFonts w:asciiTheme="minorHAnsi" w:hAnsiTheme="minorHAnsi" w:cstheme="minorHAnsi"/>
        </w:rPr>
      </w:pPr>
      <w:r w:rsidRPr="000F53CB">
        <w:rPr>
          <w:rFonts w:asciiTheme="minorHAnsi" w:hAnsiTheme="minorHAnsi" w:cstheme="minorHAnsi"/>
        </w:rPr>
        <w:t xml:space="preserve">Art. 360, co. 1 n. 4, Cod. proc. civ. – nullità della sentenza per motivazione apparente, perplessa e intrinsecamente contraddittoria, in relazione agli artt. 132, co. 2 n. 4, Cod. proc. civ., 118 disp. att. Cod. proc. civ. e 111 Cost., poiché la Corte ha fondato la decisione su una parafrasi neutralizzante dell’articolo, senza spiegare perché il lettore medio avrebbe </w:t>
      </w:r>
      <w:r w:rsidRPr="000F53CB">
        <w:rPr>
          <w:rFonts w:asciiTheme="minorHAnsi" w:hAnsiTheme="minorHAnsi" w:cstheme="minorHAnsi"/>
        </w:rPr>
        <w:lastRenderedPageBreak/>
        <w:t>dovuto intendere il “salvataggio” come salvezza dal processo, e non dalla responsabilità penale o dalla condanna.</w:t>
      </w:r>
    </w:p>
    <w:p w14:paraId="1D1EBCD3" w14:textId="77777777" w:rsidR="006B7657" w:rsidRPr="000F53CB" w:rsidRDefault="00000000" w:rsidP="000F53CB">
      <w:pPr>
        <w:pStyle w:val="p1"/>
        <w:spacing w:before="0" w:beforeAutospacing="0" w:after="0" w:afterAutospacing="0" w:line="360" w:lineRule="auto"/>
        <w:ind w:left="360" w:hanging="360"/>
        <w:jc w:val="both"/>
        <w:rPr>
          <w:rFonts w:asciiTheme="minorHAnsi" w:hAnsiTheme="minorHAnsi" w:cstheme="minorHAnsi"/>
        </w:rPr>
      </w:pPr>
      <w:r w:rsidRPr="000F53CB">
        <w:rPr>
          <w:rFonts w:asciiTheme="minorHAnsi" w:hAnsiTheme="minorHAnsi" w:cstheme="minorHAnsi"/>
        </w:rPr>
        <w:t>· Art. 360, co. 1 n. 5, Cod. proc. civ. – omesso esame di un fatto storico decisivo, oggetto di discussione tra le parti, costituito dall’avvenuto svolgimento del procedimento penale relativo alla vicenda Telecom nei confronti del Mancini, definito in udienza preliminare con sentenza del GUP confermata dalla Corte di Cassazione, circostanza incompatibile con la tesi del “salvataggio dal processo”.</w:t>
      </w:r>
    </w:p>
    <w:p w14:paraId="3F3EA0C0" w14:textId="77777777" w:rsidR="006B7657" w:rsidRPr="000F53CB" w:rsidRDefault="00000000" w:rsidP="000F53CB">
      <w:pPr>
        <w:pStyle w:val="p1"/>
        <w:spacing w:before="0" w:beforeAutospacing="0" w:after="0" w:afterAutospacing="0" w:line="360" w:lineRule="auto"/>
        <w:ind w:left="360" w:hanging="360"/>
        <w:jc w:val="both"/>
        <w:rPr>
          <w:rFonts w:asciiTheme="minorHAnsi" w:hAnsiTheme="minorHAnsi" w:cstheme="minorHAnsi"/>
        </w:rPr>
      </w:pPr>
      <w:r w:rsidRPr="000F53CB">
        <w:rPr>
          <w:rFonts w:asciiTheme="minorHAnsi" w:hAnsiTheme="minorHAnsi" w:cstheme="minorHAnsi"/>
        </w:rPr>
        <w:t>· Art. 360, co. 1 n. 3, Cod. proc. civ. – violazione e falsa applicazione degli artt. 91 Cod. proc. civ., 92 Cod. proc. civ. e dell’art. 5 D.M. n. 55/2014, in relazione alla liquidazione delle spese di lite, per avere la Corte valorizzato, almeno per il primo grado e comunque con effetti complessivi sulla regolazione delle spese, il valore originariamente domandato anziché il valore effettivo della controversia devoluta e decisa in appello.</w:t>
      </w:r>
    </w:p>
    <w:p w14:paraId="60A9C522" w14:textId="77777777" w:rsidR="006B7657" w:rsidRPr="000F53CB" w:rsidRDefault="00000000" w:rsidP="000F53CB">
      <w:pPr>
        <w:pStyle w:val="p1"/>
        <w:spacing w:line="360" w:lineRule="auto"/>
        <w:jc w:val="center"/>
        <w:rPr>
          <w:rFonts w:asciiTheme="minorHAnsi" w:hAnsiTheme="minorHAnsi" w:cstheme="minorHAnsi"/>
        </w:rPr>
      </w:pPr>
      <w:r w:rsidRPr="000F53CB">
        <w:rPr>
          <w:rFonts w:asciiTheme="minorHAnsi" w:hAnsiTheme="minorHAnsi" w:cstheme="minorHAnsi"/>
          <w:b/>
        </w:rPr>
        <w:t>ESPOSIZIONE SOMMARIA DEI FATTI DI CAUSA</w:t>
      </w:r>
    </w:p>
    <w:p w14:paraId="6BFC8BF4" w14:textId="77777777" w:rsidR="006B7657" w:rsidRPr="000F53CB" w:rsidRDefault="00000000" w:rsidP="000F53CB">
      <w:pPr>
        <w:pStyle w:val="p1"/>
        <w:spacing w:after="0" w:afterAutospacing="0" w:line="360" w:lineRule="auto"/>
        <w:jc w:val="both"/>
        <w:rPr>
          <w:rFonts w:asciiTheme="minorHAnsi" w:hAnsiTheme="minorHAnsi" w:cstheme="minorHAnsi"/>
        </w:rPr>
      </w:pPr>
      <w:r w:rsidRPr="000F53CB">
        <w:rPr>
          <w:rFonts w:asciiTheme="minorHAnsi" w:hAnsiTheme="minorHAnsi" w:cstheme="minorHAnsi"/>
          <w:b/>
        </w:rPr>
        <w:t>1. IL GIUDIZIO DI PRIMO GRADO</w:t>
      </w:r>
    </w:p>
    <w:p w14:paraId="52921157"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1.1. Con atto di citazione del 12.12.2022 il Dott. Marco Mancini conveniva in giudizio avanti il Tribunale Civile di Ravenna Gian Battista Barbacetto, quale autore dell’articolo pubblicato sul quotidiano “Il Fatto Quotidiano” dell’08.10.2021, Marco Travaglio, quale direttore responsabile del quotidiano, e la Società Editoriale Il Fatto S.p.A., quale editrice, chiedendone la condanna solidale al risarcimento dei danni derivati dalla pubblicazione dell’articolo intitolato “Mancini insegna quel segreto di Stato che lo salvò due volte” (Doc. [●] primo grado; Doc. 1 Cassazione).</w:t>
      </w:r>
    </w:p>
    <w:p w14:paraId="48B020A1"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1.2. L’articolo prendeva le mosse da una lezione tenuta dal Dott. Mancini presso l’Università di Pavia sul tema del segreto di Stato, ma collocava tale fatto in un contesto fortemente denigratorio, collegandolo a due vicende giudiziarie pregresse: il c.d. caso Abu Omar e il c.d. caso dei dossieraggi illegali Telecom.</w:t>
      </w:r>
    </w:p>
    <w:p w14:paraId="27E09B27"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 xml:space="preserve">1.3. Il nucleo della lesione veniva individuato nella reiterata affermazione secondo cui Mancini sarebbe stato “salvato” due volte dal segreto di Stato. Lo scritto, infatti, dopo avere richiamato la condanna a nove anni pronunciata in appello nel caso Abu Omar e il successivo proscioglimento in Cassazione, aggiungeva, con riguardo alla seconda vicenda, che egli </w:t>
      </w:r>
      <w:r w:rsidRPr="000F53CB">
        <w:rPr>
          <w:rFonts w:asciiTheme="minorHAnsi" w:hAnsiTheme="minorHAnsi" w:cstheme="minorHAnsi"/>
        </w:rPr>
        <w:lastRenderedPageBreak/>
        <w:t>sarebbe stato “di nuovo salvato” per i dossieraggi Telecom, definendolo poi “l’uomo che fu salvato due volte”.</w:t>
      </w:r>
    </w:p>
    <w:p w14:paraId="6EACF8C3"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1.4. Si trattava, secondo la prospettazione attorea, di un’affermazione non rispondente alla verità dei fatti, perché nella vicenda Telecom non vi era mai stato un accertamento di colpevolezza del Mancini, né era vero che il segreto di Stato lo avesse sottratto a una condanna. Al contrario, la sentenza ex art. 425 Cod. proc. pen. del GUP del Tribunale di Milano aveva pronunciato il non luogo a procedere con formule differenziate e la successiva sentenza della Corte di Cassazione aveva confermato tale esito, in un quadro nel quale, per la posizione del Mancini, il segreto di Stato aveva riguardato soltanto una parte minoritaria delle pratiche considerate.</w:t>
      </w:r>
    </w:p>
    <w:p w14:paraId="7CD0499F"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1.5. I convenuti si costituivano invocando la scriminante del diritto di critica, sostenendo la verità del fatto storico costituito dal coinvolgimento del Mancini in due procedimenti nei quali era stato in rilievo il segreto di Stato, nonché la continenza delle espressioni utilizzate.</w:t>
      </w:r>
    </w:p>
    <w:p w14:paraId="5DA55178"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1.6. Con sentenza n. 226/2025 pubblicata il 05.04.2025, il Tribunale di Ravenna accoglieva parzialmente la domanda. Il Giudice di primo grado riteneva scriminata la parte dell’articolo relativa al caso Abu Omar, ma reputava diffamatoria e non scriminata la parte relativa alla vicenda Telecom, nella quale l’espressione “salvato dal segreto di Stato” veicolava al lettore l’idea che Mancini, senza il segreto, sarebbe stato ritenuto colpevole.</w:t>
      </w:r>
    </w:p>
    <w:p w14:paraId="2A335A69"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1.7. Il Tribunale condannava quindi i convenuti in solido al pagamento di euro 12.000,00 a titolo di risarcimento del danno non patrimoniale, oltre alla riparazione pecuniaria ex art. 12 L. n. 47/1948, liquidata in euro 2.400,00, e ordinava la pubblicazione del dispositivo della sentenza.</w:t>
      </w:r>
    </w:p>
    <w:p w14:paraId="0F20449D"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b/>
        </w:rPr>
        <w:t>2. IL GIUDIZIO DI APPELLO</w:t>
      </w:r>
    </w:p>
    <w:p w14:paraId="63F50609"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2.1. Avverso la sentenza di primo grado proponevano appello Gian Battista Barbacetto, Marco Travaglio e Società Editoriale Il Fatto S.p.A., sostenendo, in sintesi, che il Tribunale avrebbe erroneamente interpretato il pensiero del giornalista, attribuendogli l’affermazione secondo cui il segreto di Stato avrebbe salvato Mancini da una sicura condanna nel processo Telecom.</w:t>
      </w:r>
    </w:p>
    <w:p w14:paraId="49F580A7"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2.2. Gli appellanti deducevano che l’espressione “salvato dal segreto di Stato” avrebbe dovuto intendersi nel senso di salvezza dalla prosecuzione del processo penale e non quale salvezza da una condanna o da un accertamento di responsabilità. In subordine, chiedevano la riforma del capo relativo alla pubblicazione del dispositivo.</w:t>
      </w:r>
    </w:p>
    <w:p w14:paraId="6A556A65"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lastRenderedPageBreak/>
        <w:t>2.3. Il Dott. Mancini si costituiva in appello, eccependo l’infondatezza del gravame e richiamando, in particolare, la necessità che il diritto di critica si fondi su un fatto presupposto vero o almeno putativamente vero. La difesa evidenziava che, se l’articolo riferisce dapprima di una condanna e di un proscioglimento “grazie” al segreto di Stato, il successivo inciso “e poi di nuovo salvato” non può essere isolato, ma deve essere letto nel suo naturale collegamento testuale e semantico con la prima vicenda.</w:t>
      </w:r>
    </w:p>
    <w:p w14:paraId="69DF9BD3"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2.4. Con la comparsa conclusionale e con la memoria di replica, Mancini insisteva altresì sul fatto che la tesi del “salvataggio dal processo” era insostenibile anche sul piano processuale: l’udienza preliminare è fase del processo, successiva all’esercizio dell’azione penale, e proprio in quella fase il procedimento Telecom nei confronti del Mancini era stato definito con sentenza del GUP, poi confermata dalla Corte di Cassazione. Il processo, quindi, vi era stato; ciò che l’articolo lasciava intendere era altro, ossia un salvataggio da responsabilità penale o da condanna.</w:t>
      </w:r>
    </w:p>
    <w:p w14:paraId="4269E683"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2.5. La Corte d’Appello di Bologna, con la sentenza qui impugnata, accoglieva l’appello. La Corte riteneva che, in mancanza di appello incidentale, l’oggetto della controversia fosse limitato alla parte dell’articolo concernente la vicenda Telecom, essendo coperti da giudicato interno i capi relativi al caso Abu Omar, alla continenza e all’interesse pubblico.</w:t>
      </w:r>
    </w:p>
    <w:p w14:paraId="73BD08E7"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2.6. La Corte riteneva fondato il primo motivo di appello, affermando che il Tribunale avrebbe attribuito al giornalista un significato non desumibile dal dato letterale dell’articolo. In particolare, secondo la Corte territoriale, Barbacetto non avrebbe scritto, né altrimenti veicolato al lettore, che Mancini fosse colpevole dei reati ascrittigli nella vicenda Telecom o che si fosse salvato da una sicura condanna per effetto del segreto di Stato.</w:t>
      </w:r>
    </w:p>
    <w:p w14:paraId="360B738A"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2.7. La Corte aggiungeva che il termine “salvato” potrebbe riferirsi tanto alla condanna quanto alla sottoposizione al processo penale sino alla decisione nel merito, evocando, a titolo esemplificativo, l’ipotesi di chi venga salvato da un processo grazie ad amnistia, depenalizzazione, difetto di querela o altra condizione di procedibilità, incluso il segreto di Stato.</w:t>
      </w:r>
    </w:p>
    <w:p w14:paraId="705C4514"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2.8. In tale prospettiva, la Corte ha ritenuto che l’articolo non fosse diffamatorio, poiché la critica riguarderebbe l’inopportunità della scelta dell’Università di Pavia di invitare Mancini a tenere una lezione sul segreto di Stato, dopo due vicende giudiziarie nelle quali tale istituto aveva avuto rilievo.</w:t>
      </w:r>
    </w:p>
    <w:p w14:paraId="1ED30934"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lastRenderedPageBreak/>
        <w:t>2.9. In conseguenza dell’accoglimento del primo motivo di appello, la Corte dichiarava assorbito il motivo relativo alle modalità di pubblicazione della sentenza, rigettava ogni domanda proposta dal Mancini, disponeva la restituzione delle somme percepite in esecuzione della sentenza di primo grado e condannava il Mancini alle spese di entrambi i gradi.</w:t>
      </w:r>
    </w:p>
    <w:p w14:paraId="2114C9D0"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b/>
        </w:rPr>
        <w:t>3. INTERESSE AL RICORSO</w:t>
      </w:r>
    </w:p>
    <w:p w14:paraId="358EF3B3"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3.1. Il Dott. Mancini ha interesse concreto e attuale all’impugnazione, essendo risultato integralmente soccombente in appello dopo la parziale vittoria conseguita in primo grado.</w:t>
      </w:r>
    </w:p>
    <w:p w14:paraId="4827EA46"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3.2. La cassazione della sentenza impugnata consentirebbe il ripristino dell’accertamento di illiceità già riconosciuto dal Tribunale ovvero, quantomeno, il rinvio alla Corte territoriale affinché rivaluti la fattispecie applicando correttamente i principi in materia di diritto di critica, verità del fatto presupposto e valutazione del significato complessivo dello scritto diffamatorio.</w:t>
      </w:r>
    </w:p>
    <w:p w14:paraId="3E536DE0"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rPr>
        <w:t>3.3. Ulteriore e autonomo interesse discende dalla condanna restitutoria e dalla condanna alle spese di entrambi i gradi, che costituiscono statuizioni direttamente pregiudizievoli.</w:t>
      </w:r>
    </w:p>
    <w:p w14:paraId="21AAFA2D" w14:textId="77777777" w:rsidR="006B7657" w:rsidRPr="000F53CB" w:rsidRDefault="00000000" w:rsidP="000F53CB">
      <w:pPr>
        <w:pStyle w:val="p1"/>
        <w:spacing w:line="360" w:lineRule="auto"/>
        <w:jc w:val="center"/>
        <w:rPr>
          <w:rFonts w:asciiTheme="minorHAnsi" w:hAnsiTheme="minorHAnsi" w:cstheme="minorHAnsi"/>
        </w:rPr>
      </w:pPr>
      <w:r w:rsidRPr="000F53CB">
        <w:rPr>
          <w:rFonts w:asciiTheme="minorHAnsi" w:hAnsiTheme="minorHAnsi" w:cstheme="minorHAnsi"/>
        </w:rPr>
        <w:t>* * * * *</w:t>
      </w:r>
    </w:p>
    <w:p w14:paraId="374C54FC" w14:textId="77777777" w:rsidR="006B7657" w:rsidRPr="000F53CB" w:rsidRDefault="00000000" w:rsidP="000F53CB">
      <w:pPr>
        <w:pStyle w:val="p1"/>
        <w:spacing w:after="0" w:afterAutospacing="0" w:line="360" w:lineRule="auto"/>
        <w:jc w:val="both"/>
        <w:rPr>
          <w:rFonts w:asciiTheme="minorHAnsi" w:hAnsiTheme="minorHAnsi" w:cstheme="minorHAnsi"/>
        </w:rPr>
      </w:pPr>
      <w:r w:rsidRPr="000F53CB">
        <w:rPr>
          <w:rFonts w:asciiTheme="minorHAnsi" w:hAnsiTheme="minorHAnsi" w:cstheme="minorHAnsi"/>
        </w:rPr>
        <w:t>Tutto ciò premesso il Dott. Marco Mancini, come in rubrica rappresentato, difeso e domiciliato, con il presente</w:t>
      </w:r>
    </w:p>
    <w:p w14:paraId="066509B6" w14:textId="77777777" w:rsidR="006B7657" w:rsidRPr="000F53CB" w:rsidRDefault="00000000" w:rsidP="000F53CB">
      <w:pPr>
        <w:pStyle w:val="p1"/>
        <w:spacing w:before="0" w:beforeAutospacing="0" w:after="0" w:afterAutospacing="0" w:line="360" w:lineRule="auto"/>
        <w:jc w:val="center"/>
        <w:rPr>
          <w:rFonts w:asciiTheme="minorHAnsi" w:hAnsiTheme="minorHAnsi" w:cstheme="minorHAnsi"/>
        </w:rPr>
      </w:pPr>
      <w:r w:rsidRPr="000F53CB">
        <w:rPr>
          <w:rFonts w:asciiTheme="minorHAnsi" w:hAnsiTheme="minorHAnsi" w:cstheme="minorHAnsi"/>
          <w:b/>
        </w:rPr>
        <w:t>RICORSO</w:t>
      </w:r>
    </w:p>
    <w:p w14:paraId="6D324D80" w14:textId="77777777" w:rsidR="006B7657" w:rsidRPr="000F53CB" w:rsidRDefault="00000000" w:rsidP="000F53CB">
      <w:pPr>
        <w:pStyle w:val="p1"/>
        <w:spacing w:before="0" w:beforeAutospacing="0" w:line="360" w:lineRule="auto"/>
        <w:jc w:val="both"/>
        <w:rPr>
          <w:rFonts w:asciiTheme="minorHAnsi" w:hAnsiTheme="minorHAnsi" w:cstheme="minorHAnsi"/>
        </w:rPr>
      </w:pPr>
      <w:r w:rsidRPr="000F53CB">
        <w:rPr>
          <w:rFonts w:asciiTheme="minorHAnsi" w:hAnsiTheme="minorHAnsi" w:cstheme="minorHAnsi"/>
        </w:rPr>
        <w:t>chiede la cassazione della sentenza indicata in epigrafe per i seguenti</w:t>
      </w:r>
    </w:p>
    <w:p w14:paraId="3DD42528" w14:textId="77777777" w:rsidR="006B7657" w:rsidRPr="000F53CB" w:rsidRDefault="00000000" w:rsidP="000F53CB">
      <w:pPr>
        <w:pStyle w:val="p1"/>
        <w:spacing w:before="0" w:beforeAutospacing="0" w:after="0" w:afterAutospacing="0" w:line="360" w:lineRule="auto"/>
        <w:jc w:val="center"/>
        <w:rPr>
          <w:rFonts w:asciiTheme="minorHAnsi" w:hAnsiTheme="minorHAnsi" w:cstheme="minorHAnsi"/>
        </w:rPr>
      </w:pPr>
      <w:r w:rsidRPr="000F53CB">
        <w:rPr>
          <w:rFonts w:asciiTheme="minorHAnsi" w:hAnsiTheme="minorHAnsi" w:cstheme="minorHAnsi"/>
          <w:b/>
        </w:rPr>
        <w:t>MOTIVI</w:t>
      </w:r>
    </w:p>
    <w:p w14:paraId="0EA23A8A" w14:textId="77777777" w:rsidR="006B7657" w:rsidRPr="000F53CB" w:rsidRDefault="00000000" w:rsidP="000F53CB">
      <w:pPr>
        <w:pStyle w:val="p1"/>
        <w:spacing w:before="0" w:beforeAutospacing="0" w:after="0" w:afterAutospacing="0" w:line="360" w:lineRule="auto"/>
        <w:jc w:val="both"/>
        <w:rPr>
          <w:rFonts w:asciiTheme="minorHAnsi" w:hAnsiTheme="minorHAnsi" w:cstheme="minorHAnsi"/>
        </w:rPr>
      </w:pPr>
      <w:r w:rsidRPr="000F53CB">
        <w:rPr>
          <w:rFonts w:asciiTheme="minorHAnsi" w:hAnsiTheme="minorHAnsi" w:cstheme="minorHAnsi"/>
          <w:b/>
        </w:rPr>
        <w:t>A. PRIMO MOTIVO</w:t>
      </w:r>
    </w:p>
    <w:p w14:paraId="00AC6CCB" w14:textId="57DE226E" w:rsidR="006B7657" w:rsidRPr="000F53CB" w:rsidRDefault="00000000" w:rsidP="000F53CB">
      <w:pPr>
        <w:pStyle w:val="p1"/>
        <w:numPr>
          <w:ilvl w:val="0"/>
          <w:numId w:val="19"/>
        </w:numPr>
        <w:spacing w:line="360" w:lineRule="auto"/>
        <w:jc w:val="both"/>
        <w:rPr>
          <w:rFonts w:asciiTheme="minorHAnsi" w:hAnsiTheme="minorHAnsi" w:cstheme="minorHAnsi"/>
          <w:i/>
          <w:iCs/>
        </w:rPr>
      </w:pPr>
      <w:r w:rsidRPr="000F53CB">
        <w:rPr>
          <w:rFonts w:asciiTheme="minorHAnsi" w:hAnsiTheme="minorHAnsi" w:cstheme="minorHAnsi"/>
          <w:b/>
          <w:i/>
          <w:iCs/>
        </w:rPr>
        <w:t>Art. 360, co. 1 n. 3, Cod. proc. civ. – Violazione e falsa applicazione degli artt. 2043 e 2059 Cod. civ., 595 Cod. pen., 51 Cod. pen., 2 e 21 Cost., nonché dei principi in materia di diritto di critica, verità del fatto presupposto, verità putativa e valutazione del significato complessivo dello scritto diffamatorio.</w:t>
      </w:r>
    </w:p>
    <w:p w14:paraId="71D6651C" w14:textId="46023A70"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 xml:space="preserve">Con il primo motivo si censura la sentenza impugnata per avere falsamente applicato i principi in tema di diritto di critica e di diffamazione a mezzo stampa, ritenendo scriminata </w:t>
      </w:r>
      <w:r w:rsidRPr="000F53CB">
        <w:rPr>
          <w:rFonts w:asciiTheme="minorHAnsi" w:hAnsiTheme="minorHAnsi" w:cstheme="minorHAnsi"/>
        </w:rPr>
        <w:lastRenderedPageBreak/>
        <w:t>una critica fondata non sul fatto presupposto effettivamente comunicato al lettore medio, ma su un fatto diverso, neutro e riduttivo, individuato nell’avvenuta incidenza del segreto di Stato sulla vicenda Telecom.</w:t>
      </w:r>
    </w:p>
    <w:p w14:paraId="48F1DA4F" w14:textId="21F787E7"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Corte territoriale non ha negato che l’articolo contenesse la formula “salvato dal segreto di Stato”, né che la stessa fosse riferita anche ai dossieraggi Telecom. La Corte ha però ritenuto che tale espressione non implicasse la rappresentazione del Mancini come soggetto sottratto ad una condanna o ad un accertamento di responsabilità, bensì soltanto come soggetto sottratto alla prosecuzione del processo.</w:t>
      </w:r>
    </w:p>
    <w:p w14:paraId="0150E6BD" w14:textId="0BAE2349"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Tale sussunzione è giuridicamente erronea. In tema di responsabilità civile da diffamazione, il diritto di critica, pur non traducendosi nella mera narrazione di fatti e pur tollerando valutazioni soggettive, postula comunque che il fatto presupposto della critica sia vero o quantomeno ragionevolmente putativo. Il requisito della verità non può essere spostato dal fatto offensivo concretamente veicolato ad un diverso fatto neutro, scelto ex post per rendere innocua l’affermazione.</w:t>
      </w:r>
    </w:p>
    <w:p w14:paraId="17B09291" w14:textId="6F072FD9"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Nel caso in esame il fatto presupposto della critica non era semplicemente: “nella vicenda Telecom fu apposto il segreto di Stato”; bensì: “Mancini fu salvato dal segreto di Stato anche nella vicenda Telecom”. È su questo secondo fatto, e non sul primo, che la Corte avrebbe dovuto esercitare il giudizio di verità, quantomeno putativa.</w:t>
      </w:r>
    </w:p>
    <w:p w14:paraId="6BF3771A" w14:textId="36437649"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distinzione è decisiva. Dire che in un procedimento sia intervenuto il segreto di Stato è cosa diversa dal dire che una persona sia stata “salvata” dal segreto di Stato, soprattutto quando tale espressione viene collocata subito dopo il richiamo ad una condanna penale a nove anni e al successivo proscioglimento in Cassazione.</w:t>
      </w:r>
    </w:p>
    <w:p w14:paraId="762D0F26" w14:textId="44E41E94"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Corte d’Appello ha invece disarticolato lo scritto, isolando la seconda vicenda dalla prima e attribuendo all’espressione “salvato” un significato astrattamente possibile ma non aderente al contesto comunicativo concreto. In tal modo ha violato il principio per cui l’offensività e la verità del fatto presupposto devono essere valutate con riferimento al contenuto complessivo del messaggio e alla percezione del lettore medio.</w:t>
      </w:r>
    </w:p>
    <w:p w14:paraId="39AB2036" w14:textId="3E511624"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 xml:space="preserve">Lo scritto non si limitava ad affermare che Mancini era stato coinvolto in due procedimenti nei quali era emersa la tematica del segreto di Stato. L’articolo costruiva un nesso causale fra il segreto e il preteso “salvataggio” personale del Mancini, ripetendo l’espressione nel titolo, nel corpo e nella chiusa dell’articolo. L’effetto comunicativo </w:t>
      </w:r>
      <w:r w:rsidRPr="000F53CB">
        <w:rPr>
          <w:rFonts w:asciiTheme="minorHAnsi" w:hAnsiTheme="minorHAnsi" w:cstheme="minorHAnsi"/>
        </w:rPr>
        <w:lastRenderedPageBreak/>
        <w:t>complessivo era quello di attribuire al ricorrente una sostanziale responsabilità penale, non accertata, rispetto alla vicenda Telecom.</w:t>
      </w:r>
    </w:p>
    <w:p w14:paraId="74FF97BF" w14:textId="6995FC9C"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sentenza di primo grado aveva colto esattamente questo profilo, rilevando che la formula “salvato dal segreto di Stato” non è equivalente alla più neutra “beneficiato dal segreto di Stato”, ma veicola l’idea che, senza quel fattore esterno, il soggetto sarebbe stato ritenuto responsabile.</w:t>
      </w:r>
    </w:p>
    <w:p w14:paraId="0C6D7C51" w14:textId="0F760640"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Corte territoriale ha riformato tale decisione sostituendo al significato oggettivamente percepibile dal lettore medio una lettura alternativa, fondata sulla tesi per cui si potrebbe essere “salvati” non da una condanna, ma da un processo. Questa lettura, tuttavia, non è stata calata nel testo concretamente pubblicato, bensì costruita in astratto attraverso esempi estranei al caso di specie, quali amnistia, depenalizzazione o difetto di querela.</w:t>
      </w:r>
    </w:p>
    <w:p w14:paraId="5F46E18D" w14:textId="26086601"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Ma il controllo di legittimità qui invocato non attiene alla mera preferenza per una interpretazione del fatto rispetto ad un’altra. La censura riguarda l’errore di diritto nella individuazione del parametro di verità: la Corte ha verificato la verità del fatto neutro, ossia la presenza del segreto di Stato, e non la verità del fatto lesivo, ossia il preteso salvataggio del Mancini nella vicenda Telecom.</w:t>
      </w:r>
    </w:p>
    <w:p w14:paraId="3D47CBEB" w14:textId="711D4E78"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giurisprudenza di legittimità ha più volte affermato che il diritto di critica richiede la verità, anche soltanto putativa, del fatto storico posto a fondamento del giudizio critico. Tale principio è stato richiamato anche dalla difesa Mancini negli atti di appello, con riferimento, tra le altre, a Cass. civ., Sez. III, n. 21892/2023, Cass. civ. n. 4955/2024, Cass. civ. n. 21651/2023 e, da ultimo, Cass. civ., Sez. III, n. 19091/2025.</w:t>
      </w:r>
    </w:p>
    <w:p w14:paraId="0666CD38" w14:textId="3519D958"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Nel presente giudizio la Corte d’Appello ha formalmente richiamato la necessità di una interpretazione obiettiva e concreta della frase, ma poi ha applicato il principio in modo rovesciato, finendo per neutralizzare la frase mediante un’interpretazione favorevole all’autore, non già mediante la verifica del significato che lo scritto, nel suo complesso, era idoneo a produrre nel lettore medio.</w:t>
      </w:r>
    </w:p>
    <w:p w14:paraId="30DB7E77" w14:textId="56247B14"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Neppure può sostenersi che l’oggetto della critica fosse solo l’inopportunità della lezione universitaria. Anche una critica su un tema di interesse pubblico deve fondarsi su fatti veri. L’interesse pubblico alla discussione sulla scelta dell’Università di Pavia non autorizzava la deformazione del presupposto storico, né la rappresentazione di Mancini come persona due volte sottratta alle conseguenze penali grazie al segreto di Stato.</w:t>
      </w:r>
    </w:p>
    <w:p w14:paraId="6F8F59A5" w14:textId="7DD4D443"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lastRenderedPageBreak/>
        <w:t xml:space="preserve">L’errore è ancor più evidente perché la Corte ha riconosciuto che, per il caso Abu Omar, l’articolo aveva collegato il segreto di Stato alla condanna e al proscioglimento; </w:t>
      </w:r>
      <w:proofErr w:type="gramStart"/>
      <w:r w:rsidRPr="000F53CB">
        <w:rPr>
          <w:rFonts w:asciiTheme="minorHAnsi" w:hAnsiTheme="minorHAnsi" w:cstheme="minorHAnsi"/>
        </w:rPr>
        <w:t>tuttavia</w:t>
      </w:r>
      <w:proofErr w:type="gramEnd"/>
      <w:r w:rsidRPr="000F53CB">
        <w:rPr>
          <w:rFonts w:asciiTheme="minorHAnsi" w:hAnsiTheme="minorHAnsi" w:cstheme="minorHAnsi"/>
        </w:rPr>
        <w:t xml:space="preserve"> ha escluso che il successivo “di nuovo salvato” trasferisse sulla vicenda Telecom il medesimo significato. In tal modo la Corte ha interrotto artificiosamente il nesso semantico creato dall’autore stesso.</w:t>
      </w:r>
    </w:p>
    <w:p w14:paraId="696EF48B" w14:textId="13C2179D"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L’espressione “di nuovo” ha precisamente la funzione linguistica di riprodurre, nella seconda vicenda, il medesimo schema concettuale della prima. Se nel primo passaggio il “salvataggio” è collegato ad una condanna e al proscioglimento, nel secondo passaggio il “di nuovo salvato” non può essere svincolato da tale premessa senza alterare il dato testuale.</w:t>
      </w:r>
    </w:p>
    <w:p w14:paraId="60A85E06" w14:textId="77777777"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16. È pertanto errata in diritto la conclusione secondo cui il fatto presupposto della critica sarebbe stato vero perché in entrambe le vicende il processo si sarebbe concluso con proscioglimento e perché in entrambe era stato evocato il segreto di Stato. Tale ricostruzione confonde il fatto vero con il significato lesivo veicolato, e rende irrilevante il controllo sul presupposto sostanziale della critica.</w:t>
      </w:r>
    </w:p>
    <w:p w14:paraId="362BEABD" w14:textId="568F9EFA"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sentenza impugnata deve quindi essere cassata perché la Corte d’Appello ha falsamente applicato la scriminante del diritto di critica, omettendo di valutare se fosse vero o putativamente vero il fatto, reputazionalmente lesivo, secondo cui Mancini sarebbe stato “salvato” dal segreto di Stato nella vicenda Telecom.</w:t>
      </w:r>
    </w:p>
    <w:p w14:paraId="4DD93757" w14:textId="1F0D7FA3" w:rsidR="006B7657" w:rsidRPr="000F53CB" w:rsidRDefault="00000000" w:rsidP="000F53CB">
      <w:pPr>
        <w:pStyle w:val="p1"/>
        <w:numPr>
          <w:ilvl w:val="0"/>
          <w:numId w:val="21"/>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In conclusione, l’Ecc.ma Corte dovrà affermare il seguente principio: in tema di responsabilità civile da diffamazione a mezzo stampa, quando la critica giornalistica si fonda su una espressione idonea a suggerire che un soggetto sia stato sottratto a responsabilità penale o a condanna per effetto di un fattore esterno, il giudice deve verificare la verità, anche putativa, di tale specifico fatto presupposto, valutando lo scritto nel suo complesso, senza poter sostituire al significato lesivo concretamente veicolato un diverso fatto storico neutro.</w:t>
      </w:r>
    </w:p>
    <w:p w14:paraId="212CE6EA" w14:textId="77777777" w:rsidR="006B7657" w:rsidRPr="006741CC" w:rsidRDefault="00000000" w:rsidP="006741CC">
      <w:pPr>
        <w:pStyle w:val="p1"/>
        <w:spacing w:before="240" w:beforeAutospacing="0" w:after="0" w:afterAutospacing="0" w:line="360" w:lineRule="auto"/>
        <w:jc w:val="both"/>
        <w:rPr>
          <w:rFonts w:asciiTheme="minorHAnsi" w:hAnsiTheme="minorHAnsi" w:cstheme="minorHAnsi"/>
          <w:b/>
        </w:rPr>
      </w:pPr>
      <w:r w:rsidRPr="000F53CB">
        <w:rPr>
          <w:rFonts w:asciiTheme="minorHAnsi" w:hAnsiTheme="minorHAnsi" w:cstheme="minorHAnsi"/>
          <w:b/>
        </w:rPr>
        <w:t>B. SECONDO MOTIVO</w:t>
      </w:r>
    </w:p>
    <w:p w14:paraId="52A35E79" w14:textId="4610C229" w:rsidR="006B7657" w:rsidRPr="006741CC" w:rsidRDefault="00000000" w:rsidP="006741CC">
      <w:pPr>
        <w:pStyle w:val="p1"/>
        <w:numPr>
          <w:ilvl w:val="0"/>
          <w:numId w:val="19"/>
        </w:numPr>
        <w:spacing w:line="360" w:lineRule="auto"/>
        <w:jc w:val="both"/>
        <w:rPr>
          <w:rFonts w:asciiTheme="minorHAnsi" w:hAnsiTheme="minorHAnsi" w:cstheme="minorHAnsi"/>
          <w:b/>
          <w:i/>
          <w:iCs/>
        </w:rPr>
      </w:pPr>
      <w:r w:rsidRPr="006741CC">
        <w:rPr>
          <w:rFonts w:asciiTheme="minorHAnsi" w:hAnsiTheme="minorHAnsi" w:cstheme="minorHAnsi"/>
          <w:b/>
          <w:i/>
          <w:iCs/>
        </w:rPr>
        <w:t>Art. 360, co. 1 n. 4, Cod. proc. civ. – Nullità della sentenza per motivazione apparente, perplessa e intrinsecamente contraddittoria, in relazione agli artt. 132, co. 2 n. 4, Cod. proc. civ., 118 disp. att. Cod. proc. civ. e 111 Cost.</w:t>
      </w:r>
    </w:p>
    <w:p w14:paraId="606C1C06" w14:textId="15AF630E"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lastRenderedPageBreak/>
        <w:t>Con il secondo motivo si denuncia la nullità della sentenza per anomalia motivazionale rilevante ai sensi dell’art. 360, co. 1 n. 4, Cod. proc. civ., nella parte in cui la Corte territoriale ha escluso l’idoneità diffamatoria dell’articolo mediante una motivazione soltanto apparente e comunque perplessa.</w:t>
      </w:r>
    </w:p>
    <w:p w14:paraId="2E7C0ABE" w14:textId="666219CD"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Le Sezioni Unite hanno precisato che la motivazione è censurabile in cassazione quando ricorra una anomalia che si tramuti in violazione di legge costituzionalmente rilevante, come la motivazione apparente, il contrasto irriducibile tra affermazioni inconciliabili o la motivazione perplessa e obiettivamente incomprensibile.</w:t>
      </w:r>
    </w:p>
    <w:p w14:paraId="67B4D876" w14:textId="4464A509"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Nel caso di specie, la Corte territoriale afferma dapprima che l’articolo deve essere letto secondo il suo dato letterale, il suo tenore complessivo e la sua finalità. Subito dopo, però, esclude che il riferimento alla vicenda Telecom veicoli un giudizio di colpevolezza, perché l’articolo non avrebbe scritto espressamente che Mancini fosse colpevole né che fosse stato salvato da una sicura condanna.</w:t>
      </w:r>
    </w:p>
    <w:p w14:paraId="1FE124F9" w14:textId="1255793B"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motivazione è apparente perché non spiega il passaggio logico decisivo: perché mai, dopo avere letto che Mancini era stato condannato e poi prosciolto “grazie al segreto di Stato”, il lettore medio avrebbe dovuto intendere il successivo “e poi di nuovo salvato” come salvataggio dal processo e non come salvataggio da responsabilità penale.</w:t>
      </w:r>
    </w:p>
    <w:p w14:paraId="1B5432D6" w14:textId="1B93F639"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Corte si limita ad affermare che tale lettura sarebbe possibile, ma non dimostra che sia quella coerente con il testo. Il vizio non sta nell’avere preferito una delle possibili interpretazioni dell’articolo, bensì nell’avere sostituito all’analisi concreta del testo una parafrasi alternativa, non sorretta da un effettivo percorso argomentativo.</w:t>
      </w:r>
    </w:p>
    <w:p w14:paraId="082EEF12" w14:textId="5940FA9B"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In particolare, la Corte sostiene che “salvato” potrebbe attagliarsi alla sottoposizione al processo penale sino alla decisione nel merito, ma non collega tale affermazione al caso concreto. Gli esempi evocati – amnistia, depenalizzazione, difetto di querela, altra condizione di procedibilità – sono astratti e non spiegano il significato dell’articolo oggetto di causa.</w:t>
      </w:r>
    </w:p>
    <w:p w14:paraId="0B964947" w14:textId="7860B33A"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motivazione è altresì intrinsecamente contraddittoria perché riconosce che il testo riferisce il “salvataggio” al segreto di Stato in entrambe le vicende, ma nega che nella seconda vicenda l’espressione assuma il significato che la stessa Corte ammette essere stato presente nella prima. Così facendo, la Corte attribuisce alla medesima locuzione un significato diverso nei due passaggi senza spiegare per quale ragione il lettore medio dovrebbe mutare chiave di lettura nel medesimo periodo narrativo.</w:t>
      </w:r>
    </w:p>
    <w:p w14:paraId="1F85E410" w14:textId="75CC0DD4"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lastRenderedPageBreak/>
        <w:t>La Corte afferma poi che la vicenda Telecom sarebbe solo “appena accennata” e che, proprio per questo, non potrebbe aversi insinuazione di colpevolezza. Anche questo passaggio è apparente e circolare. La difesa Mancini aveva sostenuto esattamente l’opposto: l’allusività e l’incompletezza del richiamo alla vicenda Telecom, collocato dopo il riferimento alla condanna nel caso Abu Omar, erano lo strumento attraverso cui veniva prodotto l’effetto lesivo.</w:t>
      </w:r>
    </w:p>
    <w:p w14:paraId="6E8B0749" w14:textId="3FA0777E"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 xml:space="preserve">La sentenza assume come premessa ciò che avrebbe dovuto dimostrare: che l’articolo non riguardasse la colpevolezza di Mancini nella vicenda Telecom. Ma tale era proprio il punto controverso. La Corte avrebbe dovuto spiegare perché il lettore medio, dinanzi alla sequenza testuale descritta, non avrebbe percepito un giudizio di colpevolezza sostanziale; </w:t>
      </w:r>
      <w:proofErr w:type="gramStart"/>
      <w:r w:rsidRPr="000F53CB">
        <w:rPr>
          <w:rFonts w:asciiTheme="minorHAnsi" w:hAnsiTheme="minorHAnsi" w:cstheme="minorHAnsi"/>
        </w:rPr>
        <w:t>invece</w:t>
      </w:r>
      <w:proofErr w:type="gramEnd"/>
      <w:r w:rsidRPr="000F53CB">
        <w:rPr>
          <w:rFonts w:asciiTheme="minorHAnsi" w:hAnsiTheme="minorHAnsi" w:cstheme="minorHAnsi"/>
        </w:rPr>
        <w:t xml:space="preserve"> si limita ad affermarlo.</w:t>
      </w:r>
    </w:p>
    <w:p w14:paraId="66A374AD" w14:textId="320F3674"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motivazione è ancora perplessa laddove ritiene non necessario il compiuto resoconto della vicenda Telecom perché l’articolo non avrebbe avuto ad oggetto la colpevolezza del Mancini. Anche qui la Corte adotta una motivazione circolare: l’incompletezza del resoconto era stata dedotta quale elemento della lesione; non poteva essere esclusa sul presupposto, indimostrato, che la lesione non vi fosse.</w:t>
      </w:r>
    </w:p>
    <w:p w14:paraId="27C0061D" w14:textId="00C6F354"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motivazione si pone infine in contrasto con l’obbligo del giudice di esplicitare il percorso logico-giuridico seguito, non essendo sufficiente l’adesione alla tesi dell’appellante secondo cui il giornalista avrebbe inteso parlare di salvataggio dal processo. A fronte della specifica contestazione difensiva, la Corte avrebbe dovuto confrontarsi con la struttura dell’articolo, la sequenza delle frasi, il titolo, la ripetizione dell’espressione “salvato due volte” e la chiusa sul potere che avrebbe salvato il Mancini.</w:t>
      </w:r>
    </w:p>
    <w:p w14:paraId="0CB74448" w14:textId="0ADE2514"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mancanza di tale confronto rende la motivazione meramente apparente, perché non consente di comprendere le ragioni per le quali l’espressione reputazionalmente lesiva sia stata ritenuta giuridicamente innocua.</w:t>
      </w:r>
    </w:p>
    <w:p w14:paraId="6DC3250B" w14:textId="5A652E21" w:rsidR="006B7657" w:rsidRPr="000F53CB" w:rsidRDefault="00000000" w:rsidP="006741CC">
      <w:pPr>
        <w:pStyle w:val="p1"/>
        <w:numPr>
          <w:ilvl w:val="0"/>
          <w:numId w:val="22"/>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sentenza deve quindi essere cassata anche per nullità, ai sensi dell’art. 360, co. 1 n. 4, Cod. proc. civ., con rinvio alla Corte territoriale affinché riesamini la fattispecie dando conto, in modo effettivo e non apparente, del significato complessivo dello scritto e della sua idoneità a ledere la reputazione del ricorrente.</w:t>
      </w:r>
    </w:p>
    <w:p w14:paraId="7270FB3F"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C. TERZO MOTIVO</w:t>
      </w:r>
    </w:p>
    <w:p w14:paraId="7363A16F" w14:textId="4ED1A220" w:rsidR="006B7657" w:rsidRPr="006741CC" w:rsidRDefault="00000000" w:rsidP="006741CC">
      <w:pPr>
        <w:pStyle w:val="p1"/>
        <w:numPr>
          <w:ilvl w:val="0"/>
          <w:numId w:val="19"/>
        </w:numPr>
        <w:spacing w:line="360" w:lineRule="auto"/>
        <w:jc w:val="both"/>
        <w:rPr>
          <w:rFonts w:asciiTheme="minorHAnsi" w:hAnsiTheme="minorHAnsi" w:cstheme="minorHAnsi"/>
          <w:i/>
          <w:iCs/>
        </w:rPr>
      </w:pPr>
      <w:r w:rsidRPr="006741CC">
        <w:rPr>
          <w:rFonts w:asciiTheme="minorHAnsi" w:hAnsiTheme="minorHAnsi" w:cstheme="minorHAnsi"/>
          <w:b/>
          <w:i/>
          <w:iCs/>
        </w:rPr>
        <w:lastRenderedPageBreak/>
        <w:t>Art. 360, co. 1 n. 5, Cod. proc. civ. – Omesso esame di un fatto decisivo, oggetto di discussione tra le parti: l’avvenuto svolgimento del procedimento penale Telecom nei confronti del Mancini sino alla sentenza del GUP confermata dalla Corte di Cassazione.</w:t>
      </w:r>
    </w:p>
    <w:p w14:paraId="503521C6" w14:textId="29B7116B"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Con il terzo motivo si denuncia l’omesso esame di un fatto storico decisivo, oggetto di specifica discussione tra le parti, costituito dall’avvenuto svolgimento del procedimento penale relativo alla vicenda Telecom nei confronti del Dott. Mancini.</w:t>
      </w:r>
    </w:p>
    <w:p w14:paraId="215D8BEA" w14:textId="29DB10CC"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Corte d’Appello ha fondato la propria decisione sull’assunto secondo cui l’espressione “salvato dal segreto di Stato” avrebbe potuto significare “salvato dal processo penale” e non “salvato da una condanna”. Tale assunto diviene decisivo nella motivazione della sentenza: senza di esso, l’intero ragionamento della Corte non regge.</w:t>
      </w:r>
    </w:p>
    <w:p w14:paraId="1CCD4177" w14:textId="0384F562"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Tuttavia, la Corte non ha esaminato il fatto, puntualmente dedotto dalla difesa Mancini, che il processo penale relativo alla vicenda Telecom vi fu. Non si trattò di una vicenda arrestata prima del processo, ma di un procedimento nel quale, esercitata l’azione penale, si giunse all’udienza preliminare, fase processuale successiva all’imputazione, conclusasi con sentenza ex art. 425 Cod. proc. pen. del GUP del Tribunale di Milano, poi confermata dalla Corte di Cassazione.</w:t>
      </w:r>
    </w:p>
    <w:p w14:paraId="09552137" w14:textId="280704DA"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memoria di replica di Mancini aveva espressamente dedotto che l’udienza preliminare è fase del processo e che, proprio in quella fase, il procedimento nei confronti del Dott. Mancini era stato definito. Di conseguenza, non era corretto affermare che Mancini fosse stato “salvato dal processo”: il processo, nelle forme previste dall’ordinamento, si era svolto.</w:t>
      </w:r>
    </w:p>
    <w:p w14:paraId="21E7EA30" w14:textId="69FFA081"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Tale fatto storico era decisivo perché incide direttamente sulla plausibilità della lettura accolta dalla Corte. Se il processo Telecom c’è stato, non può ritenersi ragionevole attribuire all’articolo il significato neutro di un salvataggio dal processo. La locuzione “salvato” assume allora il significato che il Tribunale aveva correttamente individuato: salvataggio da una conseguenza penale sfavorevole, e dunque insinuazione di colpevolezza.</w:t>
      </w:r>
    </w:p>
    <w:p w14:paraId="590FF78C" w14:textId="4B2D82ED"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 xml:space="preserve">La Corte non ha ignorato genericamente un elemento probatorio, ma ha omesso l’esame del fatto storico principale che avrebbe imposto una diversa valutazione giuridica della locuzione utilizzata dall’articolo. Il fatto risulta dagli atti processuali e dalla stessa ricostruzione </w:t>
      </w:r>
      <w:r w:rsidRPr="000F53CB">
        <w:rPr>
          <w:rFonts w:asciiTheme="minorHAnsi" w:hAnsiTheme="minorHAnsi" w:cstheme="minorHAnsi"/>
        </w:rPr>
        <w:lastRenderedPageBreak/>
        <w:t>della vicenda contenuta nella sentenza di primo grado, richiamata negli atti difensivi del Mancini.</w:t>
      </w:r>
    </w:p>
    <w:p w14:paraId="549893F8" w14:textId="5356B417"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Non ricorre, inoltre, alcun ostacolo derivante dal principio della c.d. doppia conforme, poiché la sentenza d’appello ha riformato la decisione di primo grado proprio sul punto decisivo relativo al significato dell’espressione “salvato dal segreto di Stato”.</w:t>
      </w:r>
    </w:p>
    <w:p w14:paraId="7C717053" w14:textId="035EF6E5"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Il fatto omesso aveva costituito oggetto di discussione tra le parti. Gli appellanti avevano infatti sostenuto che il giornalista intendesse riferirsi alla salvezza dal processo; Mancini aveva replicato che tale tesi era infondata perché il processo si era svolto, quantomeno fino all’udienza preliminare e poi in Cassazione.</w:t>
      </w:r>
    </w:p>
    <w:p w14:paraId="26EF1B30" w14:textId="310A4BBC"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La Corte territoriale, pur recependo la tesi degli appellanti, non ha affrontato tale obiezione. Ne consegue il vizio di cui all’art. 360, co. 1 n. 5, Cod. proc. civ., poiché l’omesso esame di questo fatto ha determinato l’accoglimento dell’appello e il rigetto integrale delle domande del Mancini.</w:t>
      </w:r>
    </w:p>
    <w:p w14:paraId="3DF2BDA8" w14:textId="02C030D7" w:rsidR="006B7657" w:rsidRPr="000F53CB" w:rsidRDefault="00000000" w:rsidP="006741CC">
      <w:pPr>
        <w:pStyle w:val="p1"/>
        <w:numPr>
          <w:ilvl w:val="0"/>
          <w:numId w:val="23"/>
        </w:numPr>
        <w:tabs>
          <w:tab w:val="left" w:pos="426"/>
        </w:tabs>
        <w:spacing w:before="0" w:beforeAutospacing="0" w:after="0" w:afterAutospacing="0" w:line="360" w:lineRule="auto"/>
        <w:ind w:left="0" w:firstLine="0"/>
        <w:jc w:val="both"/>
        <w:rPr>
          <w:rFonts w:asciiTheme="minorHAnsi" w:hAnsiTheme="minorHAnsi" w:cstheme="minorHAnsi"/>
        </w:rPr>
      </w:pPr>
      <w:r w:rsidRPr="000F53CB">
        <w:rPr>
          <w:rFonts w:asciiTheme="minorHAnsi" w:hAnsiTheme="minorHAnsi" w:cstheme="minorHAnsi"/>
        </w:rPr>
        <w:t>Per tali ragioni la sentenza deve essere cassata, con rinvio alla Corte territoriale affinché esamini il fatto decisivo rappresentato dall’avvenuto svolgimento del procedimento Telecom nei confronti del ricorrente e ne tragga le conseguenze in ordine alla portata diffamatoria dell’espressione utilizzata nell’articolo.</w:t>
      </w:r>
    </w:p>
    <w:p w14:paraId="246298DF"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D. QUARTO MOTIVO</w:t>
      </w:r>
    </w:p>
    <w:p w14:paraId="758F5762"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4) Art. 360, co. 1 n. 3, Cod. proc. civ. – Violazione e falsa applicazione degli artt. 91 e 92 Cod. proc. civ. e dell’art. 5 D.M. n. 55/2014, in relazione alla liquidazione delle spese di lite.</w:t>
      </w:r>
    </w:p>
    <w:p w14:paraId="17184988"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1. Il quarto motivo viene proposto in via autonoma e comunque subordinata, con riferimento alla statuizione sulle spese di lite.</w:t>
      </w:r>
    </w:p>
    <w:p w14:paraId="19C9B4B5"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2. La Corte d’Appello ha posto a carico del Mancini le spese di entrambi i gradi, liquidandole, per il primo grado, d’ufficio in difetto di nota, secondo i criteri indicati dagli appellanti per il gravame, con riferimento allo scaglione euro 52.000,00 – 260.000,00, stante l’entità del risarcimento come domandato in primo grado.</w:t>
      </w:r>
    </w:p>
    <w:p w14:paraId="6A265679"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 xml:space="preserve">3. Tale statuizione viola i criteri di determinazione del valore della controversia ai fini della liquidazione dei compensi, poiché non considera il valore effettivo dell’oggetto devoluto e </w:t>
      </w:r>
      <w:r w:rsidRPr="000F53CB">
        <w:rPr>
          <w:rFonts w:asciiTheme="minorHAnsi" w:hAnsiTheme="minorHAnsi" w:cstheme="minorHAnsi"/>
        </w:rPr>
        <w:lastRenderedPageBreak/>
        <w:t>deciso nel giudizio di appello, né il fatto che gli stessi appellanti avevano indicato il valore del gravame in euro 14.400,00.</w:t>
      </w:r>
    </w:p>
    <w:p w14:paraId="5BD04E2D"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4. L’art. 5 D.M. n. 55/2014 prevede che, nei giudizi per pagamento di somme o liquidazione di danni, si abbia riguardo di norma alla somma attribuita alla parte vincitrice piuttosto che a quella domandata e, comunque, al valore effettivo della controversia quando manifestamente diverso da quello presunto.</w:t>
      </w:r>
    </w:p>
    <w:p w14:paraId="6153F59A"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5. Nel caso in esame l’oggetto effettivo dell’impugnazione non coincideva più con l’originaria domanda risarcitoria di euro 250.000,00, poiché il Tribunale aveva accolto la domanda nei limiti di euro 12.000,00 per danno non patrimoniale e di euro 2.400,00 per riparazione pecuniaria, oltre al capo di pubblicazione. Mancini non aveva proposto appello incidentale volto ad ottenere una maggiore liquidazione.</w:t>
      </w:r>
    </w:p>
    <w:p w14:paraId="6D020C4E"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6. Conseguentemente, il valore effettivo della controversia devoluta al giudice d’appello era quello dei capi di condanna impugnati dagli appellanti, come dagli stessi dichiarato nell’atto di citazione in appello, e non il petitum originario formulato in primo grado.</w:t>
      </w:r>
    </w:p>
    <w:p w14:paraId="029EF3BE"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7. Anche a voler distinguere tra spese di primo grado e spese di appello, la riforma integrale della decisione non consentiva di liquidare automaticamente le spese del primo grado facendo esclusivo riferimento alla domanda originaria, senza considerare il risultato effettivo del giudizio e il valore concreto della condanna oggetto di riforma.</w:t>
      </w:r>
    </w:p>
    <w:p w14:paraId="26F9669D"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8. La statuizione sulle spese risulta pertanto viziata per violazione dei parametri legali, con conseguente necessità di cassazione del relativo capo, quantomeno in via subordinata rispetto all’accoglimento dei motivi sul merito.</w:t>
      </w:r>
    </w:p>
    <w:p w14:paraId="48E25D6B"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ISTANZA DI DECISIONE</w:t>
      </w:r>
    </w:p>
    <w:p w14:paraId="2F26AE2F"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Per tutto quanto sopra esposto, il ricorrente insiste affinché l’Ecc.ma Suprema Corte voglia accogliere il presente ricorso, cassando la sentenza impugnata con ogni conseguente statuizione.</w:t>
      </w:r>
    </w:p>
    <w:p w14:paraId="79F51285"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CONCLUSIONI</w:t>
      </w:r>
    </w:p>
    <w:p w14:paraId="49D4632A"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lastRenderedPageBreak/>
        <w:t>In virtù di quanto sopra esposto, il Dott. Marco Mancini, come in rubrica rappresentato, difeso e domiciliato,</w:t>
      </w:r>
    </w:p>
    <w:p w14:paraId="73ED1CD8"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CHIEDE</w:t>
      </w:r>
    </w:p>
    <w:p w14:paraId="6A787B75"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che l’Ecc.ma Suprema Corte di Cassazione, ogni contraria istanza, deduzione ed eccezione respinta, voglia:</w:t>
      </w:r>
    </w:p>
    <w:p w14:paraId="2B253469" w14:textId="77777777" w:rsidR="006B7657" w:rsidRPr="000F53CB" w:rsidRDefault="00000000" w:rsidP="000F53CB">
      <w:pPr>
        <w:pStyle w:val="p1"/>
        <w:spacing w:line="360" w:lineRule="auto"/>
        <w:ind w:left="360" w:hanging="360"/>
        <w:jc w:val="both"/>
        <w:rPr>
          <w:rFonts w:asciiTheme="minorHAnsi" w:hAnsiTheme="minorHAnsi" w:cstheme="minorHAnsi"/>
        </w:rPr>
      </w:pPr>
      <w:r w:rsidRPr="000F53CB">
        <w:rPr>
          <w:rFonts w:asciiTheme="minorHAnsi" w:hAnsiTheme="minorHAnsi" w:cstheme="minorHAnsi"/>
        </w:rPr>
        <w:t>· accogliere il presente ricorso e, per l’effetto, cassare la sentenza della Corte d’Appello di Bologna, Seconda Sezione Civile, n. [</w:t>
      </w:r>
      <w:proofErr w:type="gramStart"/>
      <w:r w:rsidRPr="000F53CB">
        <w:rPr>
          <w:rFonts w:asciiTheme="minorHAnsi" w:hAnsiTheme="minorHAnsi" w:cstheme="minorHAnsi"/>
        </w:rPr>
        <w:t>●]/</w:t>
      </w:r>
      <w:proofErr w:type="gramEnd"/>
      <w:r w:rsidRPr="000F53CB">
        <w:rPr>
          <w:rFonts w:asciiTheme="minorHAnsi" w:hAnsiTheme="minorHAnsi" w:cstheme="minorHAnsi"/>
        </w:rPr>
        <w:t>2026, depositata in data [●], pronunciata nella causa R.G. 864/2025;</w:t>
      </w:r>
    </w:p>
    <w:p w14:paraId="4D58721E" w14:textId="77777777" w:rsidR="006B7657" w:rsidRPr="000F53CB" w:rsidRDefault="00000000" w:rsidP="000F53CB">
      <w:pPr>
        <w:pStyle w:val="p1"/>
        <w:spacing w:line="360" w:lineRule="auto"/>
        <w:ind w:left="360" w:hanging="360"/>
        <w:jc w:val="both"/>
        <w:rPr>
          <w:rFonts w:asciiTheme="minorHAnsi" w:hAnsiTheme="minorHAnsi" w:cstheme="minorHAnsi"/>
        </w:rPr>
      </w:pPr>
      <w:r w:rsidRPr="000F53CB">
        <w:rPr>
          <w:rFonts w:asciiTheme="minorHAnsi" w:hAnsiTheme="minorHAnsi" w:cstheme="minorHAnsi"/>
        </w:rPr>
        <w:t>· in via principale, decidendo nel merito ove ne ricorrano i presupposti, rigettare l’appello proposto da Gian Battista Barbacetto, Marco Travaglio e Società Editoriale Il Fatto S.p.A. avverso la sentenza n. 226/2025 del Tribunale Civile di Ravenna, con conferma delle statuizioni favorevoli al Dott. Mancini;</w:t>
      </w:r>
    </w:p>
    <w:p w14:paraId="551EB7CC" w14:textId="77777777" w:rsidR="006B7657" w:rsidRPr="000F53CB" w:rsidRDefault="00000000" w:rsidP="000F53CB">
      <w:pPr>
        <w:pStyle w:val="p1"/>
        <w:spacing w:line="360" w:lineRule="auto"/>
        <w:ind w:left="360" w:hanging="360"/>
        <w:jc w:val="both"/>
        <w:rPr>
          <w:rFonts w:asciiTheme="minorHAnsi" w:hAnsiTheme="minorHAnsi" w:cstheme="minorHAnsi"/>
        </w:rPr>
      </w:pPr>
      <w:r w:rsidRPr="000F53CB">
        <w:rPr>
          <w:rFonts w:asciiTheme="minorHAnsi" w:hAnsiTheme="minorHAnsi" w:cstheme="minorHAnsi"/>
        </w:rPr>
        <w:t>· in via subordinata, cassare la sentenza impugnata con rinvio alla Corte d’Appello competente, in diversa composizione, affinché decida attenendosi ai principi di diritto che saranno enunciati;</w:t>
      </w:r>
    </w:p>
    <w:p w14:paraId="167DF137" w14:textId="77777777" w:rsidR="006B7657" w:rsidRPr="000F53CB" w:rsidRDefault="00000000" w:rsidP="000F53CB">
      <w:pPr>
        <w:pStyle w:val="p1"/>
        <w:spacing w:line="360" w:lineRule="auto"/>
        <w:ind w:left="360" w:hanging="360"/>
        <w:jc w:val="both"/>
        <w:rPr>
          <w:rFonts w:asciiTheme="minorHAnsi" w:hAnsiTheme="minorHAnsi" w:cstheme="minorHAnsi"/>
        </w:rPr>
      </w:pPr>
      <w:r w:rsidRPr="000F53CB">
        <w:rPr>
          <w:rFonts w:asciiTheme="minorHAnsi" w:hAnsiTheme="minorHAnsi" w:cstheme="minorHAnsi"/>
        </w:rPr>
        <w:t>· in ogni caso, cassare il capo della sentenza relativo alla condanna restitutoria e alle spese, con ogni conseguente statuizione;</w:t>
      </w:r>
    </w:p>
    <w:p w14:paraId="789B983A" w14:textId="77777777" w:rsidR="006B7657" w:rsidRPr="000F53CB" w:rsidRDefault="00000000" w:rsidP="000F53CB">
      <w:pPr>
        <w:pStyle w:val="p1"/>
        <w:spacing w:line="360" w:lineRule="auto"/>
        <w:ind w:left="360" w:hanging="360"/>
        <w:jc w:val="both"/>
        <w:rPr>
          <w:rFonts w:asciiTheme="minorHAnsi" w:hAnsiTheme="minorHAnsi" w:cstheme="minorHAnsi"/>
        </w:rPr>
      </w:pPr>
      <w:r w:rsidRPr="000F53CB">
        <w:rPr>
          <w:rFonts w:asciiTheme="minorHAnsi" w:hAnsiTheme="minorHAnsi" w:cstheme="minorHAnsi"/>
        </w:rPr>
        <w:t>· con vittoria di spese, competenze e compensi professionali del presente giudizio, oltre spese forfettarie, IVA e CPA come per legge.</w:t>
      </w:r>
    </w:p>
    <w:p w14:paraId="042BF3B1"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b/>
        </w:rPr>
        <w:t>DOCUMENTI</w:t>
      </w:r>
    </w:p>
    <w:p w14:paraId="25308221"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Si depositano:</w:t>
      </w:r>
    </w:p>
    <w:p w14:paraId="50FCE1A3"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1) sentenza della Corte d’Appello di Bologna, Seconda Sezione Civile, n. [</w:t>
      </w:r>
      <w:proofErr w:type="gramStart"/>
      <w:r w:rsidRPr="000F53CB">
        <w:rPr>
          <w:rFonts w:asciiTheme="minorHAnsi" w:hAnsiTheme="minorHAnsi" w:cstheme="minorHAnsi"/>
        </w:rPr>
        <w:t>●]/</w:t>
      </w:r>
      <w:proofErr w:type="gramEnd"/>
      <w:r w:rsidRPr="000F53CB">
        <w:rPr>
          <w:rFonts w:asciiTheme="minorHAnsi" w:hAnsiTheme="minorHAnsi" w:cstheme="minorHAnsi"/>
        </w:rPr>
        <w:t>2026, depositata in data [●], qui impugnata;</w:t>
      </w:r>
    </w:p>
    <w:p w14:paraId="10690628"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2) sentenza n. 226/2025 del Tribunale Civile di Ravenna, pubblicata il 05.04.2025;</w:t>
      </w:r>
    </w:p>
    <w:p w14:paraId="281DDB23"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lastRenderedPageBreak/>
        <w:t>3) atto di citazione in appello notificato da Gian Battista Barbacetto, Marco Travaglio e Società Editoriale Il Fatto S.p.A.;</w:t>
      </w:r>
    </w:p>
    <w:p w14:paraId="1C6CA6CF"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4) comparsa di costituzione e risposta nell’interesse di Marco Mancini;</w:t>
      </w:r>
    </w:p>
    <w:p w14:paraId="0F48058E"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5) comparsa conclusionale nell’interesse di Marco Mancini;</w:t>
      </w:r>
    </w:p>
    <w:p w14:paraId="5909CE75"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6) memoria di replica nell’interesse di Marco Mancini;</w:t>
      </w:r>
    </w:p>
    <w:p w14:paraId="68424F58"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7) comparsa conclusionale degli appellanti;</w:t>
      </w:r>
    </w:p>
    <w:p w14:paraId="52EAD1F0"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8) memoria di replica degli appellanti;</w:t>
      </w:r>
    </w:p>
    <w:p w14:paraId="1584BE67"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9) articolo pubblicato su “Il Fatto Quotidiano” dell’08.10.2021 oggetto di causa;</w:t>
      </w:r>
    </w:p>
    <w:p w14:paraId="20894392"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10) documentazione relativa all’esecuzione della sentenza di primo grado e ai pagamenti eventualmente effettuati [se del caso].</w:t>
      </w:r>
    </w:p>
    <w:p w14:paraId="4CF1FCD3"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Il presente ricorso è stato redatto in conformità alle indicazioni contenute nel Protocollo sottoscritto in data 01.03.2023, nei limiti compatibili con l’esigenza di autosufficienza e specificità dei motivi di ricorso per cassazione.</w:t>
      </w:r>
    </w:p>
    <w:p w14:paraId="7A7CFABF" w14:textId="77777777" w:rsidR="006B7657" w:rsidRPr="000F53CB" w:rsidRDefault="00000000" w:rsidP="000F53CB">
      <w:pPr>
        <w:pStyle w:val="p1"/>
        <w:spacing w:line="360" w:lineRule="auto"/>
        <w:jc w:val="both"/>
        <w:rPr>
          <w:rFonts w:asciiTheme="minorHAnsi" w:hAnsiTheme="minorHAnsi" w:cstheme="minorHAnsi"/>
        </w:rPr>
      </w:pPr>
      <w:r w:rsidRPr="000F53CB">
        <w:rPr>
          <w:rFonts w:asciiTheme="minorHAnsi" w:hAnsiTheme="minorHAnsi" w:cstheme="minorHAnsi"/>
        </w:rPr>
        <w:t>Ravenna, lì [</w:t>
      </w:r>
      <w:proofErr w:type="gramStart"/>
      <w:r w:rsidRPr="000F53CB">
        <w:rPr>
          <w:rFonts w:asciiTheme="minorHAnsi" w:hAnsiTheme="minorHAnsi" w:cstheme="minorHAnsi"/>
        </w:rPr>
        <w:t xml:space="preserve">●]   </w:t>
      </w:r>
      <w:proofErr w:type="gramEnd"/>
      <w:r w:rsidRPr="000F53CB">
        <w:rPr>
          <w:rFonts w:asciiTheme="minorHAnsi" w:hAnsiTheme="minorHAnsi" w:cstheme="minorHAnsi"/>
        </w:rPr>
        <w:t xml:space="preserve">                                              Avv. Paolo de Miranda</w:t>
      </w:r>
    </w:p>
    <w:p w14:paraId="27AC7842" w14:textId="77777777" w:rsidR="006B7657" w:rsidRPr="000F53CB" w:rsidRDefault="006B7657" w:rsidP="000F53CB">
      <w:pPr>
        <w:pStyle w:val="p2"/>
        <w:spacing w:line="360" w:lineRule="auto"/>
        <w:jc w:val="both"/>
        <w:rPr>
          <w:rFonts w:asciiTheme="minorHAnsi" w:hAnsiTheme="minorHAnsi" w:cstheme="minorHAnsi"/>
        </w:rPr>
      </w:pPr>
    </w:p>
    <w:p w14:paraId="1E8E5405" w14:textId="77777777" w:rsidR="006B7657" w:rsidRPr="000F53CB" w:rsidRDefault="00000000" w:rsidP="000F53CB">
      <w:pPr>
        <w:pStyle w:val="p1"/>
        <w:spacing w:line="360" w:lineRule="auto"/>
        <w:rPr>
          <w:rFonts w:asciiTheme="minorHAnsi" w:hAnsiTheme="minorHAnsi" w:cstheme="minorHAnsi"/>
        </w:rPr>
      </w:pPr>
      <w:r w:rsidRPr="000F53CB">
        <w:rPr>
          <w:rFonts w:asciiTheme="minorHAnsi" w:hAnsiTheme="minorHAnsi" w:cstheme="minorHAnsi"/>
        </w:rPr>
        <w:t>[atto firmato digitalmente]</w:t>
      </w:r>
    </w:p>
    <w:sectPr w:rsidR="006B7657" w:rsidRPr="000F53CB" w:rsidSect="000F53CB">
      <w:headerReference w:type="default" r:id="rId8"/>
      <w:footerReference w:type="even" r:id="rId9"/>
      <w:footerReference w:type="default" r:id="rId10"/>
      <w:headerReference w:type="first" r:id="rId11"/>
      <w:pgSz w:w="11906" w:h="16838"/>
      <w:pgMar w:top="1418" w:right="1418" w:bottom="1741" w:left="1418"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91AA0" w14:textId="77777777" w:rsidR="006D56ED" w:rsidRDefault="006D56ED" w:rsidP="00DB19CA">
      <w:r>
        <w:separator/>
      </w:r>
    </w:p>
  </w:endnote>
  <w:endnote w:type="continuationSeparator" w:id="0">
    <w:p w14:paraId="51D47135" w14:textId="77777777" w:rsidR="006D56ED" w:rsidRDefault="006D56ED" w:rsidP="00DB1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Engravers MT">
    <w:panose1 w:val="020907070805050203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862653862"/>
      <w:docPartObj>
        <w:docPartGallery w:val="Page Numbers (Bottom of Page)"/>
        <w:docPartUnique/>
      </w:docPartObj>
    </w:sdtPr>
    <w:sdtContent>
      <w:p w14:paraId="4472C2AC" w14:textId="77777777" w:rsidR="00707EA9" w:rsidRDefault="00707EA9" w:rsidP="008571C6">
        <w:pPr>
          <w:pStyle w:val="Pidipagina"/>
          <w:framePr w:wrap="none" w:vAnchor="text" w:hAnchor="margin" w:xAlign="center"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01A31E73" w14:textId="77777777" w:rsidR="00DB19CA" w:rsidRDefault="00DB19C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sz w:val="20"/>
        <w:szCs w:val="20"/>
      </w:rPr>
      <w:id w:val="1146317514"/>
      <w:docPartObj>
        <w:docPartGallery w:val="Page Numbers (Bottom of Page)"/>
        <w:docPartUnique/>
      </w:docPartObj>
    </w:sdtPr>
    <w:sdtEndPr>
      <w:rPr>
        <w:rStyle w:val="Numeropagina"/>
        <w:rFonts w:asciiTheme="minorHAnsi" w:hAnsiTheme="minorHAnsi" w:cstheme="minorHAnsi"/>
      </w:rPr>
    </w:sdtEndPr>
    <w:sdtContent>
      <w:p w14:paraId="7D613F07" w14:textId="77777777" w:rsidR="00707EA9" w:rsidRPr="00823685" w:rsidRDefault="00707EA9" w:rsidP="008571C6">
        <w:pPr>
          <w:pStyle w:val="Pidipagina"/>
          <w:framePr w:wrap="none" w:vAnchor="text" w:hAnchor="margin" w:xAlign="center" w:y="1"/>
          <w:rPr>
            <w:rStyle w:val="Numeropagina"/>
            <w:rFonts w:asciiTheme="minorHAnsi" w:hAnsiTheme="minorHAnsi" w:cstheme="minorHAnsi"/>
            <w:sz w:val="20"/>
            <w:szCs w:val="20"/>
          </w:rPr>
        </w:pPr>
        <w:r w:rsidRPr="00823685">
          <w:rPr>
            <w:rStyle w:val="Numeropagina"/>
            <w:rFonts w:asciiTheme="minorHAnsi" w:hAnsiTheme="minorHAnsi" w:cstheme="minorHAnsi"/>
            <w:sz w:val="20"/>
            <w:szCs w:val="20"/>
          </w:rPr>
          <w:fldChar w:fldCharType="begin"/>
        </w:r>
        <w:r w:rsidRPr="00823685">
          <w:rPr>
            <w:rStyle w:val="Numeropagina"/>
            <w:rFonts w:asciiTheme="minorHAnsi" w:hAnsiTheme="minorHAnsi" w:cstheme="minorHAnsi"/>
            <w:sz w:val="20"/>
            <w:szCs w:val="20"/>
          </w:rPr>
          <w:instrText xml:space="preserve"> PAGE </w:instrText>
        </w:r>
        <w:r w:rsidRPr="00823685">
          <w:rPr>
            <w:rStyle w:val="Numeropagina"/>
            <w:rFonts w:asciiTheme="minorHAnsi" w:hAnsiTheme="minorHAnsi" w:cstheme="minorHAnsi"/>
            <w:sz w:val="20"/>
            <w:szCs w:val="20"/>
          </w:rPr>
          <w:fldChar w:fldCharType="separate"/>
        </w:r>
        <w:r w:rsidRPr="00823685">
          <w:rPr>
            <w:rStyle w:val="Numeropagina"/>
            <w:rFonts w:asciiTheme="minorHAnsi" w:hAnsiTheme="minorHAnsi" w:cstheme="minorHAnsi"/>
            <w:noProof/>
            <w:sz w:val="20"/>
            <w:szCs w:val="20"/>
          </w:rPr>
          <w:t>2</w:t>
        </w:r>
        <w:r w:rsidRPr="00823685">
          <w:rPr>
            <w:rStyle w:val="Numeropagina"/>
            <w:rFonts w:asciiTheme="minorHAnsi" w:hAnsiTheme="minorHAnsi" w:cstheme="minorHAnsi"/>
            <w:sz w:val="20"/>
            <w:szCs w:val="20"/>
          </w:rPr>
          <w:fldChar w:fldCharType="end"/>
        </w:r>
      </w:p>
    </w:sdtContent>
  </w:sdt>
  <w:p w14:paraId="16BBDDD7" w14:textId="77777777" w:rsidR="00DB19CA" w:rsidRPr="00823685" w:rsidRDefault="00DB19CA">
    <w:pPr>
      <w:pStyle w:val="Pidipagina"/>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64DE" w14:textId="77777777" w:rsidR="006D56ED" w:rsidRDefault="006D56ED" w:rsidP="00DB19CA">
      <w:r>
        <w:separator/>
      </w:r>
    </w:p>
  </w:footnote>
  <w:footnote w:type="continuationSeparator" w:id="0">
    <w:p w14:paraId="73B8CD86" w14:textId="77777777" w:rsidR="006D56ED" w:rsidRDefault="006D56ED" w:rsidP="00DB1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C6ADE" w14:textId="77777777" w:rsidR="000F53CB" w:rsidRPr="00D000AF" w:rsidRDefault="000F53CB" w:rsidP="000F53CB">
    <w:pPr>
      <w:pStyle w:val="Intestazione"/>
      <w:spacing w:before="240"/>
      <w:ind w:left="-1418" w:right="-1418"/>
      <w:jc w:val="center"/>
    </w:pPr>
    <w:r w:rsidRPr="00D000AF">
      <w:t xml:space="preserve">AVV. PAOLO </w:t>
    </w:r>
    <w:r w:rsidRPr="00D000AF">
      <w:rPr>
        <w:sz w:val="20"/>
        <w:szCs w:val="20"/>
      </w:rPr>
      <w:t>DE</w:t>
    </w:r>
    <w:r w:rsidRPr="00D000AF">
      <w:t xml:space="preserve"> MIRANDA        </w:t>
    </w:r>
    <w:r>
      <w:t xml:space="preserve">              </w:t>
    </w:r>
    <w:r w:rsidRPr="00D000AF">
      <w:t xml:space="preserve">          AVV. LUIGI PANELLA </w:t>
    </w:r>
  </w:p>
  <w:p w14:paraId="2EC1886A" w14:textId="6236B721" w:rsidR="00DB19CA" w:rsidRPr="000F53CB" w:rsidRDefault="00DB19CA" w:rsidP="000F53C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2D75" w14:textId="77777777" w:rsidR="000F53CB" w:rsidRDefault="000F53CB" w:rsidP="000F53CB">
    <w:pPr>
      <w:ind w:left="-1418" w:right="-2948"/>
      <w:jc w:val="center"/>
      <w:rPr>
        <w:rFonts w:ascii="Engravers MT" w:hAnsi="Engravers MT"/>
        <w:sz w:val="12"/>
        <w:szCs w:val="12"/>
        <w:lang w:eastAsia="en-US"/>
      </w:rPr>
    </w:pPr>
    <w:bookmarkStart w:id="0" w:name="OLE_LINK7"/>
    <w:bookmarkStart w:id="1" w:name="OLE_LINK8"/>
    <w:bookmarkStart w:id="2" w:name="_Hlk285428129"/>
    <w:bookmarkStart w:id="3" w:name="OLE_LINK11"/>
    <w:bookmarkStart w:id="4" w:name="OLE_LINK12"/>
    <w:bookmarkStart w:id="5" w:name="_Hlk285428254"/>
  </w:p>
  <w:bookmarkEnd w:id="0"/>
  <w:bookmarkEnd w:id="1"/>
  <w:bookmarkEnd w:id="2"/>
  <w:bookmarkEnd w:id="3"/>
  <w:bookmarkEnd w:id="4"/>
  <w:bookmarkEnd w:id="5"/>
  <w:p w14:paraId="690EBD5D" w14:textId="77777777" w:rsidR="000F53CB" w:rsidRDefault="000F53CB" w:rsidP="000F53CB">
    <w:pPr>
      <w:pStyle w:val="Intestazione"/>
      <w:tabs>
        <w:tab w:val="clear" w:pos="9638"/>
      </w:tabs>
      <w:ind w:left="-1418" w:right="-1418"/>
      <w:jc w:val="center"/>
      <w:rPr>
        <w:sz w:val="28"/>
        <w:szCs w:val="28"/>
      </w:rPr>
    </w:pPr>
    <w:r>
      <w:rPr>
        <w:sz w:val="28"/>
        <w:szCs w:val="28"/>
      </w:rPr>
      <w:t xml:space="preserve">AVV. PAOLO </w:t>
    </w:r>
    <w:r w:rsidRPr="00345B82">
      <w:rPr>
        <w:sz w:val="22"/>
        <w:szCs w:val="22"/>
      </w:rPr>
      <w:t>DE</w:t>
    </w:r>
    <w:r>
      <w:rPr>
        <w:sz w:val="28"/>
        <w:szCs w:val="28"/>
      </w:rPr>
      <w:t xml:space="preserve"> MIRANDA                           AVV. LUIGI PANELLA</w:t>
    </w:r>
  </w:p>
  <w:p w14:paraId="75838D25" w14:textId="77777777" w:rsidR="000F53CB" w:rsidRDefault="000F53CB" w:rsidP="000F53CB">
    <w:pPr>
      <w:pStyle w:val="Intestazione"/>
      <w:tabs>
        <w:tab w:val="clear" w:pos="4819"/>
        <w:tab w:val="clear" w:pos="9638"/>
        <w:tab w:val="center" w:pos="4962"/>
      </w:tabs>
      <w:ind w:left="-1418" w:right="-1418"/>
      <w:jc w:val="center"/>
      <w:rPr>
        <w:sz w:val="28"/>
        <w:szCs w:val="28"/>
      </w:rPr>
    </w:pPr>
    <w:r>
      <w:rPr>
        <w:i/>
      </w:rPr>
      <w:t xml:space="preserve">via Girotto </w:t>
    </w:r>
    <w:proofErr w:type="spellStart"/>
    <w:r>
      <w:rPr>
        <w:i/>
      </w:rPr>
      <w:t>Guaccimanni</w:t>
    </w:r>
    <w:proofErr w:type="spellEnd"/>
    <w:r>
      <w:rPr>
        <w:i/>
      </w:rPr>
      <w:t xml:space="preserve"> 25, Ravenna                               via IV Novembre 96, Roma</w:t>
    </w:r>
  </w:p>
  <w:p w14:paraId="52CAC804" w14:textId="77777777" w:rsidR="000F53CB" w:rsidRPr="003805DB" w:rsidRDefault="000F53CB" w:rsidP="000F53CB">
    <w:pPr>
      <w:pStyle w:val="Intestazione"/>
      <w:tabs>
        <w:tab w:val="clear" w:pos="9638"/>
      </w:tabs>
      <w:ind w:left="-1418" w:right="-1418"/>
      <w:jc w:val="center"/>
    </w:pPr>
  </w:p>
  <w:p w14:paraId="70D43CFB" w14:textId="77777777" w:rsidR="00DB19CA" w:rsidRPr="000F53CB" w:rsidRDefault="00DB19CA" w:rsidP="000F53C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A56EB"/>
    <w:multiLevelType w:val="hybridMultilevel"/>
    <w:tmpl w:val="8C46E88A"/>
    <w:lvl w:ilvl="0" w:tplc="529824BE">
      <w:start w:val="1"/>
      <w:numFmt w:val="none"/>
      <w:lvlText w:val="1."/>
      <w:lvlJc w:val="left"/>
      <w:pPr>
        <w:ind w:left="720" w:hanging="360"/>
      </w:pPr>
      <w:rPr>
        <w:rFonts w:hint="default"/>
        <w:b/>
        <w:i w:val="0"/>
        <w:iCs w:val="0"/>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AAF7F52"/>
    <w:multiLevelType w:val="hybridMultilevel"/>
    <w:tmpl w:val="9D22B696"/>
    <w:lvl w:ilvl="0" w:tplc="8DCE819E">
      <w:start w:val="1"/>
      <w:numFmt w:val="decimal"/>
      <w:lvlText w:val="%1."/>
      <w:lvlJc w:val="left"/>
      <w:pPr>
        <w:ind w:left="720" w:hanging="360"/>
      </w:pPr>
      <w:rPr>
        <w:rFonts w:hint="default"/>
        <w:b/>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BBA21D3"/>
    <w:multiLevelType w:val="hybridMultilevel"/>
    <w:tmpl w:val="A2983EB2"/>
    <w:lvl w:ilvl="0" w:tplc="9CA27830">
      <w:numFmt w:val="bullet"/>
      <w:lvlText w:val="-"/>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CD5788F"/>
    <w:multiLevelType w:val="multilevel"/>
    <w:tmpl w:val="5DF60AB0"/>
    <w:lvl w:ilvl="0">
      <w:start w:val="1"/>
      <w:numFmt w:val="bullet"/>
      <w:lvlText w:val=""/>
      <w:lvlJc w:val="left"/>
      <w:pPr>
        <w:ind w:left="1260" w:hanging="360"/>
      </w:pPr>
      <w:rPr>
        <w:rFonts w:ascii="Symbol" w:hAnsi="Symbol" w:hint="default"/>
        <w:b/>
        <w:i w:val="0"/>
      </w:rPr>
    </w:lvl>
    <w:lvl w:ilvl="1">
      <w:start w:val="1"/>
      <w:numFmt w:val="decimal"/>
      <w:isLgl/>
      <w:lvlText w:val="%1.%2"/>
      <w:lvlJc w:val="left"/>
      <w:pPr>
        <w:ind w:left="1320" w:hanging="420"/>
      </w:pPr>
      <w:rPr>
        <w:rFonts w:hint="default"/>
        <w:b/>
        <w:sz w:val="24"/>
      </w:rPr>
    </w:lvl>
    <w:lvl w:ilvl="2">
      <w:start w:val="1"/>
      <w:numFmt w:val="decimal"/>
      <w:isLgl/>
      <w:lvlText w:val="%1.%2.%3"/>
      <w:lvlJc w:val="left"/>
      <w:pPr>
        <w:ind w:left="1620" w:hanging="720"/>
      </w:pPr>
      <w:rPr>
        <w:rFonts w:hint="default"/>
        <w:b/>
        <w:sz w:val="24"/>
      </w:rPr>
    </w:lvl>
    <w:lvl w:ilvl="3">
      <w:start w:val="1"/>
      <w:numFmt w:val="decimal"/>
      <w:isLgl/>
      <w:lvlText w:val="%1.%2.%3.%4"/>
      <w:lvlJc w:val="left"/>
      <w:pPr>
        <w:ind w:left="1620" w:hanging="720"/>
      </w:pPr>
      <w:rPr>
        <w:rFonts w:hint="default"/>
        <w:b/>
        <w:sz w:val="24"/>
      </w:rPr>
    </w:lvl>
    <w:lvl w:ilvl="4">
      <w:start w:val="1"/>
      <w:numFmt w:val="decimal"/>
      <w:isLgl/>
      <w:lvlText w:val="%1.%2.%3.%4.%5"/>
      <w:lvlJc w:val="left"/>
      <w:pPr>
        <w:ind w:left="1980" w:hanging="1080"/>
      </w:pPr>
      <w:rPr>
        <w:rFonts w:hint="default"/>
        <w:b/>
        <w:sz w:val="24"/>
      </w:rPr>
    </w:lvl>
    <w:lvl w:ilvl="5">
      <w:start w:val="1"/>
      <w:numFmt w:val="decimal"/>
      <w:isLgl/>
      <w:lvlText w:val="%1.%2.%3.%4.%5.%6"/>
      <w:lvlJc w:val="left"/>
      <w:pPr>
        <w:ind w:left="1980" w:hanging="1080"/>
      </w:pPr>
      <w:rPr>
        <w:rFonts w:hint="default"/>
        <w:b/>
        <w:sz w:val="24"/>
      </w:rPr>
    </w:lvl>
    <w:lvl w:ilvl="6">
      <w:start w:val="1"/>
      <w:numFmt w:val="decimal"/>
      <w:isLgl/>
      <w:lvlText w:val="%1.%2.%3.%4.%5.%6.%7"/>
      <w:lvlJc w:val="left"/>
      <w:pPr>
        <w:ind w:left="2340" w:hanging="1440"/>
      </w:pPr>
      <w:rPr>
        <w:rFonts w:hint="default"/>
        <w:b/>
        <w:sz w:val="24"/>
      </w:rPr>
    </w:lvl>
    <w:lvl w:ilvl="7">
      <w:start w:val="1"/>
      <w:numFmt w:val="decimal"/>
      <w:isLgl/>
      <w:lvlText w:val="%1.%2.%3.%4.%5.%6.%7.%8"/>
      <w:lvlJc w:val="left"/>
      <w:pPr>
        <w:ind w:left="2340" w:hanging="1440"/>
      </w:pPr>
      <w:rPr>
        <w:rFonts w:hint="default"/>
        <w:b/>
        <w:sz w:val="24"/>
      </w:rPr>
    </w:lvl>
    <w:lvl w:ilvl="8">
      <w:start w:val="1"/>
      <w:numFmt w:val="decimal"/>
      <w:isLgl/>
      <w:lvlText w:val="%1.%2.%3.%4.%5.%6.%7.%8.%9"/>
      <w:lvlJc w:val="left"/>
      <w:pPr>
        <w:ind w:left="2340" w:hanging="1440"/>
      </w:pPr>
      <w:rPr>
        <w:rFonts w:hint="default"/>
        <w:b/>
        <w:sz w:val="24"/>
      </w:rPr>
    </w:lvl>
  </w:abstractNum>
  <w:abstractNum w:abstractNumId="4" w15:restartNumberingAfterBreak="0">
    <w:nsid w:val="0DBD4FF3"/>
    <w:multiLevelType w:val="hybridMultilevel"/>
    <w:tmpl w:val="D8E8F3A6"/>
    <w:lvl w:ilvl="0" w:tplc="1B24B078">
      <w:start w:val="1"/>
      <w:numFmt w:val="decimal"/>
      <w:lvlText w:val="%1."/>
      <w:lvlJc w:val="left"/>
      <w:pPr>
        <w:ind w:left="720" w:hanging="360"/>
      </w:pPr>
      <w:rPr>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0DD1EE4"/>
    <w:multiLevelType w:val="multilevel"/>
    <w:tmpl w:val="E6468FF4"/>
    <w:lvl w:ilvl="0">
      <w:numFmt w:val="bullet"/>
      <w:lvlText w:val="-"/>
      <w:lvlJc w:val="left"/>
      <w:pPr>
        <w:ind w:left="1260" w:hanging="360"/>
      </w:pPr>
      <w:rPr>
        <w:rFonts w:hint="default"/>
        <w:b/>
        <w:i w:val="0"/>
      </w:rPr>
    </w:lvl>
    <w:lvl w:ilvl="1">
      <w:start w:val="1"/>
      <w:numFmt w:val="decimal"/>
      <w:isLgl/>
      <w:lvlText w:val="%1.%2"/>
      <w:lvlJc w:val="left"/>
      <w:pPr>
        <w:ind w:left="1320" w:hanging="420"/>
      </w:pPr>
      <w:rPr>
        <w:rFonts w:hint="default"/>
        <w:b/>
        <w:sz w:val="24"/>
      </w:rPr>
    </w:lvl>
    <w:lvl w:ilvl="2">
      <w:start w:val="1"/>
      <w:numFmt w:val="decimal"/>
      <w:isLgl/>
      <w:lvlText w:val="%1.%2.%3"/>
      <w:lvlJc w:val="left"/>
      <w:pPr>
        <w:ind w:left="1620" w:hanging="720"/>
      </w:pPr>
      <w:rPr>
        <w:rFonts w:hint="default"/>
        <w:b/>
        <w:sz w:val="24"/>
      </w:rPr>
    </w:lvl>
    <w:lvl w:ilvl="3">
      <w:start w:val="1"/>
      <w:numFmt w:val="decimal"/>
      <w:isLgl/>
      <w:lvlText w:val="%1.%2.%3.%4"/>
      <w:lvlJc w:val="left"/>
      <w:pPr>
        <w:ind w:left="1620" w:hanging="720"/>
      </w:pPr>
      <w:rPr>
        <w:rFonts w:hint="default"/>
        <w:b/>
        <w:sz w:val="24"/>
      </w:rPr>
    </w:lvl>
    <w:lvl w:ilvl="4">
      <w:start w:val="1"/>
      <w:numFmt w:val="decimal"/>
      <w:isLgl/>
      <w:lvlText w:val="%1.%2.%3.%4.%5"/>
      <w:lvlJc w:val="left"/>
      <w:pPr>
        <w:ind w:left="1980" w:hanging="1080"/>
      </w:pPr>
      <w:rPr>
        <w:rFonts w:hint="default"/>
        <w:b/>
        <w:sz w:val="24"/>
      </w:rPr>
    </w:lvl>
    <w:lvl w:ilvl="5">
      <w:start w:val="1"/>
      <w:numFmt w:val="decimal"/>
      <w:isLgl/>
      <w:lvlText w:val="%1.%2.%3.%4.%5.%6"/>
      <w:lvlJc w:val="left"/>
      <w:pPr>
        <w:ind w:left="1980" w:hanging="1080"/>
      </w:pPr>
      <w:rPr>
        <w:rFonts w:hint="default"/>
        <w:b/>
        <w:sz w:val="24"/>
      </w:rPr>
    </w:lvl>
    <w:lvl w:ilvl="6">
      <w:start w:val="1"/>
      <w:numFmt w:val="decimal"/>
      <w:isLgl/>
      <w:lvlText w:val="%1.%2.%3.%4.%5.%6.%7"/>
      <w:lvlJc w:val="left"/>
      <w:pPr>
        <w:ind w:left="2340" w:hanging="1440"/>
      </w:pPr>
      <w:rPr>
        <w:rFonts w:hint="default"/>
        <w:b/>
        <w:sz w:val="24"/>
      </w:rPr>
    </w:lvl>
    <w:lvl w:ilvl="7">
      <w:start w:val="1"/>
      <w:numFmt w:val="decimal"/>
      <w:isLgl/>
      <w:lvlText w:val="%1.%2.%3.%4.%5.%6.%7.%8"/>
      <w:lvlJc w:val="left"/>
      <w:pPr>
        <w:ind w:left="2340" w:hanging="1440"/>
      </w:pPr>
      <w:rPr>
        <w:rFonts w:hint="default"/>
        <w:b/>
        <w:sz w:val="24"/>
      </w:rPr>
    </w:lvl>
    <w:lvl w:ilvl="8">
      <w:start w:val="1"/>
      <w:numFmt w:val="decimal"/>
      <w:isLgl/>
      <w:lvlText w:val="%1.%2.%3.%4.%5.%6.%7.%8.%9"/>
      <w:lvlJc w:val="left"/>
      <w:pPr>
        <w:ind w:left="2340" w:hanging="1440"/>
      </w:pPr>
      <w:rPr>
        <w:rFonts w:hint="default"/>
        <w:b/>
        <w:sz w:val="24"/>
      </w:rPr>
    </w:lvl>
  </w:abstractNum>
  <w:abstractNum w:abstractNumId="6" w15:restartNumberingAfterBreak="0">
    <w:nsid w:val="1AC5326D"/>
    <w:multiLevelType w:val="hybridMultilevel"/>
    <w:tmpl w:val="E8D60412"/>
    <w:lvl w:ilvl="0" w:tplc="0410000F">
      <w:start w:val="1"/>
      <w:numFmt w:val="decimal"/>
      <w:lvlText w:val="%1."/>
      <w:lvlJc w:val="left"/>
      <w:pPr>
        <w:ind w:left="720" w:hanging="360"/>
      </w:pPr>
      <w:rPr>
        <w:rFonts w:hint="default"/>
        <w:b/>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5B84701"/>
    <w:multiLevelType w:val="hybridMultilevel"/>
    <w:tmpl w:val="62802FA2"/>
    <w:lvl w:ilvl="0" w:tplc="5FEC6320">
      <w:start w:val="1"/>
      <w:numFmt w:val="bullet"/>
      <w:lvlText w:val="·"/>
      <w:lvlJc w:val="left"/>
      <w:pPr>
        <w:ind w:left="0" w:hanging="360"/>
      </w:pPr>
      <w:rPr>
        <w:rFonts w:ascii="Calibri" w:eastAsia="Times New Roman" w:hAnsi="Calibri" w:cs="Calibri" w:hint="default"/>
      </w:rPr>
    </w:lvl>
    <w:lvl w:ilvl="1" w:tplc="04100003" w:tentative="1">
      <w:start w:val="1"/>
      <w:numFmt w:val="bullet"/>
      <w:lvlText w:val="o"/>
      <w:lvlJc w:val="left"/>
      <w:pPr>
        <w:ind w:left="720" w:hanging="360"/>
      </w:pPr>
      <w:rPr>
        <w:rFonts w:ascii="Courier New" w:hAnsi="Courier New" w:cs="Courier New" w:hint="default"/>
      </w:rPr>
    </w:lvl>
    <w:lvl w:ilvl="2" w:tplc="04100005" w:tentative="1">
      <w:start w:val="1"/>
      <w:numFmt w:val="bullet"/>
      <w:lvlText w:val=""/>
      <w:lvlJc w:val="left"/>
      <w:pPr>
        <w:ind w:left="1440" w:hanging="360"/>
      </w:pPr>
      <w:rPr>
        <w:rFonts w:ascii="Wingdings" w:hAnsi="Wingdings" w:hint="default"/>
      </w:rPr>
    </w:lvl>
    <w:lvl w:ilvl="3" w:tplc="04100001" w:tentative="1">
      <w:start w:val="1"/>
      <w:numFmt w:val="bullet"/>
      <w:lvlText w:val=""/>
      <w:lvlJc w:val="left"/>
      <w:pPr>
        <w:ind w:left="2160" w:hanging="360"/>
      </w:pPr>
      <w:rPr>
        <w:rFonts w:ascii="Symbol" w:hAnsi="Symbol" w:hint="default"/>
      </w:rPr>
    </w:lvl>
    <w:lvl w:ilvl="4" w:tplc="04100003" w:tentative="1">
      <w:start w:val="1"/>
      <w:numFmt w:val="bullet"/>
      <w:lvlText w:val="o"/>
      <w:lvlJc w:val="left"/>
      <w:pPr>
        <w:ind w:left="2880" w:hanging="360"/>
      </w:pPr>
      <w:rPr>
        <w:rFonts w:ascii="Courier New" w:hAnsi="Courier New" w:cs="Courier New" w:hint="default"/>
      </w:rPr>
    </w:lvl>
    <w:lvl w:ilvl="5" w:tplc="04100005" w:tentative="1">
      <w:start w:val="1"/>
      <w:numFmt w:val="bullet"/>
      <w:lvlText w:val=""/>
      <w:lvlJc w:val="left"/>
      <w:pPr>
        <w:ind w:left="3600" w:hanging="360"/>
      </w:pPr>
      <w:rPr>
        <w:rFonts w:ascii="Wingdings" w:hAnsi="Wingdings" w:hint="default"/>
      </w:rPr>
    </w:lvl>
    <w:lvl w:ilvl="6" w:tplc="04100001" w:tentative="1">
      <w:start w:val="1"/>
      <w:numFmt w:val="bullet"/>
      <w:lvlText w:val=""/>
      <w:lvlJc w:val="left"/>
      <w:pPr>
        <w:ind w:left="4320" w:hanging="360"/>
      </w:pPr>
      <w:rPr>
        <w:rFonts w:ascii="Symbol" w:hAnsi="Symbol" w:hint="default"/>
      </w:rPr>
    </w:lvl>
    <w:lvl w:ilvl="7" w:tplc="04100003" w:tentative="1">
      <w:start w:val="1"/>
      <w:numFmt w:val="bullet"/>
      <w:lvlText w:val="o"/>
      <w:lvlJc w:val="left"/>
      <w:pPr>
        <w:ind w:left="5040" w:hanging="360"/>
      </w:pPr>
      <w:rPr>
        <w:rFonts w:ascii="Courier New" w:hAnsi="Courier New" w:cs="Courier New" w:hint="default"/>
      </w:rPr>
    </w:lvl>
    <w:lvl w:ilvl="8" w:tplc="04100005" w:tentative="1">
      <w:start w:val="1"/>
      <w:numFmt w:val="bullet"/>
      <w:lvlText w:val=""/>
      <w:lvlJc w:val="left"/>
      <w:pPr>
        <w:ind w:left="5760" w:hanging="360"/>
      </w:pPr>
      <w:rPr>
        <w:rFonts w:ascii="Wingdings" w:hAnsi="Wingdings" w:hint="default"/>
      </w:rPr>
    </w:lvl>
  </w:abstractNum>
  <w:abstractNum w:abstractNumId="8" w15:restartNumberingAfterBreak="0">
    <w:nsid w:val="2AF94563"/>
    <w:multiLevelType w:val="hybridMultilevel"/>
    <w:tmpl w:val="4BE28228"/>
    <w:lvl w:ilvl="0" w:tplc="8DCE819E">
      <w:start w:val="1"/>
      <w:numFmt w:val="decimal"/>
      <w:lvlText w:val="%1."/>
      <w:lvlJc w:val="left"/>
      <w:pPr>
        <w:ind w:left="720" w:hanging="360"/>
      </w:pPr>
      <w:rPr>
        <w:rFonts w:hint="default"/>
        <w:b/>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441502F"/>
    <w:multiLevelType w:val="hybridMultilevel"/>
    <w:tmpl w:val="EB6AF5D2"/>
    <w:lvl w:ilvl="0" w:tplc="A6685E94">
      <w:start w:val="1"/>
      <w:numFmt w:val="decimal"/>
      <w:lvlText w:val="%1)"/>
      <w:lvlJc w:val="left"/>
      <w:pPr>
        <w:ind w:left="720" w:hanging="360"/>
      </w:pPr>
      <w:rPr>
        <w:rFonts w:hint="default"/>
        <w:b/>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914D8A"/>
    <w:multiLevelType w:val="hybridMultilevel"/>
    <w:tmpl w:val="E1BA390E"/>
    <w:lvl w:ilvl="0" w:tplc="A6685E94">
      <w:start w:val="1"/>
      <w:numFmt w:val="decimal"/>
      <w:lvlText w:val="%1)"/>
      <w:lvlJc w:val="left"/>
      <w:pPr>
        <w:ind w:left="780" w:hanging="42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93616DE"/>
    <w:multiLevelType w:val="hybridMultilevel"/>
    <w:tmpl w:val="4D1483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4AF302D"/>
    <w:multiLevelType w:val="hybridMultilevel"/>
    <w:tmpl w:val="3844E5B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4CA93CE4"/>
    <w:multiLevelType w:val="hybridMultilevel"/>
    <w:tmpl w:val="5CE66272"/>
    <w:lvl w:ilvl="0" w:tplc="04100011">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D7F45E2"/>
    <w:multiLevelType w:val="hybridMultilevel"/>
    <w:tmpl w:val="10F86ABE"/>
    <w:lvl w:ilvl="0" w:tplc="79504EE8">
      <w:start w:val="1"/>
      <w:numFmt w:val="decimal"/>
      <w:lvlText w:val="%1."/>
      <w:lvlJc w:val="left"/>
      <w:pPr>
        <w:ind w:left="720" w:hanging="360"/>
      </w:pPr>
      <w:rPr>
        <w:rFonts w:hint="default"/>
        <w:b/>
        <w:i w:val="0"/>
        <w:iCs w:val="0"/>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5FE36E4"/>
    <w:multiLevelType w:val="hybridMultilevel"/>
    <w:tmpl w:val="40C6574C"/>
    <w:lvl w:ilvl="0" w:tplc="53204C98">
      <w:start w:val="1"/>
      <w:numFmt w:val="upperLetter"/>
      <w:lvlText w:val="%1."/>
      <w:lvlJc w:val="left"/>
      <w:rPr>
        <w:rFonts w:ascii="Calibri" w:hAnsi="Calibri" w:cs="Calibri"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20405C7"/>
    <w:multiLevelType w:val="hybridMultilevel"/>
    <w:tmpl w:val="F0A0BE86"/>
    <w:lvl w:ilvl="0" w:tplc="BE0ED31C">
      <w:start w:val="1"/>
      <w:numFmt w:val="decimal"/>
      <w:lvlText w:val="%1."/>
      <w:lvlJc w:val="left"/>
      <w:pPr>
        <w:ind w:left="720" w:hanging="360"/>
      </w:pPr>
      <w:rPr>
        <w:rFonts w:asciiTheme="minorHAnsi" w:hAnsiTheme="minorHAnsi" w:cstheme="minorHAnsi" w:hint="default"/>
        <w:b/>
        <w:bCs/>
        <w:i w:val="0"/>
        <w:iCs w:val="0"/>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62BB7746"/>
    <w:multiLevelType w:val="hybridMultilevel"/>
    <w:tmpl w:val="929C0046"/>
    <w:lvl w:ilvl="0" w:tplc="A6685E94">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68CE6AB7"/>
    <w:multiLevelType w:val="hybridMultilevel"/>
    <w:tmpl w:val="A768B0B2"/>
    <w:lvl w:ilvl="0" w:tplc="2D0A45B8">
      <w:start w:val="1"/>
      <w:numFmt w:val="decimal"/>
      <w:lvlText w:val="%1)"/>
      <w:lvlJc w:val="left"/>
      <w:pPr>
        <w:ind w:left="720" w:hanging="360"/>
      </w:pPr>
      <w:rPr>
        <w:rFonts w:hint="default"/>
        <w:b/>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6B340A0B"/>
    <w:multiLevelType w:val="multilevel"/>
    <w:tmpl w:val="5B346F94"/>
    <w:lvl w:ilvl="0">
      <w:start w:val="1"/>
      <w:numFmt w:val="decimal"/>
      <w:lvlText w:val="%1."/>
      <w:lvlJc w:val="left"/>
      <w:pPr>
        <w:tabs>
          <w:tab w:val="num" w:pos="1260"/>
        </w:tabs>
        <w:ind w:left="1260" w:hanging="360"/>
      </w:pPr>
      <w:rPr>
        <w:b/>
        <w:i w:val="0"/>
      </w:rPr>
    </w:lvl>
    <w:lvl w:ilvl="1">
      <w:start w:val="1"/>
      <w:numFmt w:val="decimal"/>
      <w:isLgl/>
      <w:lvlText w:val="%1.%2"/>
      <w:lvlJc w:val="left"/>
      <w:pPr>
        <w:ind w:left="1320" w:hanging="420"/>
      </w:pPr>
      <w:rPr>
        <w:rFonts w:hint="default"/>
        <w:b/>
        <w:sz w:val="24"/>
      </w:rPr>
    </w:lvl>
    <w:lvl w:ilvl="2">
      <w:start w:val="1"/>
      <w:numFmt w:val="decimal"/>
      <w:isLgl/>
      <w:lvlText w:val="%1.%2.%3"/>
      <w:lvlJc w:val="left"/>
      <w:pPr>
        <w:ind w:left="1620" w:hanging="720"/>
      </w:pPr>
      <w:rPr>
        <w:rFonts w:hint="default"/>
        <w:b/>
        <w:sz w:val="24"/>
      </w:rPr>
    </w:lvl>
    <w:lvl w:ilvl="3">
      <w:start w:val="1"/>
      <w:numFmt w:val="decimal"/>
      <w:isLgl/>
      <w:lvlText w:val="%1.%2.%3.%4"/>
      <w:lvlJc w:val="left"/>
      <w:pPr>
        <w:ind w:left="1620" w:hanging="720"/>
      </w:pPr>
      <w:rPr>
        <w:rFonts w:hint="default"/>
        <w:b/>
        <w:sz w:val="24"/>
      </w:rPr>
    </w:lvl>
    <w:lvl w:ilvl="4">
      <w:start w:val="1"/>
      <w:numFmt w:val="decimal"/>
      <w:isLgl/>
      <w:lvlText w:val="%1.%2.%3.%4.%5"/>
      <w:lvlJc w:val="left"/>
      <w:pPr>
        <w:ind w:left="1980" w:hanging="1080"/>
      </w:pPr>
      <w:rPr>
        <w:rFonts w:hint="default"/>
        <w:b/>
        <w:sz w:val="24"/>
      </w:rPr>
    </w:lvl>
    <w:lvl w:ilvl="5">
      <w:start w:val="1"/>
      <w:numFmt w:val="decimal"/>
      <w:isLgl/>
      <w:lvlText w:val="%1.%2.%3.%4.%5.%6"/>
      <w:lvlJc w:val="left"/>
      <w:pPr>
        <w:ind w:left="1980" w:hanging="1080"/>
      </w:pPr>
      <w:rPr>
        <w:rFonts w:hint="default"/>
        <w:b/>
        <w:sz w:val="24"/>
      </w:rPr>
    </w:lvl>
    <w:lvl w:ilvl="6">
      <w:start w:val="1"/>
      <w:numFmt w:val="decimal"/>
      <w:isLgl/>
      <w:lvlText w:val="%1.%2.%3.%4.%5.%6.%7"/>
      <w:lvlJc w:val="left"/>
      <w:pPr>
        <w:ind w:left="2340" w:hanging="1440"/>
      </w:pPr>
      <w:rPr>
        <w:rFonts w:hint="default"/>
        <w:b/>
        <w:sz w:val="24"/>
      </w:rPr>
    </w:lvl>
    <w:lvl w:ilvl="7">
      <w:start w:val="1"/>
      <w:numFmt w:val="decimal"/>
      <w:isLgl/>
      <w:lvlText w:val="%1.%2.%3.%4.%5.%6.%7.%8"/>
      <w:lvlJc w:val="left"/>
      <w:pPr>
        <w:ind w:left="2340" w:hanging="1440"/>
      </w:pPr>
      <w:rPr>
        <w:rFonts w:hint="default"/>
        <w:b/>
        <w:sz w:val="24"/>
      </w:rPr>
    </w:lvl>
    <w:lvl w:ilvl="8">
      <w:start w:val="1"/>
      <w:numFmt w:val="decimal"/>
      <w:isLgl/>
      <w:lvlText w:val="%1.%2.%3.%4.%5.%6.%7.%8.%9"/>
      <w:lvlJc w:val="left"/>
      <w:pPr>
        <w:ind w:left="2340" w:hanging="1440"/>
      </w:pPr>
      <w:rPr>
        <w:rFonts w:hint="default"/>
        <w:b/>
        <w:sz w:val="24"/>
      </w:rPr>
    </w:lvl>
  </w:abstractNum>
  <w:abstractNum w:abstractNumId="20" w15:restartNumberingAfterBreak="0">
    <w:nsid w:val="72CF400C"/>
    <w:multiLevelType w:val="hybridMultilevel"/>
    <w:tmpl w:val="B3A2FBD0"/>
    <w:lvl w:ilvl="0" w:tplc="8DCE819E">
      <w:start w:val="1"/>
      <w:numFmt w:val="decimal"/>
      <w:lvlText w:val="%1."/>
      <w:lvlJc w:val="left"/>
      <w:pPr>
        <w:ind w:left="720" w:hanging="360"/>
      </w:pPr>
      <w:rPr>
        <w:rFonts w:hint="default"/>
        <w:b/>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5284A10"/>
    <w:multiLevelType w:val="hybridMultilevel"/>
    <w:tmpl w:val="9F18E23C"/>
    <w:lvl w:ilvl="0" w:tplc="89225B00">
      <w:start w:val="1"/>
      <w:numFmt w:val="decimal"/>
      <w:lvlText w:val="%1"/>
      <w:lvlJc w:val="left"/>
      <w:pPr>
        <w:ind w:left="720" w:hanging="360"/>
      </w:pPr>
      <w:rPr>
        <w:rFonts w:asciiTheme="minorHAnsi" w:hAnsiTheme="minorHAnsi" w:cstheme="minorHAnsi" w:hint="default"/>
        <w:sz w:val="24"/>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BB92DAD"/>
    <w:multiLevelType w:val="hybridMultilevel"/>
    <w:tmpl w:val="17A8EC0A"/>
    <w:lvl w:ilvl="0" w:tplc="8DCE819E">
      <w:start w:val="1"/>
      <w:numFmt w:val="decimal"/>
      <w:lvlText w:val="%1."/>
      <w:lvlJc w:val="left"/>
      <w:pPr>
        <w:ind w:left="720" w:hanging="360"/>
      </w:pPr>
      <w:rPr>
        <w:rFonts w:hint="default"/>
        <w:b/>
        <w:sz w:val="22"/>
        <w:szCs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E4C6E6A"/>
    <w:multiLevelType w:val="hybridMultilevel"/>
    <w:tmpl w:val="62361BE6"/>
    <w:lvl w:ilvl="0" w:tplc="04100011">
      <w:start w:val="1"/>
      <w:numFmt w:val="decimal"/>
      <w:lvlText w:val="%1)"/>
      <w:lvlJc w:val="left"/>
      <w:pPr>
        <w:ind w:left="1146" w:hanging="360"/>
      </w:pPr>
    </w:lvl>
    <w:lvl w:ilvl="1" w:tplc="04100019" w:tentative="1">
      <w:start w:val="1"/>
      <w:numFmt w:val="lowerLetter"/>
      <w:lvlText w:val="%2."/>
      <w:lvlJc w:val="left"/>
      <w:pPr>
        <w:ind w:left="1866" w:hanging="360"/>
      </w:pPr>
    </w:lvl>
    <w:lvl w:ilvl="2" w:tplc="0410001B" w:tentative="1">
      <w:start w:val="1"/>
      <w:numFmt w:val="lowerRoman"/>
      <w:lvlText w:val="%3."/>
      <w:lvlJc w:val="right"/>
      <w:pPr>
        <w:ind w:left="2586" w:hanging="180"/>
      </w:pPr>
    </w:lvl>
    <w:lvl w:ilvl="3" w:tplc="0410000F" w:tentative="1">
      <w:start w:val="1"/>
      <w:numFmt w:val="decimal"/>
      <w:lvlText w:val="%4."/>
      <w:lvlJc w:val="left"/>
      <w:pPr>
        <w:ind w:left="3306" w:hanging="360"/>
      </w:pPr>
    </w:lvl>
    <w:lvl w:ilvl="4" w:tplc="04100019" w:tentative="1">
      <w:start w:val="1"/>
      <w:numFmt w:val="lowerLetter"/>
      <w:lvlText w:val="%5."/>
      <w:lvlJc w:val="left"/>
      <w:pPr>
        <w:ind w:left="4026" w:hanging="360"/>
      </w:pPr>
    </w:lvl>
    <w:lvl w:ilvl="5" w:tplc="0410001B" w:tentative="1">
      <w:start w:val="1"/>
      <w:numFmt w:val="lowerRoman"/>
      <w:lvlText w:val="%6."/>
      <w:lvlJc w:val="right"/>
      <w:pPr>
        <w:ind w:left="4746" w:hanging="180"/>
      </w:pPr>
    </w:lvl>
    <w:lvl w:ilvl="6" w:tplc="0410000F" w:tentative="1">
      <w:start w:val="1"/>
      <w:numFmt w:val="decimal"/>
      <w:lvlText w:val="%7."/>
      <w:lvlJc w:val="left"/>
      <w:pPr>
        <w:ind w:left="5466" w:hanging="360"/>
      </w:pPr>
    </w:lvl>
    <w:lvl w:ilvl="7" w:tplc="04100019" w:tentative="1">
      <w:start w:val="1"/>
      <w:numFmt w:val="lowerLetter"/>
      <w:lvlText w:val="%8."/>
      <w:lvlJc w:val="left"/>
      <w:pPr>
        <w:ind w:left="6186" w:hanging="360"/>
      </w:pPr>
    </w:lvl>
    <w:lvl w:ilvl="8" w:tplc="0410001B" w:tentative="1">
      <w:start w:val="1"/>
      <w:numFmt w:val="lowerRoman"/>
      <w:lvlText w:val="%9."/>
      <w:lvlJc w:val="right"/>
      <w:pPr>
        <w:ind w:left="6906" w:hanging="180"/>
      </w:pPr>
    </w:lvl>
  </w:abstractNum>
  <w:num w:numId="1" w16cid:durableId="823085791">
    <w:abstractNumId w:val="12"/>
  </w:num>
  <w:num w:numId="2" w16cid:durableId="1932007070">
    <w:abstractNumId w:val="4"/>
  </w:num>
  <w:num w:numId="3" w16cid:durableId="618604322">
    <w:abstractNumId w:val="19"/>
  </w:num>
  <w:num w:numId="4" w16cid:durableId="1297881563">
    <w:abstractNumId w:val="15"/>
  </w:num>
  <w:num w:numId="5" w16cid:durableId="506870896">
    <w:abstractNumId w:val="13"/>
  </w:num>
  <w:num w:numId="6" w16cid:durableId="1727222881">
    <w:abstractNumId w:val="2"/>
  </w:num>
  <w:num w:numId="7" w16cid:durableId="1198196413">
    <w:abstractNumId w:val="3"/>
  </w:num>
  <w:num w:numId="8" w16cid:durableId="1522812808">
    <w:abstractNumId w:val="5"/>
  </w:num>
  <w:num w:numId="9" w16cid:durableId="1425765954">
    <w:abstractNumId w:val="6"/>
  </w:num>
  <w:num w:numId="10" w16cid:durableId="72702000">
    <w:abstractNumId w:val="23"/>
  </w:num>
  <w:num w:numId="11" w16cid:durableId="186138454">
    <w:abstractNumId w:val="0"/>
  </w:num>
  <w:num w:numId="12" w16cid:durableId="1863937840">
    <w:abstractNumId w:val="14"/>
  </w:num>
  <w:num w:numId="13" w16cid:durableId="2104304306">
    <w:abstractNumId w:val="21"/>
  </w:num>
  <w:num w:numId="14" w16cid:durableId="102196038">
    <w:abstractNumId w:val="16"/>
  </w:num>
  <w:num w:numId="15" w16cid:durableId="566649140">
    <w:abstractNumId w:val="10"/>
  </w:num>
  <w:num w:numId="16" w16cid:durableId="1106535294">
    <w:abstractNumId w:val="8"/>
  </w:num>
  <w:num w:numId="17" w16cid:durableId="737943561">
    <w:abstractNumId w:val="7"/>
  </w:num>
  <w:num w:numId="18" w16cid:durableId="1476873277">
    <w:abstractNumId w:val="9"/>
  </w:num>
  <w:num w:numId="19" w16cid:durableId="399135488">
    <w:abstractNumId w:val="18"/>
  </w:num>
  <w:num w:numId="20" w16cid:durableId="1070543062">
    <w:abstractNumId w:val="17"/>
  </w:num>
  <w:num w:numId="21" w16cid:durableId="1816220203">
    <w:abstractNumId w:val="1"/>
  </w:num>
  <w:num w:numId="22" w16cid:durableId="1616061938">
    <w:abstractNumId w:val="20"/>
  </w:num>
  <w:num w:numId="23" w16cid:durableId="814953588">
    <w:abstractNumId w:val="22"/>
  </w:num>
  <w:num w:numId="24" w16cid:durableId="19916397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17"/>
    <w:rsid w:val="00035D5C"/>
    <w:rsid w:val="00046C32"/>
    <w:rsid w:val="00047B57"/>
    <w:rsid w:val="00075684"/>
    <w:rsid w:val="000863D6"/>
    <w:rsid w:val="00097C50"/>
    <w:rsid w:val="000A3786"/>
    <w:rsid w:val="000A79F5"/>
    <w:rsid w:val="000B0B3D"/>
    <w:rsid w:val="000B2921"/>
    <w:rsid w:val="000B65E8"/>
    <w:rsid w:val="000D5434"/>
    <w:rsid w:val="000D5C09"/>
    <w:rsid w:val="000E7389"/>
    <w:rsid w:val="000F53CB"/>
    <w:rsid w:val="000F75DE"/>
    <w:rsid w:val="0010678A"/>
    <w:rsid w:val="0012026F"/>
    <w:rsid w:val="0012379B"/>
    <w:rsid w:val="001325F6"/>
    <w:rsid w:val="00157386"/>
    <w:rsid w:val="00163188"/>
    <w:rsid w:val="00174470"/>
    <w:rsid w:val="0018150B"/>
    <w:rsid w:val="00187998"/>
    <w:rsid w:val="00187BA6"/>
    <w:rsid w:val="001A3ED9"/>
    <w:rsid w:val="001C73E6"/>
    <w:rsid w:val="001E5879"/>
    <w:rsid w:val="001F4037"/>
    <w:rsid w:val="001F511C"/>
    <w:rsid w:val="00226FD2"/>
    <w:rsid w:val="00232B68"/>
    <w:rsid w:val="00242339"/>
    <w:rsid w:val="00243884"/>
    <w:rsid w:val="00253336"/>
    <w:rsid w:val="00261E92"/>
    <w:rsid w:val="00266AFA"/>
    <w:rsid w:val="00293B67"/>
    <w:rsid w:val="002C577E"/>
    <w:rsid w:val="002D1A02"/>
    <w:rsid w:val="00310B41"/>
    <w:rsid w:val="00316CEC"/>
    <w:rsid w:val="0034172A"/>
    <w:rsid w:val="0035600C"/>
    <w:rsid w:val="0035683A"/>
    <w:rsid w:val="00374E04"/>
    <w:rsid w:val="0038477E"/>
    <w:rsid w:val="003A7DF0"/>
    <w:rsid w:val="003B12D6"/>
    <w:rsid w:val="003C0CF8"/>
    <w:rsid w:val="003D0B9E"/>
    <w:rsid w:val="003D5093"/>
    <w:rsid w:val="004425ED"/>
    <w:rsid w:val="004468D9"/>
    <w:rsid w:val="004513BC"/>
    <w:rsid w:val="00462EFE"/>
    <w:rsid w:val="00473C68"/>
    <w:rsid w:val="004B00B3"/>
    <w:rsid w:val="004D272C"/>
    <w:rsid w:val="004E3A76"/>
    <w:rsid w:val="004F08D2"/>
    <w:rsid w:val="004F1828"/>
    <w:rsid w:val="00530388"/>
    <w:rsid w:val="00534A83"/>
    <w:rsid w:val="00537177"/>
    <w:rsid w:val="00537F8B"/>
    <w:rsid w:val="0054154B"/>
    <w:rsid w:val="00566006"/>
    <w:rsid w:val="00567BF6"/>
    <w:rsid w:val="005B2816"/>
    <w:rsid w:val="005D0B5B"/>
    <w:rsid w:val="005E78CB"/>
    <w:rsid w:val="0064113F"/>
    <w:rsid w:val="00642300"/>
    <w:rsid w:val="006634E6"/>
    <w:rsid w:val="00670ECA"/>
    <w:rsid w:val="006741CC"/>
    <w:rsid w:val="00684BCF"/>
    <w:rsid w:val="006979A0"/>
    <w:rsid w:val="006A130B"/>
    <w:rsid w:val="006A407E"/>
    <w:rsid w:val="006A44A6"/>
    <w:rsid w:val="006A5284"/>
    <w:rsid w:val="006B7657"/>
    <w:rsid w:val="006C0150"/>
    <w:rsid w:val="006C28FE"/>
    <w:rsid w:val="006D56ED"/>
    <w:rsid w:val="00705160"/>
    <w:rsid w:val="00707EA9"/>
    <w:rsid w:val="00713B19"/>
    <w:rsid w:val="00726DC4"/>
    <w:rsid w:val="00726F17"/>
    <w:rsid w:val="007524A9"/>
    <w:rsid w:val="00764C11"/>
    <w:rsid w:val="00773D85"/>
    <w:rsid w:val="0077431B"/>
    <w:rsid w:val="00784422"/>
    <w:rsid w:val="00786B16"/>
    <w:rsid w:val="00791096"/>
    <w:rsid w:val="007C62A8"/>
    <w:rsid w:val="007D7F58"/>
    <w:rsid w:val="007E0EFC"/>
    <w:rsid w:val="007E5F3D"/>
    <w:rsid w:val="007F4BF9"/>
    <w:rsid w:val="00810796"/>
    <w:rsid w:val="00817601"/>
    <w:rsid w:val="00823685"/>
    <w:rsid w:val="00845370"/>
    <w:rsid w:val="008B3CE3"/>
    <w:rsid w:val="008E2C62"/>
    <w:rsid w:val="009069FA"/>
    <w:rsid w:val="00907F61"/>
    <w:rsid w:val="009153A9"/>
    <w:rsid w:val="009273F0"/>
    <w:rsid w:val="00940DC2"/>
    <w:rsid w:val="009421C0"/>
    <w:rsid w:val="00944777"/>
    <w:rsid w:val="00951C1F"/>
    <w:rsid w:val="00967266"/>
    <w:rsid w:val="00984D45"/>
    <w:rsid w:val="00996E4E"/>
    <w:rsid w:val="009A659D"/>
    <w:rsid w:val="009A6FCE"/>
    <w:rsid w:val="009B1412"/>
    <w:rsid w:val="009D2E49"/>
    <w:rsid w:val="009E6900"/>
    <w:rsid w:val="009F3A0C"/>
    <w:rsid w:val="009F5EB3"/>
    <w:rsid w:val="009F6B11"/>
    <w:rsid w:val="00A0262B"/>
    <w:rsid w:val="00A7249C"/>
    <w:rsid w:val="00A73BA1"/>
    <w:rsid w:val="00A9178F"/>
    <w:rsid w:val="00AA49D8"/>
    <w:rsid w:val="00AB04DA"/>
    <w:rsid w:val="00AB5FA2"/>
    <w:rsid w:val="00AC2B0D"/>
    <w:rsid w:val="00AD01A5"/>
    <w:rsid w:val="00AE7793"/>
    <w:rsid w:val="00B17EC1"/>
    <w:rsid w:val="00B31024"/>
    <w:rsid w:val="00B33603"/>
    <w:rsid w:val="00B35650"/>
    <w:rsid w:val="00B37463"/>
    <w:rsid w:val="00B632CF"/>
    <w:rsid w:val="00B73894"/>
    <w:rsid w:val="00B77C50"/>
    <w:rsid w:val="00B86F2F"/>
    <w:rsid w:val="00BD05EB"/>
    <w:rsid w:val="00BE6F99"/>
    <w:rsid w:val="00BF33F8"/>
    <w:rsid w:val="00BF7E43"/>
    <w:rsid w:val="00C341D0"/>
    <w:rsid w:val="00C347C3"/>
    <w:rsid w:val="00C45E31"/>
    <w:rsid w:val="00C60C0C"/>
    <w:rsid w:val="00C6194B"/>
    <w:rsid w:val="00C67687"/>
    <w:rsid w:val="00C73218"/>
    <w:rsid w:val="00C81EA3"/>
    <w:rsid w:val="00CA3E4B"/>
    <w:rsid w:val="00CB6A76"/>
    <w:rsid w:val="00CC0F0E"/>
    <w:rsid w:val="00CC3748"/>
    <w:rsid w:val="00CD2E47"/>
    <w:rsid w:val="00CE49C3"/>
    <w:rsid w:val="00D07353"/>
    <w:rsid w:val="00D077C3"/>
    <w:rsid w:val="00D10D1B"/>
    <w:rsid w:val="00D80C56"/>
    <w:rsid w:val="00DB19CA"/>
    <w:rsid w:val="00DC6FB5"/>
    <w:rsid w:val="00DD081B"/>
    <w:rsid w:val="00DE6FA8"/>
    <w:rsid w:val="00E1394A"/>
    <w:rsid w:val="00E37F58"/>
    <w:rsid w:val="00E5217B"/>
    <w:rsid w:val="00E56672"/>
    <w:rsid w:val="00E71E92"/>
    <w:rsid w:val="00E71EE8"/>
    <w:rsid w:val="00E74EDF"/>
    <w:rsid w:val="00E901E0"/>
    <w:rsid w:val="00E90B30"/>
    <w:rsid w:val="00EC2470"/>
    <w:rsid w:val="00EC562F"/>
    <w:rsid w:val="00ED4452"/>
    <w:rsid w:val="00ED65F1"/>
    <w:rsid w:val="00ED7AE1"/>
    <w:rsid w:val="00EE564A"/>
    <w:rsid w:val="00EF3356"/>
    <w:rsid w:val="00F0119C"/>
    <w:rsid w:val="00F01655"/>
    <w:rsid w:val="00F61775"/>
    <w:rsid w:val="00F76A5A"/>
    <w:rsid w:val="00F85E08"/>
    <w:rsid w:val="00F92DCE"/>
    <w:rsid w:val="00F965B9"/>
    <w:rsid w:val="00FA0D3A"/>
    <w:rsid w:val="00FA440B"/>
    <w:rsid w:val="00FB1B39"/>
    <w:rsid w:val="00FC01F3"/>
    <w:rsid w:val="00FD0526"/>
    <w:rsid w:val="00FD35AF"/>
    <w:rsid w:val="00FE6B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3E99"/>
  <w15:chartTrackingRefBased/>
  <w15:docId w15:val="{CBDC705C-F50C-E54D-BD24-96779DB4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63D6"/>
    <w:rPr>
      <w:rFonts w:ascii="Times New Roman" w:eastAsia="Times New Roman" w:hAnsi="Times New Roman" w:cs="Times New Roman"/>
      <w:lang w:eastAsia="it-IT"/>
    </w:rPr>
  </w:style>
  <w:style w:type="paragraph" w:styleId="Titolo1">
    <w:name w:val="heading 1"/>
    <w:basedOn w:val="Normale"/>
    <w:next w:val="Normale"/>
    <w:link w:val="Titolo1Carattere"/>
    <w:uiPriority w:val="9"/>
    <w:qFormat/>
    <w:rsid w:val="00726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726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726F1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726F1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726F1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726F17"/>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26F17"/>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26F17"/>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26F17"/>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26F1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726F1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726F1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726F1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726F1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726F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26F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26F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26F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726F17"/>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26F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26F17"/>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26F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26F17"/>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726F17"/>
    <w:rPr>
      <w:i/>
      <w:iCs/>
      <w:color w:val="404040" w:themeColor="text1" w:themeTint="BF"/>
    </w:rPr>
  </w:style>
  <w:style w:type="paragraph" w:styleId="Paragrafoelenco">
    <w:name w:val="List Paragraph"/>
    <w:basedOn w:val="Normale"/>
    <w:uiPriority w:val="34"/>
    <w:qFormat/>
    <w:rsid w:val="00726F17"/>
    <w:pPr>
      <w:ind w:left="720"/>
      <w:contextualSpacing/>
    </w:pPr>
  </w:style>
  <w:style w:type="character" w:styleId="Enfasiintensa">
    <w:name w:val="Intense Emphasis"/>
    <w:basedOn w:val="Carpredefinitoparagrafo"/>
    <w:uiPriority w:val="21"/>
    <w:qFormat/>
    <w:rsid w:val="00726F17"/>
    <w:rPr>
      <w:i/>
      <w:iCs/>
      <w:color w:val="2F5496" w:themeColor="accent1" w:themeShade="BF"/>
    </w:rPr>
  </w:style>
  <w:style w:type="paragraph" w:styleId="Citazioneintensa">
    <w:name w:val="Intense Quote"/>
    <w:basedOn w:val="Normale"/>
    <w:next w:val="Normale"/>
    <w:link w:val="CitazioneintensaCarattere"/>
    <w:uiPriority w:val="30"/>
    <w:qFormat/>
    <w:rsid w:val="00726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726F17"/>
    <w:rPr>
      <w:i/>
      <w:iCs/>
      <w:color w:val="2F5496" w:themeColor="accent1" w:themeShade="BF"/>
    </w:rPr>
  </w:style>
  <w:style w:type="character" w:styleId="Riferimentointenso">
    <w:name w:val="Intense Reference"/>
    <w:basedOn w:val="Carpredefinitoparagrafo"/>
    <w:uiPriority w:val="32"/>
    <w:qFormat/>
    <w:rsid w:val="00726F17"/>
    <w:rPr>
      <w:b/>
      <w:bCs/>
      <w:smallCaps/>
      <w:color w:val="2F5496" w:themeColor="accent1" w:themeShade="BF"/>
      <w:spacing w:val="5"/>
    </w:rPr>
  </w:style>
  <w:style w:type="paragraph" w:customStyle="1" w:styleId="p1">
    <w:name w:val="p1"/>
    <w:basedOn w:val="Normale"/>
    <w:rsid w:val="00726F17"/>
    <w:pPr>
      <w:spacing w:before="100" w:beforeAutospacing="1" w:after="100" w:afterAutospacing="1"/>
    </w:pPr>
  </w:style>
  <w:style w:type="paragraph" w:customStyle="1" w:styleId="p2">
    <w:name w:val="p2"/>
    <w:basedOn w:val="Normale"/>
    <w:rsid w:val="00726F17"/>
    <w:pPr>
      <w:spacing w:before="100" w:beforeAutospacing="1" w:after="100" w:afterAutospacing="1"/>
    </w:pPr>
  </w:style>
  <w:style w:type="character" w:customStyle="1" w:styleId="apple-converted-space">
    <w:name w:val="apple-converted-space"/>
    <w:basedOn w:val="Carpredefinitoparagrafo"/>
    <w:rsid w:val="00726F17"/>
  </w:style>
  <w:style w:type="character" w:styleId="Collegamentoipertestuale">
    <w:name w:val="Hyperlink"/>
    <w:basedOn w:val="Carpredefinitoparagrafo"/>
    <w:uiPriority w:val="99"/>
    <w:unhideWhenUsed/>
    <w:rsid w:val="009069FA"/>
    <w:rPr>
      <w:color w:val="0563C1" w:themeColor="hyperlink"/>
      <w:u w:val="single"/>
    </w:rPr>
  </w:style>
  <w:style w:type="character" w:styleId="Menzionenonrisolta">
    <w:name w:val="Unresolved Mention"/>
    <w:basedOn w:val="Carpredefinitoparagrafo"/>
    <w:uiPriority w:val="99"/>
    <w:semiHidden/>
    <w:unhideWhenUsed/>
    <w:rsid w:val="009069FA"/>
    <w:rPr>
      <w:color w:val="605E5C"/>
      <w:shd w:val="clear" w:color="auto" w:fill="E1DFDD"/>
    </w:rPr>
  </w:style>
  <w:style w:type="character" w:customStyle="1" w:styleId="testinogrigio">
    <w:name w:val="testinogrigio"/>
    <w:basedOn w:val="Carpredefinitoparagrafo"/>
    <w:rsid w:val="009D2E49"/>
  </w:style>
  <w:style w:type="paragraph" w:styleId="Intestazione">
    <w:name w:val="header"/>
    <w:basedOn w:val="Normale"/>
    <w:link w:val="IntestazioneCarattere"/>
    <w:uiPriority w:val="99"/>
    <w:unhideWhenUsed/>
    <w:rsid w:val="00DB19CA"/>
    <w:pPr>
      <w:tabs>
        <w:tab w:val="center" w:pos="4819"/>
        <w:tab w:val="right" w:pos="9638"/>
      </w:tabs>
    </w:pPr>
  </w:style>
  <w:style w:type="character" w:customStyle="1" w:styleId="IntestazioneCarattere">
    <w:name w:val="Intestazione Carattere"/>
    <w:basedOn w:val="Carpredefinitoparagrafo"/>
    <w:link w:val="Intestazione"/>
    <w:uiPriority w:val="99"/>
    <w:rsid w:val="00DB19CA"/>
  </w:style>
  <w:style w:type="paragraph" w:styleId="Pidipagina">
    <w:name w:val="footer"/>
    <w:basedOn w:val="Normale"/>
    <w:link w:val="PidipaginaCarattere"/>
    <w:uiPriority w:val="99"/>
    <w:unhideWhenUsed/>
    <w:rsid w:val="00DB19CA"/>
    <w:pPr>
      <w:tabs>
        <w:tab w:val="center" w:pos="4819"/>
        <w:tab w:val="right" w:pos="9638"/>
      </w:tabs>
    </w:pPr>
  </w:style>
  <w:style w:type="character" w:customStyle="1" w:styleId="PidipaginaCarattere">
    <w:name w:val="Piè di pagina Carattere"/>
    <w:basedOn w:val="Carpredefinitoparagrafo"/>
    <w:link w:val="Pidipagina"/>
    <w:uiPriority w:val="99"/>
    <w:rsid w:val="00DB19CA"/>
  </w:style>
  <w:style w:type="paragraph" w:customStyle="1" w:styleId="Firmaposizione">
    <w:name w:val="Firma posizione"/>
    <w:basedOn w:val="Corpotesto"/>
    <w:next w:val="Normale"/>
    <w:rsid w:val="00707EA9"/>
    <w:pPr>
      <w:keepNext/>
      <w:spacing w:after="0" w:line="240" w:lineRule="atLeast"/>
    </w:pPr>
    <w:rPr>
      <w:rFonts w:ascii="Garamond" w:hAnsi="Garamond"/>
      <w:kern w:val="18"/>
      <w:sz w:val="20"/>
      <w:szCs w:val="20"/>
      <w:lang w:val="x-none"/>
    </w:rPr>
  </w:style>
  <w:style w:type="paragraph" w:styleId="Corpotesto">
    <w:name w:val="Body Text"/>
    <w:basedOn w:val="Normale"/>
    <w:link w:val="CorpotestoCarattere"/>
    <w:uiPriority w:val="99"/>
    <w:semiHidden/>
    <w:unhideWhenUsed/>
    <w:rsid w:val="00707EA9"/>
    <w:pPr>
      <w:spacing w:after="120"/>
    </w:pPr>
  </w:style>
  <w:style w:type="character" w:customStyle="1" w:styleId="CorpotestoCarattere">
    <w:name w:val="Corpo testo Carattere"/>
    <w:basedOn w:val="Carpredefinitoparagrafo"/>
    <w:link w:val="Corpotesto"/>
    <w:uiPriority w:val="99"/>
    <w:semiHidden/>
    <w:rsid w:val="00707EA9"/>
  </w:style>
  <w:style w:type="character" w:styleId="Numeropagina">
    <w:name w:val="page number"/>
    <w:basedOn w:val="Carpredefinitoparagrafo"/>
    <w:uiPriority w:val="99"/>
    <w:semiHidden/>
    <w:unhideWhenUsed/>
    <w:rsid w:val="00707EA9"/>
  </w:style>
  <w:style w:type="paragraph" w:styleId="NormaleWeb">
    <w:name w:val="Normal (Web)"/>
    <w:basedOn w:val="Normale"/>
    <w:uiPriority w:val="99"/>
    <w:semiHidden/>
    <w:unhideWhenUsed/>
    <w:rsid w:val="001F511C"/>
    <w:pPr>
      <w:spacing w:before="100" w:beforeAutospacing="1" w:after="100" w:afterAutospacing="1"/>
    </w:pPr>
  </w:style>
  <w:style w:type="character" w:customStyle="1" w:styleId="wk-tooltip-wrapper">
    <w:name w:val="wk-tooltip-wrapper"/>
    <w:basedOn w:val="Carpredefinitoparagrafo"/>
    <w:rsid w:val="00242339"/>
  </w:style>
  <w:style w:type="character" w:styleId="Collegamentovisitato">
    <w:name w:val="FollowedHyperlink"/>
    <w:basedOn w:val="Carpredefinitoparagrafo"/>
    <w:uiPriority w:val="99"/>
    <w:semiHidden/>
    <w:unhideWhenUsed/>
    <w:rsid w:val="00242339"/>
    <w:rPr>
      <w:color w:val="954F72" w:themeColor="followedHyperlink"/>
      <w:u w:val="single"/>
    </w:rPr>
  </w:style>
  <w:style w:type="paragraph" w:styleId="Testonotaapidipagina">
    <w:name w:val="footnote text"/>
    <w:basedOn w:val="Normale"/>
    <w:link w:val="TestonotaapidipaginaCarattere"/>
    <w:uiPriority w:val="99"/>
    <w:semiHidden/>
    <w:unhideWhenUsed/>
    <w:rsid w:val="00097C50"/>
    <w:rPr>
      <w:sz w:val="20"/>
      <w:szCs w:val="20"/>
    </w:rPr>
  </w:style>
  <w:style w:type="character" w:customStyle="1" w:styleId="TestonotaapidipaginaCarattere">
    <w:name w:val="Testo nota a piè di pagina Carattere"/>
    <w:basedOn w:val="Carpredefinitoparagrafo"/>
    <w:link w:val="Testonotaapidipagina"/>
    <w:uiPriority w:val="99"/>
    <w:semiHidden/>
    <w:rsid w:val="00097C50"/>
    <w:rPr>
      <w:rFonts w:ascii="Times New Roman" w:eastAsia="Times New Roman" w:hAnsi="Times New Roman" w:cs="Times New Roman"/>
      <w:sz w:val="20"/>
      <w:szCs w:val="20"/>
      <w:lang w:eastAsia="it-IT"/>
    </w:rPr>
  </w:style>
  <w:style w:type="character" w:styleId="Rimandonotaapidipagina">
    <w:name w:val="footnote reference"/>
    <w:basedOn w:val="Carpredefinitoparagrafo"/>
    <w:uiPriority w:val="99"/>
    <w:semiHidden/>
    <w:unhideWhenUsed/>
    <w:rsid w:val="00097C50"/>
    <w:rPr>
      <w:vertAlign w:val="superscript"/>
    </w:rPr>
  </w:style>
  <w:style w:type="character" w:customStyle="1" w:styleId="s1">
    <w:name w:val="s1"/>
    <w:basedOn w:val="Carpredefinitoparagrafo"/>
    <w:rsid w:val="00046C32"/>
    <w:rPr>
      <w:rFonts w:ascii="Helvetica" w:hAnsi="Helvetica" w:hint="default"/>
      <w:sz w:val="15"/>
      <w:szCs w:val="15"/>
    </w:rPr>
  </w:style>
  <w:style w:type="character" w:customStyle="1" w:styleId="s3">
    <w:name w:val="s3"/>
    <w:basedOn w:val="Carpredefinitoparagrafo"/>
    <w:rsid w:val="00046C32"/>
    <w:rPr>
      <w:rFonts w:ascii="Helvetica" w:hAnsi="Helvetica" w:hint="default"/>
      <w:sz w:val="17"/>
      <w:szCs w:val="17"/>
    </w:rPr>
  </w:style>
  <w:style w:type="character" w:customStyle="1" w:styleId="s4">
    <w:name w:val="s4"/>
    <w:basedOn w:val="Carpredefinitoparagrafo"/>
    <w:rsid w:val="00046C32"/>
    <w:rPr>
      <w:rFonts w:ascii="Arial" w:hAnsi="Arial" w:cs="Arial" w:hint="default"/>
      <w:sz w:val="17"/>
      <w:szCs w:val="17"/>
    </w:rPr>
  </w:style>
  <w:style w:type="character" w:customStyle="1" w:styleId="s5">
    <w:name w:val="s5"/>
    <w:basedOn w:val="Carpredefinitoparagrafo"/>
    <w:rsid w:val="00046C32"/>
    <w:rPr>
      <w:rFonts w:ascii="Times New Roman" w:hAnsi="Times New Roman" w:cs="Times New Roman" w:hint="default"/>
      <w:sz w:val="18"/>
      <w:szCs w:val="18"/>
    </w:rPr>
  </w:style>
  <w:style w:type="paragraph" w:customStyle="1" w:styleId="wkit-indentation-level-0">
    <w:name w:val="wkit-indentation-level-0"/>
    <w:basedOn w:val="Normale"/>
    <w:rsid w:val="0079109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793298">
      <w:bodyDiv w:val="1"/>
      <w:marLeft w:val="0"/>
      <w:marRight w:val="0"/>
      <w:marTop w:val="0"/>
      <w:marBottom w:val="0"/>
      <w:divBdr>
        <w:top w:val="none" w:sz="0" w:space="0" w:color="auto"/>
        <w:left w:val="none" w:sz="0" w:space="0" w:color="auto"/>
        <w:bottom w:val="none" w:sz="0" w:space="0" w:color="auto"/>
        <w:right w:val="none" w:sz="0" w:space="0" w:color="auto"/>
      </w:divBdr>
    </w:div>
    <w:div w:id="1116751096">
      <w:bodyDiv w:val="1"/>
      <w:marLeft w:val="0"/>
      <w:marRight w:val="0"/>
      <w:marTop w:val="0"/>
      <w:marBottom w:val="0"/>
      <w:divBdr>
        <w:top w:val="none" w:sz="0" w:space="0" w:color="auto"/>
        <w:left w:val="none" w:sz="0" w:space="0" w:color="auto"/>
        <w:bottom w:val="none" w:sz="0" w:space="0" w:color="auto"/>
        <w:right w:val="none" w:sz="0" w:space="0" w:color="auto"/>
      </w:divBdr>
      <w:divsChild>
        <w:div w:id="1692683124">
          <w:marLeft w:val="0"/>
          <w:marRight w:val="0"/>
          <w:marTop w:val="0"/>
          <w:marBottom w:val="0"/>
          <w:divBdr>
            <w:top w:val="none" w:sz="0" w:space="0" w:color="auto"/>
            <w:left w:val="none" w:sz="0" w:space="0" w:color="auto"/>
            <w:bottom w:val="none" w:sz="0" w:space="0" w:color="auto"/>
            <w:right w:val="none" w:sz="0" w:space="0" w:color="auto"/>
          </w:divBdr>
          <w:divsChild>
            <w:div w:id="687677679">
              <w:marLeft w:val="0"/>
              <w:marRight w:val="0"/>
              <w:marTop w:val="0"/>
              <w:marBottom w:val="0"/>
              <w:divBdr>
                <w:top w:val="none" w:sz="0" w:space="0" w:color="auto"/>
                <w:left w:val="none" w:sz="0" w:space="0" w:color="auto"/>
                <w:bottom w:val="none" w:sz="0" w:space="0" w:color="auto"/>
                <w:right w:val="none" w:sz="0" w:space="0" w:color="auto"/>
              </w:divBdr>
              <w:divsChild>
                <w:div w:id="651981166">
                  <w:marLeft w:val="0"/>
                  <w:marRight w:val="0"/>
                  <w:marTop w:val="0"/>
                  <w:marBottom w:val="0"/>
                  <w:divBdr>
                    <w:top w:val="none" w:sz="0" w:space="0" w:color="auto"/>
                    <w:left w:val="none" w:sz="0" w:space="0" w:color="auto"/>
                    <w:bottom w:val="none" w:sz="0" w:space="0" w:color="auto"/>
                    <w:right w:val="none" w:sz="0" w:space="0" w:color="auto"/>
                  </w:divBdr>
                </w:div>
              </w:divsChild>
            </w:div>
            <w:div w:id="2057315141">
              <w:marLeft w:val="0"/>
              <w:marRight w:val="0"/>
              <w:marTop w:val="0"/>
              <w:marBottom w:val="0"/>
              <w:divBdr>
                <w:top w:val="none" w:sz="0" w:space="0" w:color="auto"/>
                <w:left w:val="none" w:sz="0" w:space="0" w:color="auto"/>
                <w:bottom w:val="none" w:sz="0" w:space="0" w:color="auto"/>
                <w:right w:val="none" w:sz="0" w:space="0" w:color="auto"/>
              </w:divBdr>
              <w:divsChild>
                <w:div w:id="309408491">
                  <w:marLeft w:val="0"/>
                  <w:marRight w:val="0"/>
                  <w:marTop w:val="0"/>
                  <w:marBottom w:val="0"/>
                  <w:divBdr>
                    <w:top w:val="none" w:sz="0" w:space="0" w:color="auto"/>
                    <w:left w:val="none" w:sz="0" w:space="0" w:color="auto"/>
                    <w:bottom w:val="none" w:sz="0" w:space="0" w:color="auto"/>
                    <w:right w:val="none" w:sz="0" w:space="0" w:color="auto"/>
                  </w:divBdr>
                </w:div>
              </w:divsChild>
            </w:div>
            <w:div w:id="817724830">
              <w:marLeft w:val="0"/>
              <w:marRight w:val="0"/>
              <w:marTop w:val="0"/>
              <w:marBottom w:val="0"/>
              <w:divBdr>
                <w:top w:val="none" w:sz="0" w:space="0" w:color="auto"/>
                <w:left w:val="none" w:sz="0" w:space="0" w:color="auto"/>
                <w:bottom w:val="none" w:sz="0" w:space="0" w:color="auto"/>
                <w:right w:val="none" w:sz="0" w:space="0" w:color="auto"/>
              </w:divBdr>
              <w:divsChild>
                <w:div w:id="523859467">
                  <w:marLeft w:val="0"/>
                  <w:marRight w:val="0"/>
                  <w:marTop w:val="0"/>
                  <w:marBottom w:val="0"/>
                  <w:divBdr>
                    <w:top w:val="none" w:sz="0" w:space="0" w:color="auto"/>
                    <w:left w:val="none" w:sz="0" w:space="0" w:color="auto"/>
                    <w:bottom w:val="none" w:sz="0" w:space="0" w:color="auto"/>
                    <w:right w:val="none" w:sz="0" w:space="0" w:color="auto"/>
                  </w:divBdr>
                </w:div>
              </w:divsChild>
            </w:div>
            <w:div w:id="169686125">
              <w:marLeft w:val="0"/>
              <w:marRight w:val="0"/>
              <w:marTop w:val="0"/>
              <w:marBottom w:val="0"/>
              <w:divBdr>
                <w:top w:val="none" w:sz="0" w:space="0" w:color="auto"/>
                <w:left w:val="none" w:sz="0" w:space="0" w:color="auto"/>
                <w:bottom w:val="none" w:sz="0" w:space="0" w:color="auto"/>
                <w:right w:val="none" w:sz="0" w:space="0" w:color="auto"/>
              </w:divBdr>
              <w:divsChild>
                <w:div w:id="1083719451">
                  <w:marLeft w:val="0"/>
                  <w:marRight w:val="0"/>
                  <w:marTop w:val="0"/>
                  <w:marBottom w:val="0"/>
                  <w:divBdr>
                    <w:top w:val="none" w:sz="0" w:space="0" w:color="auto"/>
                    <w:left w:val="none" w:sz="0" w:space="0" w:color="auto"/>
                    <w:bottom w:val="none" w:sz="0" w:space="0" w:color="auto"/>
                    <w:right w:val="none" w:sz="0" w:space="0" w:color="auto"/>
                  </w:divBdr>
                </w:div>
              </w:divsChild>
            </w:div>
            <w:div w:id="1085877495">
              <w:marLeft w:val="0"/>
              <w:marRight w:val="0"/>
              <w:marTop w:val="0"/>
              <w:marBottom w:val="0"/>
              <w:divBdr>
                <w:top w:val="none" w:sz="0" w:space="0" w:color="auto"/>
                <w:left w:val="none" w:sz="0" w:space="0" w:color="auto"/>
                <w:bottom w:val="none" w:sz="0" w:space="0" w:color="auto"/>
                <w:right w:val="none" w:sz="0" w:space="0" w:color="auto"/>
              </w:divBdr>
              <w:divsChild>
                <w:div w:id="1523544821">
                  <w:marLeft w:val="0"/>
                  <w:marRight w:val="0"/>
                  <w:marTop w:val="0"/>
                  <w:marBottom w:val="0"/>
                  <w:divBdr>
                    <w:top w:val="none" w:sz="0" w:space="0" w:color="auto"/>
                    <w:left w:val="none" w:sz="0" w:space="0" w:color="auto"/>
                    <w:bottom w:val="none" w:sz="0" w:space="0" w:color="auto"/>
                    <w:right w:val="none" w:sz="0" w:space="0" w:color="auto"/>
                  </w:divBdr>
                </w:div>
              </w:divsChild>
            </w:div>
            <w:div w:id="2008901479">
              <w:marLeft w:val="0"/>
              <w:marRight w:val="0"/>
              <w:marTop w:val="0"/>
              <w:marBottom w:val="0"/>
              <w:divBdr>
                <w:top w:val="none" w:sz="0" w:space="0" w:color="auto"/>
                <w:left w:val="none" w:sz="0" w:space="0" w:color="auto"/>
                <w:bottom w:val="none" w:sz="0" w:space="0" w:color="auto"/>
                <w:right w:val="none" w:sz="0" w:space="0" w:color="auto"/>
              </w:divBdr>
              <w:divsChild>
                <w:div w:id="167403133">
                  <w:marLeft w:val="0"/>
                  <w:marRight w:val="0"/>
                  <w:marTop w:val="0"/>
                  <w:marBottom w:val="0"/>
                  <w:divBdr>
                    <w:top w:val="none" w:sz="0" w:space="0" w:color="auto"/>
                    <w:left w:val="none" w:sz="0" w:space="0" w:color="auto"/>
                    <w:bottom w:val="none" w:sz="0" w:space="0" w:color="auto"/>
                    <w:right w:val="none" w:sz="0" w:space="0" w:color="auto"/>
                  </w:divBdr>
                </w:div>
              </w:divsChild>
            </w:div>
            <w:div w:id="1723602917">
              <w:marLeft w:val="0"/>
              <w:marRight w:val="0"/>
              <w:marTop w:val="0"/>
              <w:marBottom w:val="0"/>
              <w:divBdr>
                <w:top w:val="none" w:sz="0" w:space="0" w:color="auto"/>
                <w:left w:val="none" w:sz="0" w:space="0" w:color="auto"/>
                <w:bottom w:val="none" w:sz="0" w:space="0" w:color="auto"/>
                <w:right w:val="none" w:sz="0" w:space="0" w:color="auto"/>
              </w:divBdr>
              <w:divsChild>
                <w:div w:id="238827633">
                  <w:marLeft w:val="0"/>
                  <w:marRight w:val="0"/>
                  <w:marTop w:val="0"/>
                  <w:marBottom w:val="0"/>
                  <w:divBdr>
                    <w:top w:val="none" w:sz="0" w:space="0" w:color="auto"/>
                    <w:left w:val="none" w:sz="0" w:space="0" w:color="auto"/>
                    <w:bottom w:val="none" w:sz="0" w:space="0" w:color="auto"/>
                    <w:right w:val="none" w:sz="0" w:space="0" w:color="auto"/>
                  </w:divBdr>
                </w:div>
              </w:divsChild>
            </w:div>
            <w:div w:id="794562035">
              <w:marLeft w:val="0"/>
              <w:marRight w:val="0"/>
              <w:marTop w:val="0"/>
              <w:marBottom w:val="0"/>
              <w:divBdr>
                <w:top w:val="none" w:sz="0" w:space="0" w:color="auto"/>
                <w:left w:val="none" w:sz="0" w:space="0" w:color="auto"/>
                <w:bottom w:val="none" w:sz="0" w:space="0" w:color="auto"/>
                <w:right w:val="none" w:sz="0" w:space="0" w:color="auto"/>
              </w:divBdr>
              <w:divsChild>
                <w:div w:id="1252087859">
                  <w:marLeft w:val="0"/>
                  <w:marRight w:val="0"/>
                  <w:marTop w:val="0"/>
                  <w:marBottom w:val="0"/>
                  <w:divBdr>
                    <w:top w:val="none" w:sz="0" w:space="0" w:color="auto"/>
                    <w:left w:val="none" w:sz="0" w:space="0" w:color="auto"/>
                    <w:bottom w:val="none" w:sz="0" w:space="0" w:color="auto"/>
                    <w:right w:val="none" w:sz="0" w:space="0" w:color="auto"/>
                  </w:divBdr>
                </w:div>
              </w:divsChild>
            </w:div>
            <w:div w:id="1339890128">
              <w:marLeft w:val="0"/>
              <w:marRight w:val="0"/>
              <w:marTop w:val="0"/>
              <w:marBottom w:val="0"/>
              <w:divBdr>
                <w:top w:val="none" w:sz="0" w:space="0" w:color="auto"/>
                <w:left w:val="none" w:sz="0" w:space="0" w:color="auto"/>
                <w:bottom w:val="none" w:sz="0" w:space="0" w:color="auto"/>
                <w:right w:val="none" w:sz="0" w:space="0" w:color="auto"/>
              </w:divBdr>
              <w:divsChild>
                <w:div w:id="1107308476">
                  <w:marLeft w:val="0"/>
                  <w:marRight w:val="0"/>
                  <w:marTop w:val="0"/>
                  <w:marBottom w:val="0"/>
                  <w:divBdr>
                    <w:top w:val="none" w:sz="0" w:space="0" w:color="auto"/>
                    <w:left w:val="none" w:sz="0" w:space="0" w:color="auto"/>
                    <w:bottom w:val="none" w:sz="0" w:space="0" w:color="auto"/>
                    <w:right w:val="none" w:sz="0" w:space="0" w:color="auto"/>
                  </w:divBdr>
                </w:div>
              </w:divsChild>
            </w:div>
            <w:div w:id="784543311">
              <w:marLeft w:val="0"/>
              <w:marRight w:val="0"/>
              <w:marTop w:val="0"/>
              <w:marBottom w:val="0"/>
              <w:divBdr>
                <w:top w:val="none" w:sz="0" w:space="0" w:color="auto"/>
                <w:left w:val="none" w:sz="0" w:space="0" w:color="auto"/>
                <w:bottom w:val="none" w:sz="0" w:space="0" w:color="auto"/>
                <w:right w:val="none" w:sz="0" w:space="0" w:color="auto"/>
              </w:divBdr>
              <w:divsChild>
                <w:div w:id="1304195882">
                  <w:marLeft w:val="0"/>
                  <w:marRight w:val="0"/>
                  <w:marTop w:val="0"/>
                  <w:marBottom w:val="0"/>
                  <w:divBdr>
                    <w:top w:val="none" w:sz="0" w:space="0" w:color="auto"/>
                    <w:left w:val="none" w:sz="0" w:space="0" w:color="auto"/>
                    <w:bottom w:val="none" w:sz="0" w:space="0" w:color="auto"/>
                    <w:right w:val="none" w:sz="0" w:space="0" w:color="auto"/>
                  </w:divBdr>
                </w:div>
              </w:divsChild>
            </w:div>
            <w:div w:id="387921387">
              <w:marLeft w:val="0"/>
              <w:marRight w:val="0"/>
              <w:marTop w:val="0"/>
              <w:marBottom w:val="0"/>
              <w:divBdr>
                <w:top w:val="none" w:sz="0" w:space="0" w:color="auto"/>
                <w:left w:val="none" w:sz="0" w:space="0" w:color="auto"/>
                <w:bottom w:val="none" w:sz="0" w:space="0" w:color="auto"/>
                <w:right w:val="none" w:sz="0" w:space="0" w:color="auto"/>
              </w:divBdr>
              <w:divsChild>
                <w:div w:id="605385797">
                  <w:marLeft w:val="0"/>
                  <w:marRight w:val="0"/>
                  <w:marTop w:val="0"/>
                  <w:marBottom w:val="0"/>
                  <w:divBdr>
                    <w:top w:val="none" w:sz="0" w:space="0" w:color="auto"/>
                    <w:left w:val="none" w:sz="0" w:space="0" w:color="auto"/>
                    <w:bottom w:val="none" w:sz="0" w:space="0" w:color="auto"/>
                    <w:right w:val="none" w:sz="0" w:space="0" w:color="auto"/>
                  </w:divBdr>
                </w:div>
              </w:divsChild>
            </w:div>
            <w:div w:id="861818622">
              <w:marLeft w:val="0"/>
              <w:marRight w:val="0"/>
              <w:marTop w:val="0"/>
              <w:marBottom w:val="0"/>
              <w:divBdr>
                <w:top w:val="none" w:sz="0" w:space="0" w:color="auto"/>
                <w:left w:val="none" w:sz="0" w:space="0" w:color="auto"/>
                <w:bottom w:val="none" w:sz="0" w:space="0" w:color="auto"/>
                <w:right w:val="none" w:sz="0" w:space="0" w:color="auto"/>
              </w:divBdr>
              <w:divsChild>
                <w:div w:id="139270861">
                  <w:marLeft w:val="0"/>
                  <w:marRight w:val="0"/>
                  <w:marTop w:val="0"/>
                  <w:marBottom w:val="0"/>
                  <w:divBdr>
                    <w:top w:val="none" w:sz="0" w:space="0" w:color="auto"/>
                    <w:left w:val="none" w:sz="0" w:space="0" w:color="auto"/>
                    <w:bottom w:val="none" w:sz="0" w:space="0" w:color="auto"/>
                    <w:right w:val="none" w:sz="0" w:space="0" w:color="auto"/>
                  </w:divBdr>
                </w:div>
              </w:divsChild>
            </w:div>
            <w:div w:id="569578761">
              <w:marLeft w:val="0"/>
              <w:marRight w:val="0"/>
              <w:marTop w:val="0"/>
              <w:marBottom w:val="0"/>
              <w:divBdr>
                <w:top w:val="none" w:sz="0" w:space="0" w:color="auto"/>
                <w:left w:val="none" w:sz="0" w:space="0" w:color="auto"/>
                <w:bottom w:val="none" w:sz="0" w:space="0" w:color="auto"/>
                <w:right w:val="none" w:sz="0" w:space="0" w:color="auto"/>
              </w:divBdr>
              <w:divsChild>
                <w:div w:id="272321649">
                  <w:marLeft w:val="0"/>
                  <w:marRight w:val="0"/>
                  <w:marTop w:val="0"/>
                  <w:marBottom w:val="0"/>
                  <w:divBdr>
                    <w:top w:val="none" w:sz="0" w:space="0" w:color="auto"/>
                    <w:left w:val="none" w:sz="0" w:space="0" w:color="auto"/>
                    <w:bottom w:val="none" w:sz="0" w:space="0" w:color="auto"/>
                    <w:right w:val="none" w:sz="0" w:space="0" w:color="auto"/>
                  </w:divBdr>
                </w:div>
              </w:divsChild>
            </w:div>
            <w:div w:id="1845436365">
              <w:marLeft w:val="0"/>
              <w:marRight w:val="0"/>
              <w:marTop w:val="0"/>
              <w:marBottom w:val="0"/>
              <w:divBdr>
                <w:top w:val="none" w:sz="0" w:space="0" w:color="auto"/>
                <w:left w:val="none" w:sz="0" w:space="0" w:color="auto"/>
                <w:bottom w:val="none" w:sz="0" w:space="0" w:color="auto"/>
                <w:right w:val="none" w:sz="0" w:space="0" w:color="auto"/>
              </w:divBdr>
              <w:divsChild>
                <w:div w:id="2105614725">
                  <w:marLeft w:val="0"/>
                  <w:marRight w:val="0"/>
                  <w:marTop w:val="0"/>
                  <w:marBottom w:val="0"/>
                  <w:divBdr>
                    <w:top w:val="none" w:sz="0" w:space="0" w:color="auto"/>
                    <w:left w:val="none" w:sz="0" w:space="0" w:color="auto"/>
                    <w:bottom w:val="none" w:sz="0" w:space="0" w:color="auto"/>
                    <w:right w:val="none" w:sz="0" w:space="0" w:color="auto"/>
                  </w:divBdr>
                </w:div>
              </w:divsChild>
            </w:div>
            <w:div w:id="1128204061">
              <w:marLeft w:val="0"/>
              <w:marRight w:val="0"/>
              <w:marTop w:val="0"/>
              <w:marBottom w:val="0"/>
              <w:divBdr>
                <w:top w:val="none" w:sz="0" w:space="0" w:color="auto"/>
                <w:left w:val="none" w:sz="0" w:space="0" w:color="auto"/>
                <w:bottom w:val="none" w:sz="0" w:space="0" w:color="auto"/>
                <w:right w:val="none" w:sz="0" w:space="0" w:color="auto"/>
              </w:divBdr>
              <w:divsChild>
                <w:div w:id="350910414">
                  <w:marLeft w:val="0"/>
                  <w:marRight w:val="0"/>
                  <w:marTop w:val="0"/>
                  <w:marBottom w:val="0"/>
                  <w:divBdr>
                    <w:top w:val="none" w:sz="0" w:space="0" w:color="auto"/>
                    <w:left w:val="none" w:sz="0" w:space="0" w:color="auto"/>
                    <w:bottom w:val="none" w:sz="0" w:space="0" w:color="auto"/>
                    <w:right w:val="none" w:sz="0" w:space="0" w:color="auto"/>
                  </w:divBdr>
                </w:div>
              </w:divsChild>
            </w:div>
            <w:div w:id="1510212265">
              <w:marLeft w:val="0"/>
              <w:marRight w:val="0"/>
              <w:marTop w:val="0"/>
              <w:marBottom w:val="0"/>
              <w:divBdr>
                <w:top w:val="none" w:sz="0" w:space="0" w:color="auto"/>
                <w:left w:val="none" w:sz="0" w:space="0" w:color="auto"/>
                <w:bottom w:val="none" w:sz="0" w:space="0" w:color="auto"/>
                <w:right w:val="none" w:sz="0" w:space="0" w:color="auto"/>
              </w:divBdr>
              <w:divsChild>
                <w:div w:id="2108768863">
                  <w:marLeft w:val="0"/>
                  <w:marRight w:val="0"/>
                  <w:marTop w:val="0"/>
                  <w:marBottom w:val="0"/>
                  <w:divBdr>
                    <w:top w:val="none" w:sz="0" w:space="0" w:color="auto"/>
                    <w:left w:val="none" w:sz="0" w:space="0" w:color="auto"/>
                    <w:bottom w:val="none" w:sz="0" w:space="0" w:color="auto"/>
                    <w:right w:val="none" w:sz="0" w:space="0" w:color="auto"/>
                  </w:divBdr>
                </w:div>
              </w:divsChild>
            </w:div>
            <w:div w:id="911278134">
              <w:marLeft w:val="0"/>
              <w:marRight w:val="0"/>
              <w:marTop w:val="0"/>
              <w:marBottom w:val="0"/>
              <w:divBdr>
                <w:top w:val="none" w:sz="0" w:space="0" w:color="auto"/>
                <w:left w:val="none" w:sz="0" w:space="0" w:color="auto"/>
                <w:bottom w:val="none" w:sz="0" w:space="0" w:color="auto"/>
                <w:right w:val="none" w:sz="0" w:space="0" w:color="auto"/>
              </w:divBdr>
              <w:divsChild>
                <w:div w:id="544802831">
                  <w:marLeft w:val="0"/>
                  <w:marRight w:val="0"/>
                  <w:marTop w:val="0"/>
                  <w:marBottom w:val="0"/>
                  <w:divBdr>
                    <w:top w:val="none" w:sz="0" w:space="0" w:color="auto"/>
                    <w:left w:val="none" w:sz="0" w:space="0" w:color="auto"/>
                    <w:bottom w:val="none" w:sz="0" w:space="0" w:color="auto"/>
                    <w:right w:val="none" w:sz="0" w:space="0" w:color="auto"/>
                  </w:divBdr>
                </w:div>
              </w:divsChild>
            </w:div>
            <w:div w:id="335546972">
              <w:marLeft w:val="0"/>
              <w:marRight w:val="0"/>
              <w:marTop w:val="0"/>
              <w:marBottom w:val="0"/>
              <w:divBdr>
                <w:top w:val="none" w:sz="0" w:space="0" w:color="auto"/>
                <w:left w:val="none" w:sz="0" w:space="0" w:color="auto"/>
                <w:bottom w:val="none" w:sz="0" w:space="0" w:color="auto"/>
                <w:right w:val="none" w:sz="0" w:space="0" w:color="auto"/>
              </w:divBdr>
              <w:divsChild>
                <w:div w:id="212696443">
                  <w:marLeft w:val="0"/>
                  <w:marRight w:val="0"/>
                  <w:marTop w:val="0"/>
                  <w:marBottom w:val="0"/>
                  <w:divBdr>
                    <w:top w:val="none" w:sz="0" w:space="0" w:color="auto"/>
                    <w:left w:val="none" w:sz="0" w:space="0" w:color="auto"/>
                    <w:bottom w:val="none" w:sz="0" w:space="0" w:color="auto"/>
                    <w:right w:val="none" w:sz="0" w:space="0" w:color="auto"/>
                  </w:divBdr>
                </w:div>
              </w:divsChild>
            </w:div>
            <w:div w:id="367805065">
              <w:marLeft w:val="0"/>
              <w:marRight w:val="0"/>
              <w:marTop w:val="0"/>
              <w:marBottom w:val="0"/>
              <w:divBdr>
                <w:top w:val="none" w:sz="0" w:space="0" w:color="auto"/>
                <w:left w:val="none" w:sz="0" w:space="0" w:color="auto"/>
                <w:bottom w:val="none" w:sz="0" w:space="0" w:color="auto"/>
                <w:right w:val="none" w:sz="0" w:space="0" w:color="auto"/>
              </w:divBdr>
              <w:divsChild>
                <w:div w:id="145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01059">
      <w:bodyDiv w:val="1"/>
      <w:marLeft w:val="0"/>
      <w:marRight w:val="0"/>
      <w:marTop w:val="0"/>
      <w:marBottom w:val="0"/>
      <w:divBdr>
        <w:top w:val="none" w:sz="0" w:space="0" w:color="auto"/>
        <w:left w:val="none" w:sz="0" w:space="0" w:color="auto"/>
        <w:bottom w:val="none" w:sz="0" w:space="0" w:color="auto"/>
        <w:right w:val="none" w:sz="0" w:space="0" w:color="auto"/>
      </w:divBdr>
      <w:divsChild>
        <w:div w:id="951090674">
          <w:marLeft w:val="0"/>
          <w:marRight w:val="0"/>
          <w:marTop w:val="0"/>
          <w:marBottom w:val="0"/>
          <w:divBdr>
            <w:top w:val="none" w:sz="0" w:space="0" w:color="auto"/>
            <w:left w:val="none" w:sz="0" w:space="0" w:color="auto"/>
            <w:bottom w:val="none" w:sz="0" w:space="0" w:color="auto"/>
            <w:right w:val="none" w:sz="0" w:space="0" w:color="auto"/>
          </w:divBdr>
          <w:divsChild>
            <w:div w:id="1615213803">
              <w:marLeft w:val="0"/>
              <w:marRight w:val="0"/>
              <w:marTop w:val="0"/>
              <w:marBottom w:val="0"/>
              <w:divBdr>
                <w:top w:val="none" w:sz="0" w:space="0" w:color="auto"/>
                <w:left w:val="none" w:sz="0" w:space="0" w:color="auto"/>
                <w:bottom w:val="none" w:sz="0" w:space="0" w:color="auto"/>
                <w:right w:val="none" w:sz="0" w:space="0" w:color="auto"/>
              </w:divBdr>
              <w:divsChild>
                <w:div w:id="1821387144">
                  <w:marLeft w:val="0"/>
                  <w:marRight w:val="0"/>
                  <w:marTop w:val="0"/>
                  <w:marBottom w:val="0"/>
                  <w:divBdr>
                    <w:top w:val="none" w:sz="0" w:space="0" w:color="auto"/>
                    <w:left w:val="none" w:sz="0" w:space="0" w:color="auto"/>
                    <w:bottom w:val="none" w:sz="0" w:space="0" w:color="auto"/>
                    <w:right w:val="none" w:sz="0" w:space="0" w:color="auto"/>
                  </w:divBdr>
                </w:div>
              </w:divsChild>
            </w:div>
            <w:div w:id="667948013">
              <w:marLeft w:val="0"/>
              <w:marRight w:val="0"/>
              <w:marTop w:val="0"/>
              <w:marBottom w:val="0"/>
              <w:divBdr>
                <w:top w:val="none" w:sz="0" w:space="0" w:color="auto"/>
                <w:left w:val="none" w:sz="0" w:space="0" w:color="auto"/>
                <w:bottom w:val="none" w:sz="0" w:space="0" w:color="auto"/>
                <w:right w:val="none" w:sz="0" w:space="0" w:color="auto"/>
              </w:divBdr>
              <w:divsChild>
                <w:div w:id="990477679">
                  <w:marLeft w:val="0"/>
                  <w:marRight w:val="0"/>
                  <w:marTop w:val="0"/>
                  <w:marBottom w:val="0"/>
                  <w:divBdr>
                    <w:top w:val="none" w:sz="0" w:space="0" w:color="auto"/>
                    <w:left w:val="none" w:sz="0" w:space="0" w:color="auto"/>
                    <w:bottom w:val="none" w:sz="0" w:space="0" w:color="auto"/>
                    <w:right w:val="none" w:sz="0" w:space="0" w:color="auto"/>
                  </w:divBdr>
                </w:div>
              </w:divsChild>
            </w:div>
            <w:div w:id="280574098">
              <w:marLeft w:val="0"/>
              <w:marRight w:val="0"/>
              <w:marTop w:val="0"/>
              <w:marBottom w:val="0"/>
              <w:divBdr>
                <w:top w:val="none" w:sz="0" w:space="0" w:color="auto"/>
                <w:left w:val="none" w:sz="0" w:space="0" w:color="auto"/>
                <w:bottom w:val="none" w:sz="0" w:space="0" w:color="auto"/>
                <w:right w:val="none" w:sz="0" w:space="0" w:color="auto"/>
              </w:divBdr>
              <w:divsChild>
                <w:div w:id="2027363774">
                  <w:marLeft w:val="0"/>
                  <w:marRight w:val="0"/>
                  <w:marTop w:val="0"/>
                  <w:marBottom w:val="0"/>
                  <w:divBdr>
                    <w:top w:val="none" w:sz="0" w:space="0" w:color="auto"/>
                    <w:left w:val="none" w:sz="0" w:space="0" w:color="auto"/>
                    <w:bottom w:val="none" w:sz="0" w:space="0" w:color="auto"/>
                    <w:right w:val="none" w:sz="0" w:space="0" w:color="auto"/>
                  </w:divBdr>
                </w:div>
              </w:divsChild>
            </w:div>
            <w:div w:id="1112751054">
              <w:marLeft w:val="0"/>
              <w:marRight w:val="0"/>
              <w:marTop w:val="0"/>
              <w:marBottom w:val="0"/>
              <w:divBdr>
                <w:top w:val="none" w:sz="0" w:space="0" w:color="auto"/>
                <w:left w:val="none" w:sz="0" w:space="0" w:color="auto"/>
                <w:bottom w:val="none" w:sz="0" w:space="0" w:color="auto"/>
                <w:right w:val="none" w:sz="0" w:space="0" w:color="auto"/>
              </w:divBdr>
              <w:divsChild>
                <w:div w:id="1279602990">
                  <w:marLeft w:val="0"/>
                  <w:marRight w:val="0"/>
                  <w:marTop w:val="0"/>
                  <w:marBottom w:val="0"/>
                  <w:divBdr>
                    <w:top w:val="none" w:sz="0" w:space="0" w:color="auto"/>
                    <w:left w:val="none" w:sz="0" w:space="0" w:color="auto"/>
                    <w:bottom w:val="none" w:sz="0" w:space="0" w:color="auto"/>
                    <w:right w:val="none" w:sz="0" w:space="0" w:color="auto"/>
                  </w:divBdr>
                </w:div>
              </w:divsChild>
            </w:div>
            <w:div w:id="1396002968">
              <w:marLeft w:val="0"/>
              <w:marRight w:val="0"/>
              <w:marTop w:val="0"/>
              <w:marBottom w:val="0"/>
              <w:divBdr>
                <w:top w:val="none" w:sz="0" w:space="0" w:color="auto"/>
                <w:left w:val="none" w:sz="0" w:space="0" w:color="auto"/>
                <w:bottom w:val="none" w:sz="0" w:space="0" w:color="auto"/>
                <w:right w:val="none" w:sz="0" w:space="0" w:color="auto"/>
              </w:divBdr>
              <w:divsChild>
                <w:div w:id="176981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A5AEC-9C1F-5A40-A212-123510CAA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16</Pages>
  <Words>5043</Words>
  <Characters>29155</Characters>
  <Application>Microsoft Office Word</Application>
  <DocSecurity>0</DocSecurity>
  <Lines>416</Lines>
  <Paragraphs>100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Miranda</dc:creator>
  <cp:keywords/>
  <dc:description/>
  <cp:lastModifiedBy>Paolo de Miranda</cp:lastModifiedBy>
  <cp:revision>4</cp:revision>
  <cp:lastPrinted>2025-12-18T07:59:00Z</cp:lastPrinted>
  <dcterms:created xsi:type="dcterms:W3CDTF">2026-05-23T13:08:00Z</dcterms:created>
  <dcterms:modified xsi:type="dcterms:W3CDTF">2026-05-23T13:44:00Z</dcterms:modified>
</cp:coreProperties>
</file>