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F06CF" w14:textId="77777777" w:rsidR="00726F17" w:rsidRPr="007524A9" w:rsidRDefault="00726F17" w:rsidP="00AE7793">
      <w:pPr>
        <w:pStyle w:val="p1"/>
        <w:spacing w:before="240" w:beforeAutospacing="0" w:after="0" w:afterAutospacing="0" w:line="360" w:lineRule="auto"/>
        <w:ind w:right="-2"/>
        <w:jc w:val="center"/>
        <w:rPr>
          <w:rFonts w:asciiTheme="minorHAnsi" w:hAnsiTheme="minorHAnsi" w:cstheme="minorHAnsi"/>
          <w:b/>
          <w:bCs/>
          <w:sz w:val="32"/>
          <w:szCs w:val="32"/>
        </w:rPr>
      </w:pPr>
      <w:r w:rsidRPr="007524A9">
        <w:rPr>
          <w:rFonts w:asciiTheme="minorHAnsi" w:hAnsiTheme="minorHAnsi" w:cstheme="minorHAnsi"/>
          <w:b/>
          <w:bCs/>
          <w:sz w:val="32"/>
          <w:szCs w:val="32"/>
        </w:rPr>
        <w:t>SUPREMA CORTE DI CASSAZIONE</w:t>
      </w:r>
    </w:p>
    <w:p w14:paraId="1964F776" w14:textId="77777777" w:rsidR="00726F17" w:rsidRPr="007524A9" w:rsidRDefault="00726F17" w:rsidP="00AE7793">
      <w:pPr>
        <w:pStyle w:val="p2"/>
        <w:spacing w:before="0" w:beforeAutospacing="0" w:after="0" w:afterAutospacing="0" w:line="360" w:lineRule="auto"/>
        <w:ind w:right="-2"/>
        <w:jc w:val="center"/>
        <w:rPr>
          <w:rFonts w:asciiTheme="minorHAnsi" w:hAnsiTheme="minorHAnsi" w:cstheme="minorHAnsi"/>
          <w:b/>
          <w:bCs/>
        </w:rPr>
      </w:pPr>
    </w:p>
    <w:p w14:paraId="51762F8D" w14:textId="77777777" w:rsidR="00726F17" w:rsidRPr="007524A9" w:rsidRDefault="00726F17" w:rsidP="00AE7793">
      <w:pPr>
        <w:pStyle w:val="p1"/>
        <w:spacing w:before="0" w:beforeAutospacing="0" w:after="0" w:afterAutospacing="0" w:line="360" w:lineRule="auto"/>
        <w:ind w:right="-2"/>
        <w:jc w:val="center"/>
        <w:rPr>
          <w:rFonts w:asciiTheme="minorHAnsi" w:hAnsiTheme="minorHAnsi" w:cstheme="minorHAnsi"/>
          <w:b/>
          <w:bCs/>
          <w:sz w:val="28"/>
          <w:szCs w:val="28"/>
        </w:rPr>
      </w:pPr>
      <w:r w:rsidRPr="007524A9">
        <w:rPr>
          <w:rFonts w:asciiTheme="minorHAnsi" w:hAnsiTheme="minorHAnsi" w:cstheme="minorHAnsi"/>
          <w:b/>
          <w:bCs/>
          <w:sz w:val="28"/>
          <w:szCs w:val="28"/>
        </w:rPr>
        <w:t>CONTRORICORSO EX ART. 370 COD. PROC. CIV.</w:t>
      </w:r>
    </w:p>
    <w:p w14:paraId="3E0B0B37" w14:textId="77777777" w:rsidR="00726F17" w:rsidRPr="007524A9" w:rsidRDefault="00726F17" w:rsidP="00AE7793">
      <w:pPr>
        <w:pStyle w:val="p2"/>
        <w:spacing w:before="0" w:beforeAutospacing="0" w:after="0" w:afterAutospacing="0" w:line="360" w:lineRule="auto"/>
        <w:ind w:right="-2"/>
        <w:jc w:val="center"/>
        <w:rPr>
          <w:rFonts w:asciiTheme="minorHAnsi" w:hAnsiTheme="minorHAnsi" w:cstheme="minorHAnsi"/>
          <w:b/>
          <w:bCs/>
        </w:rPr>
      </w:pPr>
    </w:p>
    <w:p w14:paraId="48BA1266" w14:textId="77777777" w:rsidR="00726DC4" w:rsidRPr="007524A9" w:rsidRDefault="00726F17" w:rsidP="00AE7793">
      <w:pPr>
        <w:pStyle w:val="p1"/>
        <w:spacing w:before="0" w:beforeAutospacing="0" w:after="0" w:afterAutospacing="0" w:line="360" w:lineRule="auto"/>
        <w:ind w:right="-2"/>
        <w:jc w:val="both"/>
        <w:rPr>
          <w:rFonts w:asciiTheme="minorHAnsi" w:hAnsiTheme="minorHAnsi" w:cstheme="minorHAnsi"/>
        </w:rPr>
      </w:pPr>
      <w:r w:rsidRPr="007524A9">
        <w:rPr>
          <w:rFonts w:asciiTheme="minorHAnsi" w:hAnsiTheme="minorHAnsi" w:cstheme="minorHAnsi"/>
        </w:rPr>
        <w:t xml:space="preserve">Nell’interesse di </w:t>
      </w:r>
    </w:p>
    <w:p w14:paraId="2560AF98" w14:textId="691DDE17" w:rsidR="00726F17" w:rsidRPr="007524A9" w:rsidRDefault="001325F6" w:rsidP="00AE7793">
      <w:pPr>
        <w:pStyle w:val="p1"/>
        <w:spacing w:before="0" w:beforeAutospacing="0" w:after="0" w:afterAutospacing="0" w:line="360" w:lineRule="auto"/>
        <w:ind w:right="-2"/>
        <w:jc w:val="both"/>
        <w:rPr>
          <w:rFonts w:asciiTheme="minorHAnsi" w:hAnsiTheme="minorHAnsi" w:cstheme="minorHAnsi"/>
        </w:rPr>
      </w:pPr>
      <w:r w:rsidRPr="007524A9">
        <w:rPr>
          <w:rFonts w:ascii="Calibri" w:hAnsi="Calibri"/>
          <w:b/>
        </w:rPr>
        <w:t>METALSIDER2 S.P.A.</w:t>
      </w:r>
      <w:r w:rsidRPr="007524A9">
        <w:rPr>
          <w:rFonts w:ascii="Calibri" w:hAnsi="Calibri"/>
        </w:rPr>
        <w:t xml:space="preserve"> con sede in Modena, strada Villavara n. 15/A - cod.fisc. e </w:t>
      </w:r>
      <w:proofErr w:type="spellStart"/>
      <w:r w:rsidRPr="007524A9">
        <w:rPr>
          <w:rFonts w:ascii="Calibri" w:hAnsi="Calibri"/>
        </w:rPr>
        <w:t>p.iva</w:t>
      </w:r>
      <w:proofErr w:type="spellEnd"/>
      <w:r w:rsidRPr="007524A9">
        <w:rPr>
          <w:rFonts w:ascii="Calibri" w:hAnsi="Calibri"/>
        </w:rPr>
        <w:t xml:space="preserve">. 02077140354 in persona del Sig. </w:t>
      </w:r>
      <w:proofErr w:type="spellStart"/>
      <w:r w:rsidRPr="007524A9">
        <w:rPr>
          <w:rFonts w:ascii="Calibri" w:hAnsi="Calibri"/>
        </w:rPr>
        <w:t>Digani</w:t>
      </w:r>
      <w:proofErr w:type="spellEnd"/>
      <w:r w:rsidRPr="007524A9">
        <w:rPr>
          <w:rFonts w:ascii="Calibri" w:hAnsi="Calibri"/>
        </w:rPr>
        <w:t xml:space="preserve"> Fernando legale rappresentante pro tempore Amministratore Unico, come rappresentata e difesa</w:t>
      </w:r>
      <w:r w:rsidR="00726F17" w:rsidRPr="007524A9">
        <w:rPr>
          <w:rFonts w:asciiTheme="minorHAnsi" w:hAnsiTheme="minorHAnsi" w:cstheme="minorHAnsi"/>
        </w:rPr>
        <w:t xml:space="preserve">, giusta procura speciale in calce al presente atto, dall’Avv. Paolo </w:t>
      </w:r>
      <w:r w:rsidR="00726DC4" w:rsidRPr="007524A9">
        <w:rPr>
          <w:rFonts w:asciiTheme="minorHAnsi" w:hAnsiTheme="minorHAnsi" w:cstheme="minorHAnsi"/>
        </w:rPr>
        <w:t>d</w:t>
      </w:r>
      <w:r w:rsidR="00726F17" w:rsidRPr="007524A9">
        <w:rPr>
          <w:rFonts w:asciiTheme="minorHAnsi" w:hAnsiTheme="minorHAnsi" w:cstheme="minorHAnsi"/>
        </w:rPr>
        <w:t xml:space="preserve">e Miranda del Foro di Ravenna, con studio in via </w:t>
      </w:r>
      <w:proofErr w:type="spellStart"/>
      <w:r w:rsidR="00726F17" w:rsidRPr="007524A9">
        <w:rPr>
          <w:rFonts w:asciiTheme="minorHAnsi" w:hAnsiTheme="minorHAnsi" w:cstheme="minorHAnsi"/>
        </w:rPr>
        <w:t>Guaccimanni</w:t>
      </w:r>
      <w:proofErr w:type="spellEnd"/>
      <w:r w:rsidR="00726F17" w:rsidRPr="007524A9">
        <w:rPr>
          <w:rFonts w:asciiTheme="minorHAnsi" w:hAnsiTheme="minorHAnsi" w:cstheme="minorHAnsi"/>
        </w:rPr>
        <w:t xml:space="preserve"> </w:t>
      </w:r>
      <w:r w:rsidR="009069FA" w:rsidRPr="007524A9">
        <w:rPr>
          <w:rFonts w:asciiTheme="minorHAnsi" w:hAnsiTheme="minorHAnsi" w:cstheme="minorHAnsi"/>
        </w:rPr>
        <w:t xml:space="preserve">n. </w:t>
      </w:r>
      <w:r w:rsidR="00726F17" w:rsidRPr="007524A9">
        <w:rPr>
          <w:rFonts w:asciiTheme="minorHAnsi" w:hAnsiTheme="minorHAnsi" w:cstheme="minorHAnsi"/>
        </w:rPr>
        <w:t xml:space="preserve">25, </w:t>
      </w:r>
      <w:proofErr w:type="spellStart"/>
      <w:r w:rsidR="00726DC4" w:rsidRPr="007524A9">
        <w:rPr>
          <w:rFonts w:asciiTheme="minorHAnsi" w:hAnsiTheme="minorHAnsi" w:cstheme="minorHAnsi"/>
        </w:rPr>
        <w:t>pec</w:t>
      </w:r>
      <w:proofErr w:type="spellEnd"/>
      <w:r w:rsidR="00726F17" w:rsidRPr="007524A9">
        <w:rPr>
          <w:rFonts w:asciiTheme="minorHAnsi" w:hAnsiTheme="minorHAnsi" w:cstheme="minorHAnsi"/>
        </w:rPr>
        <w:t xml:space="preserve"> </w:t>
      </w:r>
      <w:r w:rsidR="00726F17" w:rsidRPr="007524A9">
        <w:rPr>
          <w:rFonts w:asciiTheme="minorHAnsi" w:hAnsiTheme="minorHAnsi" w:cstheme="minorHAnsi"/>
          <w:i/>
          <w:iCs/>
        </w:rPr>
        <w:t>paolo.demiranda@ordineavvocatiravenna.eu</w:t>
      </w:r>
      <w:r w:rsidR="009069FA" w:rsidRPr="007524A9">
        <w:rPr>
          <w:rFonts w:asciiTheme="minorHAnsi" w:hAnsiTheme="minorHAnsi" w:cstheme="minorHAnsi"/>
        </w:rPr>
        <w:t xml:space="preserve"> -</w:t>
      </w:r>
      <w:r w:rsidR="00726F17" w:rsidRPr="007524A9">
        <w:rPr>
          <w:rFonts w:asciiTheme="minorHAnsi" w:hAnsiTheme="minorHAnsi" w:cstheme="minorHAnsi"/>
        </w:rPr>
        <w:t xml:space="preserve"> telefax 0544 1951514, ove è elettivamente </w:t>
      </w:r>
      <w:proofErr w:type="gramStart"/>
      <w:r w:rsidR="00726F17" w:rsidRPr="007524A9">
        <w:rPr>
          <w:rFonts w:asciiTheme="minorHAnsi" w:hAnsiTheme="minorHAnsi" w:cstheme="minorHAnsi"/>
        </w:rPr>
        <w:t>domiciliata;</w:t>
      </w:r>
      <w:r w:rsidR="00726DC4" w:rsidRPr="007524A9">
        <w:rPr>
          <w:rFonts w:asciiTheme="minorHAnsi" w:hAnsiTheme="minorHAnsi" w:cstheme="minorHAnsi"/>
        </w:rPr>
        <w:t xml:space="preserve">   </w:t>
      </w:r>
      <w:proofErr w:type="gramEnd"/>
      <w:r w:rsidR="00726DC4" w:rsidRPr="007524A9">
        <w:rPr>
          <w:rFonts w:asciiTheme="minorHAnsi" w:hAnsiTheme="minorHAnsi" w:cstheme="minorHAnsi"/>
        </w:rPr>
        <w:t xml:space="preserve">                                            </w:t>
      </w:r>
      <w:r w:rsidRPr="007524A9">
        <w:rPr>
          <w:rFonts w:asciiTheme="minorHAnsi" w:hAnsiTheme="minorHAnsi" w:cstheme="minorHAnsi"/>
        </w:rPr>
        <w:t xml:space="preserve">               </w:t>
      </w:r>
      <w:r w:rsidR="00726DC4" w:rsidRPr="007524A9">
        <w:rPr>
          <w:rFonts w:asciiTheme="minorHAnsi" w:hAnsiTheme="minorHAnsi" w:cstheme="minorHAnsi"/>
        </w:rPr>
        <w:t xml:space="preserve">                                      </w:t>
      </w:r>
      <w:r w:rsidR="00726F17" w:rsidRPr="007524A9">
        <w:rPr>
          <w:rFonts w:asciiTheme="minorHAnsi" w:hAnsiTheme="minorHAnsi" w:cstheme="minorHAnsi"/>
          <w:b/>
          <w:bCs/>
        </w:rPr>
        <w:t xml:space="preserve">- </w:t>
      </w:r>
      <w:r w:rsidRPr="007524A9">
        <w:rPr>
          <w:rFonts w:asciiTheme="minorHAnsi" w:hAnsiTheme="minorHAnsi" w:cstheme="minorHAnsi"/>
          <w:b/>
          <w:bCs/>
        </w:rPr>
        <w:t>intimata</w:t>
      </w:r>
      <w:r w:rsidR="00726F17" w:rsidRPr="007524A9">
        <w:rPr>
          <w:rFonts w:asciiTheme="minorHAnsi" w:hAnsiTheme="minorHAnsi" w:cstheme="minorHAnsi"/>
          <w:b/>
          <w:bCs/>
        </w:rPr>
        <w:t xml:space="preserve"> -</w:t>
      </w:r>
    </w:p>
    <w:p w14:paraId="093D1A36" w14:textId="77777777" w:rsidR="00726F17" w:rsidRPr="007524A9" w:rsidRDefault="00726F17" w:rsidP="00AE7793">
      <w:pPr>
        <w:pStyle w:val="p1"/>
        <w:spacing w:before="240" w:beforeAutospacing="0" w:after="240" w:afterAutospacing="0" w:line="360" w:lineRule="auto"/>
        <w:ind w:right="-2"/>
        <w:jc w:val="center"/>
        <w:rPr>
          <w:rFonts w:asciiTheme="minorHAnsi" w:hAnsiTheme="minorHAnsi" w:cstheme="minorHAnsi"/>
          <w:b/>
          <w:bCs/>
        </w:rPr>
      </w:pPr>
      <w:r w:rsidRPr="007524A9">
        <w:rPr>
          <w:rFonts w:asciiTheme="minorHAnsi" w:hAnsiTheme="minorHAnsi" w:cstheme="minorHAnsi"/>
          <w:b/>
          <w:bCs/>
        </w:rPr>
        <w:t>CONTRO</w:t>
      </w:r>
    </w:p>
    <w:p w14:paraId="4B9DCB5F" w14:textId="4FFF3192" w:rsidR="006A44A6" w:rsidRPr="007524A9" w:rsidRDefault="001325F6" w:rsidP="00EC562F">
      <w:pPr>
        <w:spacing w:line="480" w:lineRule="auto"/>
        <w:ind w:right="27"/>
        <w:jc w:val="both"/>
        <w:rPr>
          <w:rFonts w:ascii="Calibri" w:hAnsi="Calibri" w:cs="Calibri"/>
          <w:b/>
          <w:sz w:val="22"/>
          <w:szCs w:val="22"/>
        </w:rPr>
      </w:pPr>
      <w:r w:rsidRPr="007524A9">
        <w:rPr>
          <w:rFonts w:ascii="Calibri" w:hAnsi="Calibri" w:cs="Calibri"/>
        </w:rPr>
        <w:t>l’</w:t>
      </w:r>
      <w:r w:rsidRPr="007524A9">
        <w:rPr>
          <w:rFonts w:ascii="Calibri" w:hAnsi="Calibri" w:cs="Calibri"/>
          <w:b/>
        </w:rPr>
        <w:t>AGENZIA</w:t>
      </w:r>
      <w:r w:rsidRPr="007524A9">
        <w:rPr>
          <w:rFonts w:ascii="Calibri" w:hAnsi="Calibri" w:cs="Calibri"/>
        </w:rPr>
        <w:t xml:space="preserve"> </w:t>
      </w:r>
      <w:r w:rsidRPr="007524A9">
        <w:rPr>
          <w:rFonts w:ascii="Calibri" w:hAnsi="Calibri" w:cs="Calibri"/>
          <w:b/>
        </w:rPr>
        <w:t>delle ENTRATE – Direzione Provinciale di Modena</w:t>
      </w:r>
      <w:r w:rsidRPr="007524A9">
        <w:rPr>
          <w:rFonts w:ascii="Calibri" w:hAnsi="Calibri" w:cs="Calibri"/>
        </w:rPr>
        <w:t xml:space="preserve">, rappresentata e difesa dall’Avvocatura Generale dello Stato       </w:t>
      </w:r>
      <w:r w:rsidR="009069FA" w:rsidRPr="007524A9">
        <w:rPr>
          <w:rFonts w:asciiTheme="minorHAnsi" w:hAnsiTheme="minorHAnsi" w:cstheme="minorHAnsi"/>
        </w:rPr>
        <w:t xml:space="preserve">      </w:t>
      </w:r>
      <w:r w:rsidR="00EC562F" w:rsidRPr="007524A9">
        <w:rPr>
          <w:rFonts w:asciiTheme="minorHAnsi" w:hAnsiTheme="minorHAnsi" w:cstheme="minorHAnsi"/>
        </w:rPr>
        <w:t xml:space="preserve">                                                          </w:t>
      </w:r>
      <w:r w:rsidR="009069FA" w:rsidRPr="007524A9">
        <w:rPr>
          <w:rFonts w:asciiTheme="minorHAnsi" w:hAnsiTheme="minorHAnsi" w:cstheme="minorHAnsi"/>
        </w:rPr>
        <w:t xml:space="preserve">      </w:t>
      </w:r>
      <w:r w:rsidR="00726DC4" w:rsidRPr="007524A9">
        <w:rPr>
          <w:rFonts w:asciiTheme="minorHAnsi" w:hAnsiTheme="minorHAnsi" w:cstheme="minorHAnsi"/>
        </w:rPr>
        <w:t xml:space="preserve"> </w:t>
      </w:r>
      <w:r w:rsidR="00726F17" w:rsidRPr="007524A9">
        <w:rPr>
          <w:rFonts w:asciiTheme="minorHAnsi" w:hAnsiTheme="minorHAnsi" w:cstheme="minorHAnsi"/>
          <w:b/>
          <w:bCs/>
        </w:rPr>
        <w:t>- ricorrente -</w:t>
      </w:r>
    </w:p>
    <w:p w14:paraId="7F8FE1EF" w14:textId="77777777" w:rsidR="00726DC4" w:rsidRPr="007524A9" w:rsidRDefault="004B00B3" w:rsidP="00EC562F">
      <w:pPr>
        <w:pStyle w:val="p1"/>
        <w:spacing w:before="240" w:beforeAutospacing="0" w:after="0" w:afterAutospacing="0" w:line="360" w:lineRule="auto"/>
        <w:ind w:right="-2"/>
        <w:jc w:val="center"/>
        <w:rPr>
          <w:rFonts w:asciiTheme="minorHAnsi" w:hAnsiTheme="minorHAnsi" w:cstheme="minorHAnsi"/>
          <w:b/>
          <w:bCs/>
        </w:rPr>
      </w:pPr>
      <w:r w:rsidRPr="007524A9">
        <w:rPr>
          <w:rFonts w:asciiTheme="minorHAnsi" w:hAnsiTheme="minorHAnsi" w:cstheme="minorHAnsi"/>
          <w:b/>
          <w:bCs/>
        </w:rPr>
        <w:t>ATTO IMPUGNATO DA PARTE RICORRENTE</w:t>
      </w:r>
    </w:p>
    <w:p w14:paraId="4DDB99A4" w14:textId="0C1D87A8" w:rsidR="00726F17" w:rsidRPr="007524A9" w:rsidRDefault="006A44A6" w:rsidP="00AE7793">
      <w:pPr>
        <w:pStyle w:val="p1"/>
        <w:spacing w:before="0" w:beforeAutospacing="0" w:after="0" w:afterAutospacing="0" w:line="360" w:lineRule="auto"/>
        <w:ind w:right="-2"/>
        <w:jc w:val="both"/>
        <w:rPr>
          <w:rFonts w:asciiTheme="minorHAnsi" w:hAnsiTheme="minorHAnsi" w:cstheme="minorHAnsi"/>
        </w:rPr>
      </w:pPr>
      <w:r w:rsidRPr="007524A9">
        <w:rPr>
          <w:rFonts w:asciiTheme="minorHAnsi" w:hAnsiTheme="minorHAnsi" w:cstheme="minorHAnsi"/>
        </w:rPr>
        <w:t>Con ricorso notificato in data 10.</w:t>
      </w:r>
      <w:r w:rsidR="001325F6" w:rsidRPr="007524A9">
        <w:rPr>
          <w:rFonts w:asciiTheme="minorHAnsi" w:hAnsiTheme="minorHAnsi" w:cstheme="minorHAnsi"/>
        </w:rPr>
        <w:t>1</w:t>
      </w:r>
      <w:r w:rsidRPr="007524A9">
        <w:rPr>
          <w:rFonts w:asciiTheme="minorHAnsi" w:hAnsiTheme="minorHAnsi" w:cstheme="minorHAnsi"/>
        </w:rPr>
        <w:t>1.2025 (Doc. 1</w:t>
      </w:r>
      <w:r w:rsidR="00A73BA1" w:rsidRPr="007524A9">
        <w:rPr>
          <w:rFonts w:asciiTheme="minorHAnsi" w:hAnsiTheme="minorHAnsi" w:cstheme="minorHAnsi"/>
        </w:rPr>
        <w:t xml:space="preserve"> Cassazione</w:t>
      </w:r>
      <w:r w:rsidRPr="007524A9">
        <w:rPr>
          <w:rFonts w:asciiTheme="minorHAnsi" w:hAnsiTheme="minorHAnsi" w:cstheme="minorHAnsi"/>
        </w:rPr>
        <w:t xml:space="preserve">) è stata impugnata la </w:t>
      </w:r>
      <w:r w:rsidRPr="007524A9">
        <w:rPr>
          <w:rFonts w:asciiTheme="minorHAnsi" w:hAnsiTheme="minorHAnsi" w:cstheme="minorHAnsi"/>
          <w:b/>
          <w:bCs/>
        </w:rPr>
        <w:t>s</w:t>
      </w:r>
      <w:r w:rsidR="00726F17" w:rsidRPr="007524A9">
        <w:rPr>
          <w:rFonts w:asciiTheme="minorHAnsi" w:hAnsiTheme="minorHAnsi" w:cstheme="minorHAnsi"/>
          <w:b/>
          <w:bCs/>
        </w:rPr>
        <w:t>entenza n.</w:t>
      </w:r>
      <w:r w:rsidR="00726F17" w:rsidRPr="007524A9">
        <w:rPr>
          <w:rFonts w:asciiTheme="minorHAnsi" w:hAnsiTheme="minorHAnsi" w:cstheme="minorHAnsi"/>
        </w:rPr>
        <w:t xml:space="preserve"> </w:t>
      </w:r>
      <w:r w:rsidR="001325F6" w:rsidRPr="007524A9">
        <w:rPr>
          <w:rFonts w:asciiTheme="minorHAnsi" w:hAnsiTheme="minorHAnsi" w:cstheme="minorHAnsi"/>
          <w:b/>
          <w:bCs/>
        </w:rPr>
        <w:t>305</w:t>
      </w:r>
      <w:r w:rsidR="00726F17" w:rsidRPr="007524A9">
        <w:rPr>
          <w:rFonts w:asciiTheme="minorHAnsi" w:hAnsiTheme="minorHAnsi" w:cstheme="minorHAnsi"/>
          <w:b/>
          <w:bCs/>
        </w:rPr>
        <w:t>/202</w:t>
      </w:r>
      <w:r w:rsidR="001325F6" w:rsidRPr="007524A9">
        <w:rPr>
          <w:rFonts w:asciiTheme="minorHAnsi" w:hAnsiTheme="minorHAnsi" w:cstheme="minorHAnsi"/>
          <w:b/>
          <w:bCs/>
        </w:rPr>
        <w:t>5</w:t>
      </w:r>
      <w:r w:rsidR="004B00B3" w:rsidRPr="007524A9">
        <w:rPr>
          <w:rFonts w:asciiTheme="minorHAnsi" w:hAnsiTheme="minorHAnsi" w:cstheme="minorHAnsi"/>
        </w:rPr>
        <w:t xml:space="preserve"> del 27.03.202</w:t>
      </w:r>
      <w:r w:rsidR="001325F6" w:rsidRPr="007524A9">
        <w:rPr>
          <w:rFonts w:asciiTheme="minorHAnsi" w:hAnsiTheme="minorHAnsi" w:cstheme="minorHAnsi"/>
        </w:rPr>
        <w:t>5</w:t>
      </w:r>
      <w:r w:rsidR="00EC562F" w:rsidRPr="007524A9">
        <w:rPr>
          <w:rFonts w:asciiTheme="minorHAnsi" w:hAnsiTheme="minorHAnsi" w:cstheme="minorHAnsi"/>
        </w:rPr>
        <w:t xml:space="preserve"> </w:t>
      </w:r>
      <w:r w:rsidR="004B00B3" w:rsidRPr="007524A9">
        <w:rPr>
          <w:rFonts w:asciiTheme="minorHAnsi" w:hAnsiTheme="minorHAnsi" w:cstheme="minorHAnsi"/>
        </w:rPr>
        <w:t xml:space="preserve">della </w:t>
      </w:r>
      <w:r w:rsidR="001325F6" w:rsidRPr="007524A9">
        <w:rPr>
          <w:rFonts w:asciiTheme="minorHAnsi" w:hAnsiTheme="minorHAnsi" w:cstheme="minorHAnsi"/>
        </w:rPr>
        <w:t>Corte di Giustizia Tributaria di secondo grado Emilia-Romagna</w:t>
      </w:r>
      <w:r w:rsidR="00726F17" w:rsidRPr="007524A9">
        <w:rPr>
          <w:rFonts w:asciiTheme="minorHAnsi" w:hAnsiTheme="minorHAnsi" w:cstheme="minorHAnsi"/>
        </w:rPr>
        <w:t xml:space="preserve">, </w:t>
      </w:r>
      <w:r w:rsidR="001325F6" w:rsidRPr="007524A9">
        <w:rPr>
          <w:rFonts w:asciiTheme="minorHAnsi" w:hAnsiTheme="minorHAnsi" w:cstheme="minorHAnsi"/>
        </w:rPr>
        <w:t xml:space="preserve">depositata </w:t>
      </w:r>
      <w:r w:rsidR="00726F17" w:rsidRPr="007524A9">
        <w:rPr>
          <w:rFonts w:asciiTheme="minorHAnsi" w:hAnsiTheme="minorHAnsi" w:cstheme="minorHAnsi"/>
        </w:rPr>
        <w:t>l</w:t>
      </w:r>
      <w:r w:rsidR="001325F6" w:rsidRPr="007524A9">
        <w:rPr>
          <w:rFonts w:asciiTheme="minorHAnsi" w:hAnsiTheme="minorHAnsi" w:cstheme="minorHAnsi"/>
        </w:rPr>
        <w:t>’</w:t>
      </w:r>
      <w:r w:rsidR="00726F17" w:rsidRPr="007524A9">
        <w:rPr>
          <w:rFonts w:asciiTheme="minorHAnsi" w:hAnsiTheme="minorHAnsi" w:cstheme="minorHAnsi"/>
        </w:rPr>
        <w:t>1</w:t>
      </w:r>
      <w:r w:rsidR="001325F6" w:rsidRPr="007524A9">
        <w:rPr>
          <w:rFonts w:asciiTheme="minorHAnsi" w:hAnsiTheme="minorHAnsi" w:cstheme="minorHAnsi"/>
        </w:rPr>
        <w:t>1</w:t>
      </w:r>
      <w:r w:rsidR="004B00B3" w:rsidRPr="007524A9">
        <w:rPr>
          <w:rFonts w:asciiTheme="minorHAnsi" w:hAnsiTheme="minorHAnsi" w:cstheme="minorHAnsi"/>
        </w:rPr>
        <w:t>.</w:t>
      </w:r>
      <w:r w:rsidR="00726F17" w:rsidRPr="007524A9">
        <w:rPr>
          <w:rFonts w:asciiTheme="minorHAnsi" w:hAnsiTheme="minorHAnsi" w:cstheme="minorHAnsi"/>
        </w:rPr>
        <w:t>0</w:t>
      </w:r>
      <w:r w:rsidR="001325F6" w:rsidRPr="007524A9">
        <w:rPr>
          <w:rFonts w:asciiTheme="minorHAnsi" w:hAnsiTheme="minorHAnsi" w:cstheme="minorHAnsi"/>
        </w:rPr>
        <w:t>4</w:t>
      </w:r>
      <w:r w:rsidR="004B00B3" w:rsidRPr="007524A9">
        <w:rPr>
          <w:rFonts w:asciiTheme="minorHAnsi" w:hAnsiTheme="minorHAnsi" w:cstheme="minorHAnsi"/>
        </w:rPr>
        <w:t>.</w:t>
      </w:r>
      <w:r w:rsidR="00726F17" w:rsidRPr="007524A9">
        <w:rPr>
          <w:rFonts w:asciiTheme="minorHAnsi" w:hAnsiTheme="minorHAnsi" w:cstheme="minorHAnsi"/>
        </w:rPr>
        <w:t>202</w:t>
      </w:r>
      <w:r w:rsidR="001325F6" w:rsidRPr="007524A9">
        <w:rPr>
          <w:rFonts w:asciiTheme="minorHAnsi" w:hAnsiTheme="minorHAnsi" w:cstheme="minorHAnsi"/>
        </w:rPr>
        <w:t>5</w:t>
      </w:r>
      <w:r w:rsidR="00726F17" w:rsidRPr="007524A9">
        <w:rPr>
          <w:rFonts w:asciiTheme="minorHAnsi" w:hAnsiTheme="minorHAnsi" w:cstheme="minorHAnsi"/>
        </w:rPr>
        <w:t xml:space="preserve"> </w:t>
      </w:r>
      <w:r w:rsidRPr="007524A9">
        <w:rPr>
          <w:rFonts w:asciiTheme="minorHAnsi" w:hAnsiTheme="minorHAnsi" w:cstheme="minorHAnsi"/>
        </w:rPr>
        <w:t>(Doc. 2</w:t>
      </w:r>
      <w:r w:rsidR="00A73BA1" w:rsidRPr="007524A9">
        <w:rPr>
          <w:rFonts w:asciiTheme="minorHAnsi" w:hAnsiTheme="minorHAnsi" w:cstheme="minorHAnsi"/>
        </w:rPr>
        <w:t xml:space="preserve"> Cassazione</w:t>
      </w:r>
      <w:r w:rsidRPr="007524A9">
        <w:rPr>
          <w:rFonts w:asciiTheme="minorHAnsi" w:hAnsiTheme="minorHAnsi" w:cstheme="minorHAnsi"/>
        </w:rPr>
        <w:t>)</w:t>
      </w:r>
      <w:r w:rsidR="00726F17" w:rsidRPr="007524A9">
        <w:rPr>
          <w:rFonts w:asciiTheme="minorHAnsi" w:hAnsiTheme="minorHAnsi" w:cstheme="minorHAnsi"/>
        </w:rPr>
        <w:t>.</w:t>
      </w:r>
    </w:p>
    <w:p w14:paraId="7CA2002A" w14:textId="77777777" w:rsidR="00726F17" w:rsidRPr="007524A9" w:rsidRDefault="00187BA6" w:rsidP="00AE7793">
      <w:pPr>
        <w:pStyle w:val="p2"/>
        <w:spacing w:before="0" w:beforeAutospacing="0" w:after="0" w:afterAutospacing="0" w:line="360" w:lineRule="auto"/>
        <w:ind w:right="-2"/>
        <w:jc w:val="both"/>
        <w:rPr>
          <w:rFonts w:asciiTheme="minorHAnsi" w:hAnsiTheme="minorHAnsi" w:cstheme="minorHAnsi"/>
        </w:rPr>
      </w:pPr>
      <w:r w:rsidRPr="007524A9">
        <w:rPr>
          <w:rFonts w:asciiTheme="minorHAnsi" w:hAnsiTheme="minorHAnsi" w:cstheme="minorHAnsi"/>
          <w:b/>
          <w:bCs/>
        </w:rPr>
        <w:t>Cod. materia</w:t>
      </w:r>
      <w:r w:rsidRPr="007524A9">
        <w:rPr>
          <w:rFonts w:asciiTheme="minorHAnsi" w:hAnsiTheme="minorHAnsi" w:cstheme="minorHAnsi"/>
        </w:rPr>
        <w:t xml:space="preserve"> 144999 dichiarato dalla ricorrente.</w:t>
      </w:r>
    </w:p>
    <w:p w14:paraId="6DED586C" w14:textId="77777777" w:rsidR="00266AFA" w:rsidRPr="007524A9" w:rsidRDefault="00266AFA" w:rsidP="00AE7793">
      <w:pPr>
        <w:pStyle w:val="p1"/>
        <w:spacing w:before="240" w:beforeAutospacing="0" w:after="0" w:afterAutospacing="0" w:line="360" w:lineRule="auto"/>
        <w:ind w:right="-2"/>
        <w:jc w:val="center"/>
        <w:rPr>
          <w:rFonts w:asciiTheme="minorHAnsi" w:hAnsiTheme="minorHAnsi" w:cstheme="minorHAnsi"/>
          <w:b/>
          <w:bCs/>
        </w:rPr>
      </w:pPr>
      <w:r w:rsidRPr="007524A9">
        <w:rPr>
          <w:rFonts w:asciiTheme="minorHAnsi" w:hAnsiTheme="minorHAnsi" w:cstheme="minorHAnsi"/>
          <w:b/>
          <w:bCs/>
        </w:rPr>
        <w:t>VALORE DELLA CONTROVERSIA</w:t>
      </w:r>
    </w:p>
    <w:p w14:paraId="4566092A" w14:textId="7A266E21" w:rsidR="00266AFA" w:rsidRPr="007524A9" w:rsidRDefault="00266AFA" w:rsidP="00AE7793">
      <w:pPr>
        <w:pStyle w:val="p2"/>
        <w:spacing w:before="0" w:beforeAutospacing="0" w:after="0" w:afterAutospacing="0" w:line="360" w:lineRule="auto"/>
        <w:ind w:right="-2"/>
        <w:jc w:val="both"/>
        <w:rPr>
          <w:rFonts w:asciiTheme="minorHAnsi" w:hAnsiTheme="minorHAnsi" w:cstheme="minorHAnsi"/>
        </w:rPr>
      </w:pPr>
      <w:r w:rsidRPr="007524A9">
        <w:rPr>
          <w:rFonts w:asciiTheme="minorHAnsi" w:hAnsiTheme="minorHAnsi" w:cstheme="minorHAnsi"/>
        </w:rPr>
        <w:t xml:space="preserve">La ricorrente </w:t>
      </w:r>
      <w:r w:rsidR="001325F6" w:rsidRPr="007524A9">
        <w:rPr>
          <w:rFonts w:asciiTheme="minorHAnsi" w:hAnsiTheme="minorHAnsi" w:cstheme="minorHAnsi"/>
        </w:rPr>
        <w:t>indica</w:t>
      </w:r>
      <w:r w:rsidRPr="007524A9">
        <w:rPr>
          <w:rFonts w:asciiTheme="minorHAnsi" w:hAnsiTheme="minorHAnsi" w:cstheme="minorHAnsi"/>
        </w:rPr>
        <w:t xml:space="preserve"> il valore della controversia </w:t>
      </w:r>
      <w:r w:rsidR="001325F6" w:rsidRPr="007524A9">
        <w:rPr>
          <w:rFonts w:asciiTheme="minorHAnsi" w:hAnsiTheme="minorHAnsi" w:cstheme="minorHAnsi"/>
        </w:rPr>
        <w:t>compreso tra</w:t>
      </w:r>
      <w:r w:rsidRPr="007524A9">
        <w:rPr>
          <w:rFonts w:asciiTheme="minorHAnsi" w:hAnsiTheme="minorHAnsi" w:cstheme="minorHAnsi"/>
        </w:rPr>
        <w:t xml:space="preserve"> euro </w:t>
      </w:r>
      <w:r w:rsidR="001325F6" w:rsidRPr="007524A9">
        <w:rPr>
          <w:rFonts w:asciiTheme="minorHAnsi" w:hAnsiTheme="minorHAnsi" w:cstheme="minorHAnsi"/>
        </w:rPr>
        <w:t>520</w:t>
      </w:r>
      <w:r w:rsidRPr="007524A9">
        <w:rPr>
          <w:rFonts w:asciiTheme="minorHAnsi" w:hAnsiTheme="minorHAnsi" w:cstheme="minorHAnsi"/>
        </w:rPr>
        <w:t>.000,00</w:t>
      </w:r>
      <w:r w:rsidR="001325F6" w:rsidRPr="007524A9">
        <w:rPr>
          <w:rFonts w:asciiTheme="minorHAnsi" w:hAnsiTheme="minorHAnsi" w:cstheme="minorHAnsi"/>
        </w:rPr>
        <w:t xml:space="preserve"> ed euro 1.409.124,00.</w:t>
      </w:r>
    </w:p>
    <w:p w14:paraId="767A79AE" w14:textId="54883D72" w:rsidR="00726F17" w:rsidRPr="007524A9" w:rsidRDefault="00266AFA" w:rsidP="00AE7793">
      <w:pPr>
        <w:pStyle w:val="p2"/>
        <w:spacing w:before="0" w:beforeAutospacing="0" w:after="0" w:afterAutospacing="0" w:line="360" w:lineRule="auto"/>
        <w:ind w:right="-2"/>
        <w:jc w:val="both"/>
        <w:rPr>
          <w:rFonts w:asciiTheme="minorHAnsi" w:hAnsiTheme="minorHAnsi" w:cstheme="minorHAnsi"/>
        </w:rPr>
      </w:pPr>
      <w:r w:rsidRPr="007524A9">
        <w:rPr>
          <w:rFonts w:asciiTheme="minorHAnsi" w:hAnsiTheme="minorHAnsi" w:cstheme="minorHAnsi"/>
        </w:rPr>
        <w:t>L’e</w:t>
      </w:r>
      <w:r w:rsidR="001325F6" w:rsidRPr="007524A9">
        <w:rPr>
          <w:rFonts w:asciiTheme="minorHAnsi" w:hAnsiTheme="minorHAnsi" w:cstheme="minorHAnsi"/>
        </w:rPr>
        <w:t>satto</w:t>
      </w:r>
      <w:r w:rsidRPr="007524A9">
        <w:rPr>
          <w:rFonts w:asciiTheme="minorHAnsi" w:hAnsiTheme="minorHAnsi" w:cstheme="minorHAnsi"/>
        </w:rPr>
        <w:t xml:space="preserve"> valore della causa è di euro</w:t>
      </w:r>
      <w:r w:rsidR="00567BF6" w:rsidRPr="007524A9">
        <w:rPr>
          <w:rFonts w:asciiTheme="minorHAnsi" w:hAnsiTheme="minorHAnsi" w:cstheme="minorHAnsi"/>
        </w:rPr>
        <w:t xml:space="preserve"> 624.351,00</w:t>
      </w:r>
      <w:r w:rsidRPr="007524A9">
        <w:rPr>
          <w:rFonts w:asciiTheme="minorHAnsi" w:hAnsiTheme="minorHAnsi" w:cstheme="minorHAnsi"/>
        </w:rPr>
        <w:t xml:space="preserve"> </w:t>
      </w:r>
      <w:r w:rsidR="00F01655" w:rsidRPr="007524A9">
        <w:rPr>
          <w:rFonts w:asciiTheme="minorHAnsi" w:hAnsiTheme="minorHAnsi" w:cstheme="minorHAnsi"/>
        </w:rPr>
        <w:t>ed euro 53.205,00</w:t>
      </w:r>
    </w:p>
    <w:p w14:paraId="539AF7DA" w14:textId="77777777" w:rsidR="00B35650" w:rsidRPr="007524A9" w:rsidRDefault="00B35650" w:rsidP="00AE7793">
      <w:pPr>
        <w:pStyle w:val="p2"/>
        <w:spacing w:before="0" w:beforeAutospacing="0" w:after="0" w:afterAutospacing="0" w:line="360" w:lineRule="auto"/>
        <w:ind w:right="-2"/>
        <w:jc w:val="both"/>
        <w:rPr>
          <w:rFonts w:asciiTheme="minorHAnsi" w:hAnsiTheme="minorHAnsi" w:cstheme="minorHAnsi"/>
        </w:rPr>
      </w:pPr>
      <w:r w:rsidRPr="007524A9">
        <w:rPr>
          <w:rFonts w:asciiTheme="minorHAnsi" w:hAnsiTheme="minorHAnsi" w:cstheme="minorHAnsi"/>
        </w:rPr>
        <w:t>Il presente controricorso non modifica il valore della causa, che pertanto resta immutato e nessun contributo unificato è ulteriormente dovuto.</w:t>
      </w:r>
    </w:p>
    <w:p w14:paraId="7B2358C2" w14:textId="77777777" w:rsidR="00187BA6" w:rsidRPr="007524A9" w:rsidRDefault="00187BA6" w:rsidP="00AE7793">
      <w:pPr>
        <w:pStyle w:val="p1"/>
        <w:spacing w:before="240" w:beforeAutospacing="0" w:after="0" w:afterAutospacing="0" w:line="360" w:lineRule="auto"/>
        <w:ind w:right="-2"/>
        <w:jc w:val="center"/>
        <w:rPr>
          <w:rFonts w:asciiTheme="minorHAnsi" w:hAnsiTheme="minorHAnsi" w:cstheme="minorHAnsi"/>
          <w:b/>
          <w:bCs/>
        </w:rPr>
      </w:pPr>
      <w:r w:rsidRPr="007524A9">
        <w:rPr>
          <w:rFonts w:asciiTheme="minorHAnsi" w:hAnsiTheme="minorHAnsi" w:cstheme="minorHAnsi"/>
          <w:b/>
          <w:bCs/>
        </w:rPr>
        <w:t>PAROLE CHIAVE OGGETTO DEL GIUDIZIO</w:t>
      </w:r>
    </w:p>
    <w:p w14:paraId="16110044" w14:textId="2D8D5355" w:rsidR="00187BA6" w:rsidRPr="007524A9" w:rsidRDefault="001325F6" w:rsidP="00AE7793">
      <w:pPr>
        <w:pStyle w:val="p1"/>
        <w:spacing w:before="0" w:beforeAutospacing="0" w:after="0" w:afterAutospacing="0" w:line="360" w:lineRule="auto"/>
        <w:ind w:right="-2"/>
        <w:jc w:val="both"/>
        <w:rPr>
          <w:rFonts w:asciiTheme="minorHAnsi" w:hAnsiTheme="minorHAnsi" w:cstheme="minorHAnsi"/>
        </w:rPr>
      </w:pPr>
      <w:r w:rsidRPr="007524A9">
        <w:rPr>
          <w:rFonts w:asciiTheme="minorHAnsi" w:hAnsiTheme="minorHAnsi" w:cstheme="minorHAnsi"/>
        </w:rPr>
        <w:t>Maggiore imposta</w:t>
      </w:r>
      <w:r w:rsidR="00187BA6" w:rsidRPr="007524A9">
        <w:rPr>
          <w:rFonts w:asciiTheme="minorHAnsi" w:hAnsiTheme="minorHAnsi" w:cstheme="minorHAnsi"/>
        </w:rPr>
        <w:t xml:space="preserve"> pretes</w:t>
      </w:r>
      <w:r w:rsidRPr="007524A9">
        <w:rPr>
          <w:rFonts w:asciiTheme="minorHAnsi" w:hAnsiTheme="minorHAnsi" w:cstheme="minorHAnsi"/>
        </w:rPr>
        <w:t>a</w:t>
      </w:r>
      <w:r w:rsidR="00187BA6" w:rsidRPr="007524A9">
        <w:rPr>
          <w:rFonts w:asciiTheme="minorHAnsi" w:hAnsiTheme="minorHAnsi" w:cstheme="minorHAnsi"/>
        </w:rPr>
        <w:t xml:space="preserve"> per </w:t>
      </w:r>
      <w:r w:rsidRPr="007524A9">
        <w:rPr>
          <w:rFonts w:asciiTheme="minorHAnsi" w:hAnsiTheme="minorHAnsi" w:cstheme="minorHAnsi"/>
        </w:rPr>
        <w:t>Ires</w:t>
      </w:r>
      <w:r w:rsidR="00187BA6" w:rsidRPr="007524A9">
        <w:rPr>
          <w:rFonts w:asciiTheme="minorHAnsi" w:hAnsiTheme="minorHAnsi" w:cstheme="minorHAnsi"/>
        </w:rPr>
        <w:t xml:space="preserve"> </w:t>
      </w:r>
      <w:r w:rsidRPr="007524A9">
        <w:rPr>
          <w:rFonts w:asciiTheme="minorHAnsi" w:hAnsiTheme="minorHAnsi" w:cstheme="minorHAnsi"/>
        </w:rPr>
        <w:t>accertamento analitico induttivo</w:t>
      </w:r>
    </w:p>
    <w:p w14:paraId="2543F8DC" w14:textId="77777777" w:rsidR="000A3786" w:rsidRPr="007524A9" w:rsidRDefault="000A3786" w:rsidP="00B35650">
      <w:pPr>
        <w:spacing w:before="240" w:line="360" w:lineRule="auto"/>
        <w:ind w:right="-2"/>
        <w:jc w:val="center"/>
        <w:rPr>
          <w:rFonts w:asciiTheme="minorHAnsi" w:hAnsiTheme="minorHAnsi" w:cstheme="minorHAnsi"/>
          <w:b/>
          <w:bCs/>
        </w:rPr>
      </w:pPr>
      <w:r w:rsidRPr="007524A9">
        <w:rPr>
          <w:rFonts w:asciiTheme="minorHAnsi" w:hAnsiTheme="minorHAnsi" w:cstheme="minorHAnsi"/>
          <w:b/>
          <w:bCs/>
        </w:rPr>
        <w:lastRenderedPageBreak/>
        <w:t>SINTESI DEI MOTIVI</w:t>
      </w:r>
    </w:p>
    <w:p w14:paraId="3BAEE6B0" w14:textId="77777777" w:rsidR="00A7249C" w:rsidRPr="007524A9" w:rsidRDefault="000A3786" w:rsidP="00AE7793">
      <w:pPr>
        <w:spacing w:line="360" w:lineRule="auto"/>
        <w:ind w:right="-2"/>
        <w:jc w:val="both"/>
        <w:rPr>
          <w:rFonts w:asciiTheme="minorHAnsi" w:hAnsiTheme="minorHAnsi" w:cstheme="minorHAnsi"/>
        </w:rPr>
      </w:pPr>
      <w:r w:rsidRPr="007524A9">
        <w:rPr>
          <w:rFonts w:asciiTheme="minorHAnsi" w:hAnsiTheme="minorHAnsi" w:cstheme="minorHAnsi"/>
          <w:u w:val="single"/>
        </w:rPr>
        <w:t>Nel Controricorso</w:t>
      </w:r>
      <w:r w:rsidRPr="007524A9">
        <w:rPr>
          <w:rFonts w:asciiTheme="minorHAnsi" w:hAnsiTheme="minorHAnsi" w:cstheme="minorHAnsi"/>
        </w:rPr>
        <w:t xml:space="preserve"> ci si oppone ai Motivi proposti da controparte in relazione</w:t>
      </w:r>
      <w:r w:rsidR="00A7249C" w:rsidRPr="007524A9">
        <w:rPr>
          <w:rFonts w:asciiTheme="minorHAnsi" w:hAnsiTheme="minorHAnsi" w:cstheme="minorHAnsi"/>
        </w:rPr>
        <w:t>:</w:t>
      </w:r>
    </w:p>
    <w:p w14:paraId="3FD4D4D0" w14:textId="76076408" w:rsidR="00A7249C" w:rsidRPr="007524A9" w:rsidRDefault="00A7249C" w:rsidP="00035D5C">
      <w:pPr>
        <w:pStyle w:val="Paragrafoelenco"/>
        <w:numPr>
          <w:ilvl w:val="0"/>
          <w:numId w:val="15"/>
        </w:numPr>
        <w:tabs>
          <w:tab w:val="left" w:pos="426"/>
        </w:tabs>
        <w:spacing w:line="360" w:lineRule="auto"/>
        <w:ind w:left="426" w:right="-2" w:hanging="426"/>
        <w:jc w:val="both"/>
        <w:rPr>
          <w:rFonts w:asciiTheme="minorHAnsi" w:hAnsiTheme="minorHAnsi" w:cstheme="minorHAnsi"/>
        </w:rPr>
      </w:pPr>
      <w:r w:rsidRPr="007524A9">
        <w:rPr>
          <w:rFonts w:asciiTheme="minorHAnsi" w:hAnsiTheme="minorHAnsi" w:cstheme="minorHAnsi"/>
        </w:rPr>
        <w:t>A</w:t>
      </w:r>
      <w:r w:rsidR="000A3786" w:rsidRPr="007524A9">
        <w:rPr>
          <w:rFonts w:asciiTheme="minorHAnsi" w:hAnsiTheme="minorHAnsi" w:cstheme="minorHAnsi"/>
        </w:rPr>
        <w:t>rt</w:t>
      </w:r>
      <w:r w:rsidR="00B37463" w:rsidRPr="007524A9">
        <w:rPr>
          <w:rFonts w:asciiTheme="minorHAnsi" w:hAnsiTheme="minorHAnsi" w:cstheme="minorHAnsi"/>
        </w:rPr>
        <w:t>.</w:t>
      </w:r>
      <w:r w:rsidR="000A3786" w:rsidRPr="007524A9">
        <w:rPr>
          <w:rFonts w:asciiTheme="minorHAnsi" w:hAnsiTheme="minorHAnsi" w:cstheme="minorHAnsi"/>
        </w:rPr>
        <w:t xml:space="preserve"> 360</w:t>
      </w:r>
      <w:r w:rsidR="001325F6" w:rsidRPr="007524A9">
        <w:rPr>
          <w:rFonts w:asciiTheme="minorHAnsi" w:hAnsiTheme="minorHAnsi" w:cstheme="minorHAnsi"/>
        </w:rPr>
        <w:t>, co. 1</w:t>
      </w:r>
      <w:r w:rsidRPr="007524A9">
        <w:rPr>
          <w:rFonts w:asciiTheme="minorHAnsi" w:hAnsiTheme="minorHAnsi" w:cstheme="minorHAnsi"/>
        </w:rPr>
        <w:t xml:space="preserve"> </w:t>
      </w:r>
      <w:r w:rsidR="000A3786" w:rsidRPr="007524A9">
        <w:rPr>
          <w:rFonts w:asciiTheme="minorHAnsi" w:hAnsiTheme="minorHAnsi" w:cstheme="minorHAnsi"/>
        </w:rPr>
        <w:t>n. 4</w:t>
      </w:r>
      <w:r w:rsidR="001325F6" w:rsidRPr="007524A9">
        <w:rPr>
          <w:rFonts w:asciiTheme="minorHAnsi" w:hAnsiTheme="minorHAnsi" w:cstheme="minorHAnsi"/>
        </w:rPr>
        <w:t>, Cod. proc. civ.</w:t>
      </w:r>
      <w:r w:rsidR="000A3786" w:rsidRPr="007524A9">
        <w:rPr>
          <w:rFonts w:asciiTheme="minorHAnsi" w:hAnsiTheme="minorHAnsi" w:cstheme="minorHAnsi"/>
        </w:rPr>
        <w:t xml:space="preserve"> </w:t>
      </w:r>
      <w:r w:rsidR="001325F6" w:rsidRPr="007524A9">
        <w:rPr>
          <w:rFonts w:asciiTheme="minorHAnsi" w:hAnsiTheme="minorHAnsi" w:cstheme="minorHAnsi"/>
        </w:rPr>
        <w:t>–</w:t>
      </w:r>
      <w:r w:rsidR="000A3786" w:rsidRPr="007524A9">
        <w:rPr>
          <w:rFonts w:asciiTheme="minorHAnsi" w:hAnsiTheme="minorHAnsi" w:cstheme="minorHAnsi"/>
        </w:rPr>
        <w:t xml:space="preserve"> </w:t>
      </w:r>
      <w:r w:rsidR="001325F6" w:rsidRPr="007524A9">
        <w:rPr>
          <w:rFonts w:asciiTheme="minorHAnsi" w:hAnsiTheme="minorHAnsi" w:cstheme="minorHAnsi"/>
        </w:rPr>
        <w:t xml:space="preserve">nullità della sentenza per carenza di motivazione o motivazione apparente che si suppone in relazione all’art. 36, co. 2 n. 4, </w:t>
      </w:r>
      <w:proofErr w:type="spellStart"/>
      <w:r w:rsidR="001325F6" w:rsidRPr="007524A9">
        <w:rPr>
          <w:rFonts w:asciiTheme="minorHAnsi" w:hAnsiTheme="minorHAnsi" w:cstheme="minorHAnsi"/>
        </w:rPr>
        <w:t>D.lgs</w:t>
      </w:r>
      <w:proofErr w:type="spellEnd"/>
      <w:r w:rsidR="001325F6" w:rsidRPr="007524A9">
        <w:rPr>
          <w:rFonts w:asciiTheme="minorHAnsi" w:hAnsiTheme="minorHAnsi" w:cstheme="minorHAnsi"/>
        </w:rPr>
        <w:t xml:space="preserve"> n. 546/1992 perché non compiutamente enunciato</w:t>
      </w:r>
      <w:r w:rsidRPr="007524A9">
        <w:rPr>
          <w:rFonts w:asciiTheme="minorHAnsi" w:hAnsiTheme="minorHAnsi" w:cstheme="minorHAnsi"/>
        </w:rPr>
        <w:t>,</w:t>
      </w:r>
      <w:r w:rsidR="000A3786" w:rsidRPr="007524A9">
        <w:rPr>
          <w:rFonts w:asciiTheme="minorHAnsi" w:hAnsiTheme="minorHAnsi" w:cstheme="minorHAnsi"/>
        </w:rPr>
        <w:t xml:space="preserve"> </w:t>
      </w:r>
      <w:r w:rsidR="00566006" w:rsidRPr="007524A9">
        <w:rPr>
          <w:rFonts w:asciiTheme="minorHAnsi" w:hAnsiTheme="minorHAnsi" w:cstheme="minorHAnsi"/>
        </w:rPr>
        <w:t xml:space="preserve">in quanto inammissibile poiché il ricorrente non indica le ragioni sottese per cui sarebbe stato leso il diritto di difesa o che avrebbe provocato il pregiudizio per la decisione di merito e il danno concreto arrecatogli dall'invocata nullità processuale, sconfinando finanche nella violazione del principio di autosufficienza, ma comunque il motivo è infondato risultano osservate </w:t>
      </w:r>
      <w:r w:rsidR="00EF3356" w:rsidRPr="007524A9">
        <w:rPr>
          <w:rFonts w:asciiTheme="minorHAnsi" w:hAnsiTheme="minorHAnsi" w:cstheme="minorHAnsi"/>
        </w:rPr>
        <w:t xml:space="preserve">dalla Corte di secondo grado </w:t>
      </w:r>
      <w:r w:rsidR="00566006" w:rsidRPr="007524A9">
        <w:rPr>
          <w:rFonts w:asciiTheme="minorHAnsi" w:hAnsiTheme="minorHAnsi" w:cstheme="minorHAnsi"/>
        </w:rPr>
        <w:t>le prescrizioni al principio del giusto processo invocate dall’appellante</w:t>
      </w:r>
      <w:r w:rsidR="00984D45" w:rsidRPr="007524A9">
        <w:rPr>
          <w:rFonts w:asciiTheme="minorHAnsi" w:hAnsiTheme="minorHAnsi" w:cstheme="minorHAnsi"/>
        </w:rPr>
        <w:t xml:space="preserve"> </w:t>
      </w:r>
      <w:r w:rsidR="000A3786" w:rsidRPr="007524A9">
        <w:rPr>
          <w:rFonts w:asciiTheme="minorHAnsi" w:hAnsiTheme="minorHAnsi" w:cstheme="minorHAnsi"/>
        </w:rPr>
        <w:t xml:space="preserve">[pagg. </w:t>
      </w:r>
      <w:r w:rsidR="00996E4E" w:rsidRPr="007524A9">
        <w:rPr>
          <w:rFonts w:asciiTheme="minorHAnsi" w:hAnsiTheme="minorHAnsi" w:cstheme="minorHAnsi"/>
        </w:rPr>
        <w:t xml:space="preserve">da </w:t>
      </w:r>
      <w:r w:rsidR="00984D45" w:rsidRPr="007524A9">
        <w:rPr>
          <w:rFonts w:asciiTheme="minorHAnsi" w:hAnsiTheme="minorHAnsi" w:cstheme="minorHAnsi"/>
        </w:rPr>
        <w:t>9</w:t>
      </w:r>
      <w:r w:rsidR="00B37463" w:rsidRPr="007524A9">
        <w:rPr>
          <w:rFonts w:asciiTheme="minorHAnsi" w:hAnsiTheme="minorHAnsi" w:cstheme="minorHAnsi"/>
        </w:rPr>
        <w:t xml:space="preserve"> a </w:t>
      </w:r>
      <w:r w:rsidR="00566006" w:rsidRPr="007524A9">
        <w:rPr>
          <w:rFonts w:asciiTheme="minorHAnsi" w:hAnsiTheme="minorHAnsi" w:cstheme="minorHAnsi"/>
        </w:rPr>
        <w:t>1</w:t>
      </w:r>
      <w:r w:rsidR="00984D45" w:rsidRPr="007524A9">
        <w:rPr>
          <w:rFonts w:asciiTheme="minorHAnsi" w:hAnsiTheme="minorHAnsi" w:cstheme="minorHAnsi"/>
        </w:rPr>
        <w:t>4</w:t>
      </w:r>
      <w:r w:rsidR="000A3786" w:rsidRPr="007524A9">
        <w:rPr>
          <w:rFonts w:asciiTheme="minorHAnsi" w:hAnsiTheme="minorHAnsi" w:cstheme="minorHAnsi"/>
        </w:rPr>
        <w:t>]</w:t>
      </w:r>
      <w:r w:rsidRPr="007524A9">
        <w:rPr>
          <w:rFonts w:asciiTheme="minorHAnsi" w:hAnsiTheme="minorHAnsi" w:cstheme="minorHAnsi"/>
        </w:rPr>
        <w:t>;</w:t>
      </w:r>
      <w:r w:rsidR="000A3786" w:rsidRPr="007524A9">
        <w:rPr>
          <w:rFonts w:asciiTheme="minorHAnsi" w:hAnsiTheme="minorHAnsi" w:cstheme="minorHAnsi"/>
        </w:rPr>
        <w:t xml:space="preserve"> </w:t>
      </w:r>
    </w:p>
    <w:p w14:paraId="398D1FBD" w14:textId="6FA44D6C" w:rsidR="00035D5C" w:rsidRPr="007524A9" w:rsidRDefault="00035D5C" w:rsidP="00035D5C">
      <w:pPr>
        <w:pStyle w:val="Paragrafoelenco"/>
        <w:numPr>
          <w:ilvl w:val="0"/>
          <w:numId w:val="15"/>
        </w:numPr>
        <w:tabs>
          <w:tab w:val="left" w:pos="426"/>
        </w:tabs>
        <w:spacing w:line="360" w:lineRule="auto"/>
        <w:ind w:left="426" w:right="-2" w:hanging="426"/>
        <w:jc w:val="both"/>
        <w:rPr>
          <w:rFonts w:asciiTheme="minorHAnsi" w:hAnsiTheme="minorHAnsi" w:cstheme="minorHAnsi"/>
        </w:rPr>
      </w:pPr>
      <w:r w:rsidRPr="007524A9">
        <w:rPr>
          <w:rFonts w:asciiTheme="minorHAnsi" w:hAnsiTheme="minorHAnsi" w:cstheme="minorHAnsi"/>
        </w:rPr>
        <w:t xml:space="preserve">Art. 360, co.1 n. 3, Cod. proc. civ. – violazione di legge, in relazione all’art. 39, co. 1 lett. d), DPR n. 600/1973 inammissibile oltre che infondato., in quanto da una parte si </w:t>
      </w:r>
      <w:r w:rsidRPr="007524A9">
        <w:rPr>
          <w:rFonts w:ascii="Calibri" w:hAnsi="Calibri"/>
        </w:rPr>
        <w:t>tenta di recuperare il riesame nel merito dell’accertamento, dedicando un’ampia rassegna a illustrare le differenze oggetto di esame nel corso della verifica, con la finalità di compulsare verso un’attività valutativa che invece risulta inammissibile nel giudizio di legittimità, e da un’altra si cerca di avvalorare una ricostruzione utile all’applicazione del metodo dell’accertamento induttivo senza confutare le evidenze documentali e probatorie già emerse nel giudizio di merito</w:t>
      </w:r>
      <w:r w:rsidRPr="007524A9">
        <w:rPr>
          <w:rFonts w:asciiTheme="minorHAnsi" w:hAnsiTheme="minorHAnsi" w:cstheme="minorHAnsi"/>
        </w:rPr>
        <w:t xml:space="preserve"> [pagg. da 14 a 19];</w:t>
      </w:r>
    </w:p>
    <w:p w14:paraId="7CD55784" w14:textId="3BF70BCC" w:rsidR="00035D5C" w:rsidRPr="007524A9" w:rsidRDefault="00035D5C" w:rsidP="00035D5C">
      <w:pPr>
        <w:pStyle w:val="Paragrafoelenco"/>
        <w:numPr>
          <w:ilvl w:val="0"/>
          <w:numId w:val="15"/>
        </w:numPr>
        <w:tabs>
          <w:tab w:val="left" w:pos="426"/>
        </w:tabs>
        <w:spacing w:line="360" w:lineRule="auto"/>
        <w:ind w:left="426" w:right="-2" w:hanging="426"/>
        <w:jc w:val="both"/>
        <w:rPr>
          <w:rFonts w:asciiTheme="minorHAnsi" w:hAnsiTheme="minorHAnsi" w:cstheme="minorHAnsi"/>
        </w:rPr>
      </w:pPr>
      <w:r w:rsidRPr="007524A9">
        <w:rPr>
          <w:rFonts w:asciiTheme="minorHAnsi" w:hAnsiTheme="minorHAnsi" w:cstheme="minorHAnsi"/>
        </w:rPr>
        <w:t>Art. 360, co. 1 n. 4, Cod. proc. civ. – violazione del principio di corrispondenza tra il chiesto e il pronunciato,</w:t>
      </w:r>
      <w:r w:rsidRPr="007524A9">
        <w:rPr>
          <w:rFonts w:asciiTheme="minorHAnsi" w:hAnsiTheme="minorHAnsi" w:cstheme="minorHAnsi"/>
          <w:b/>
          <w:bCs/>
        </w:rPr>
        <w:t xml:space="preserve"> </w:t>
      </w:r>
      <w:r w:rsidRPr="007524A9">
        <w:rPr>
          <w:rFonts w:asciiTheme="minorHAnsi" w:hAnsiTheme="minorHAnsi" w:cstheme="minorHAnsi"/>
        </w:rPr>
        <w:t>in relazione all’art. 112 Cod. proc. civ., in quanto inammissibile, poiché redatto nel tentativo di aggirare il limite nel ricorso per Cassazione nel caso rilevi il principio della cd. “doppia conforme” [da pagg. da 19 a 2</w:t>
      </w:r>
      <w:r w:rsidR="007524A9">
        <w:rPr>
          <w:rFonts w:asciiTheme="minorHAnsi" w:hAnsiTheme="minorHAnsi" w:cstheme="minorHAnsi"/>
        </w:rPr>
        <w:t>3</w:t>
      </w:r>
      <w:r w:rsidRPr="007524A9">
        <w:rPr>
          <w:rFonts w:asciiTheme="minorHAnsi" w:hAnsiTheme="minorHAnsi" w:cstheme="minorHAnsi"/>
        </w:rPr>
        <w:t>].</w:t>
      </w:r>
    </w:p>
    <w:p w14:paraId="0C4C1DC6" w14:textId="77777777" w:rsidR="00726F17" w:rsidRPr="007524A9" w:rsidRDefault="00726F17" w:rsidP="00AE7793">
      <w:pPr>
        <w:pStyle w:val="p1"/>
        <w:spacing w:before="240" w:beforeAutospacing="0" w:after="240" w:afterAutospacing="0" w:line="360" w:lineRule="auto"/>
        <w:ind w:right="-2"/>
        <w:jc w:val="center"/>
        <w:rPr>
          <w:rFonts w:asciiTheme="minorHAnsi" w:hAnsiTheme="minorHAnsi" w:cstheme="minorHAnsi"/>
          <w:b/>
          <w:bCs/>
        </w:rPr>
      </w:pPr>
      <w:r w:rsidRPr="007524A9">
        <w:rPr>
          <w:rFonts w:asciiTheme="minorHAnsi" w:hAnsiTheme="minorHAnsi" w:cstheme="minorHAnsi"/>
          <w:b/>
          <w:bCs/>
        </w:rPr>
        <w:t>ESPOSIZIONE SOMMARIA DEI FATTI DI CAUSA</w:t>
      </w:r>
    </w:p>
    <w:p w14:paraId="5F1EDB5E" w14:textId="02C8376C" w:rsidR="00A7249C" w:rsidRPr="007524A9" w:rsidRDefault="00A7249C" w:rsidP="00791096">
      <w:pPr>
        <w:pStyle w:val="p1"/>
        <w:numPr>
          <w:ilvl w:val="0"/>
          <w:numId w:val="3"/>
        </w:numPr>
        <w:tabs>
          <w:tab w:val="left" w:pos="426"/>
        </w:tabs>
        <w:spacing w:before="0" w:beforeAutospacing="0" w:after="0" w:afterAutospacing="0" w:line="360" w:lineRule="auto"/>
        <w:ind w:right="-2"/>
        <w:jc w:val="both"/>
        <w:rPr>
          <w:rFonts w:ascii="Calibri" w:hAnsi="Calibri"/>
          <w:b/>
          <w:bCs/>
        </w:rPr>
      </w:pPr>
      <w:r w:rsidRPr="007524A9">
        <w:rPr>
          <w:rFonts w:ascii="Calibri" w:hAnsi="Calibri"/>
          <w:b/>
          <w:bCs/>
        </w:rPr>
        <w:t xml:space="preserve">IL GIUDIZIO DI </w:t>
      </w:r>
      <w:r w:rsidR="00791096" w:rsidRPr="007524A9">
        <w:rPr>
          <w:rFonts w:ascii="Calibri" w:hAnsi="Calibri"/>
          <w:b/>
          <w:bCs/>
        </w:rPr>
        <w:t>MERITO</w:t>
      </w:r>
    </w:p>
    <w:p w14:paraId="1BD310D2" w14:textId="45DD972A" w:rsidR="00A73BA1" w:rsidRPr="007524A9" w:rsidRDefault="009069FA" w:rsidP="00AE7793">
      <w:pPr>
        <w:pStyle w:val="p1"/>
        <w:numPr>
          <w:ilvl w:val="1"/>
          <w:numId w:val="3"/>
        </w:numPr>
        <w:tabs>
          <w:tab w:val="left" w:pos="426"/>
        </w:tabs>
        <w:spacing w:before="0" w:beforeAutospacing="0" w:after="0" w:afterAutospacing="0" w:line="360" w:lineRule="auto"/>
        <w:ind w:left="0" w:right="-2" w:hanging="44"/>
        <w:jc w:val="both"/>
        <w:rPr>
          <w:rFonts w:asciiTheme="minorHAnsi" w:hAnsiTheme="minorHAnsi" w:cstheme="minorHAnsi"/>
        </w:rPr>
      </w:pPr>
      <w:r w:rsidRPr="007524A9">
        <w:rPr>
          <w:rFonts w:asciiTheme="minorHAnsi" w:hAnsiTheme="minorHAnsi" w:cstheme="minorHAnsi"/>
        </w:rPr>
        <w:t xml:space="preserve">Il giudizio trae origine </w:t>
      </w:r>
      <w:r w:rsidR="00A73BA1" w:rsidRPr="007524A9">
        <w:rPr>
          <w:rFonts w:asciiTheme="minorHAnsi" w:hAnsiTheme="minorHAnsi" w:cstheme="minorHAnsi"/>
        </w:rPr>
        <w:t xml:space="preserve">dal ricorso presentato in opposizione a un avviso di </w:t>
      </w:r>
      <w:r w:rsidR="00FD0526" w:rsidRPr="007524A9">
        <w:rPr>
          <w:rFonts w:asciiTheme="minorHAnsi" w:hAnsiTheme="minorHAnsi" w:cstheme="minorHAnsi"/>
        </w:rPr>
        <w:t>accertamento</w:t>
      </w:r>
      <w:r w:rsidR="00A73BA1" w:rsidRPr="007524A9">
        <w:rPr>
          <w:rFonts w:asciiTheme="minorHAnsi" w:hAnsiTheme="minorHAnsi" w:cstheme="minorHAnsi"/>
        </w:rPr>
        <w:t xml:space="preserve"> emesso dall’Agenzia delle Entrate di Modena che </w:t>
      </w:r>
      <w:r w:rsidR="00A73BA1" w:rsidRPr="007524A9">
        <w:rPr>
          <w:rFonts w:ascii="Calibri" w:hAnsi="Calibri"/>
        </w:rPr>
        <w:t>in data 25.01.2019 ha dato corso, presso i locali della società</w:t>
      </w:r>
      <w:r w:rsidR="00B73894" w:rsidRPr="007524A9">
        <w:rPr>
          <w:rFonts w:ascii="Calibri" w:hAnsi="Calibri"/>
        </w:rPr>
        <w:t xml:space="preserve"> Metalsider2 S.p.A. che svolge attività produttiva principalmente di zinco di seconda fusione</w:t>
      </w:r>
      <w:r w:rsidR="00A73BA1" w:rsidRPr="007524A9">
        <w:rPr>
          <w:rFonts w:ascii="Calibri" w:hAnsi="Calibri"/>
        </w:rPr>
        <w:t xml:space="preserve">, a una verifica fiscale a carattere generale ai fini delle imposte sui redditi, dell’imposta sul valore aggiunto, dell’imposta regionale sulle attività produttive e degli altri </w:t>
      </w:r>
      <w:r w:rsidR="00A73BA1" w:rsidRPr="007524A9">
        <w:rPr>
          <w:rFonts w:ascii="Calibri" w:hAnsi="Calibri"/>
        </w:rPr>
        <w:lastRenderedPageBreak/>
        <w:t xml:space="preserve">tributi erariali, relativamente al periodo d’imposta 2015, che si concludeva con la notifica di un processo verbale di constatazione PVC (Doc. 2 </w:t>
      </w:r>
      <w:r w:rsidR="00F85E08" w:rsidRPr="007524A9">
        <w:rPr>
          <w:rFonts w:ascii="Calibri" w:hAnsi="Calibri"/>
        </w:rPr>
        <w:t xml:space="preserve">primo </w:t>
      </w:r>
      <w:r w:rsidR="00A73BA1" w:rsidRPr="007524A9">
        <w:rPr>
          <w:rFonts w:ascii="Calibri" w:hAnsi="Calibri"/>
        </w:rPr>
        <w:t>grado).</w:t>
      </w:r>
    </w:p>
    <w:p w14:paraId="4AC8B2B9" w14:textId="6E2D0B82" w:rsidR="00786B16" w:rsidRPr="007524A9" w:rsidRDefault="00A73BA1" w:rsidP="00786B16">
      <w:pPr>
        <w:pStyle w:val="p1"/>
        <w:numPr>
          <w:ilvl w:val="1"/>
          <w:numId w:val="3"/>
        </w:numPr>
        <w:tabs>
          <w:tab w:val="left" w:pos="426"/>
        </w:tabs>
        <w:spacing w:before="0" w:beforeAutospacing="0" w:after="0" w:afterAutospacing="0" w:line="360" w:lineRule="auto"/>
        <w:ind w:left="0" w:right="-2" w:hanging="44"/>
        <w:jc w:val="both"/>
        <w:rPr>
          <w:rFonts w:asciiTheme="minorHAnsi" w:hAnsiTheme="minorHAnsi" w:cstheme="minorHAnsi"/>
        </w:rPr>
      </w:pPr>
      <w:r w:rsidRPr="007524A9">
        <w:rPr>
          <w:rFonts w:asciiTheme="minorHAnsi" w:hAnsiTheme="minorHAnsi" w:cstheme="minorHAnsi"/>
        </w:rPr>
        <w:t xml:space="preserve">Contro tale atto ispettivo in sede di contraddittorio il contribuente </w:t>
      </w:r>
      <w:r w:rsidRPr="007524A9">
        <w:rPr>
          <w:rFonts w:ascii="Calibri" w:hAnsi="Calibri"/>
        </w:rPr>
        <w:t xml:space="preserve">forniva importanti spunti, evidenziava incongruenza e documentava che l’operato dei verbalizzanti era irragionevole e completamente errato, ma non essendo state riconosciute le doglianze il contribuente riceveva la notifica dell’avviso di accertamento THH031B00012/2020 (Doc. 1 </w:t>
      </w:r>
      <w:r w:rsidR="00F85E08" w:rsidRPr="007524A9">
        <w:rPr>
          <w:rFonts w:ascii="Calibri" w:hAnsi="Calibri"/>
        </w:rPr>
        <w:t>primo</w:t>
      </w:r>
      <w:r w:rsidRPr="007524A9">
        <w:rPr>
          <w:rFonts w:ascii="Calibri" w:hAnsi="Calibri"/>
        </w:rPr>
        <w:t xml:space="preserve"> grado), con cui l’Ufficio asseriva </w:t>
      </w:r>
      <w:r w:rsidRPr="007524A9">
        <w:rPr>
          <w:rFonts w:ascii="Calibri" w:hAnsi="Calibri"/>
          <w:iCs/>
        </w:rPr>
        <w:t>una serie di irregolarità finendo per</w:t>
      </w:r>
      <w:r w:rsidRPr="007524A9">
        <w:rPr>
          <w:rFonts w:ascii="Calibri" w:hAnsi="Calibri"/>
          <w:i/>
        </w:rPr>
        <w:t xml:space="preserve"> </w:t>
      </w:r>
      <w:r w:rsidRPr="007524A9">
        <w:rPr>
          <w:rFonts w:ascii="Calibri" w:hAnsi="Calibri"/>
        </w:rPr>
        <w:t>procedere sia al recupero di costi che all’emersione di ricavi imponibili, a suo dire, non dichiarati, per l’anno 2015.</w:t>
      </w:r>
    </w:p>
    <w:p w14:paraId="76097F35" w14:textId="3CACC1A5" w:rsidR="00A73BA1" w:rsidRPr="007524A9" w:rsidRDefault="00A73BA1" w:rsidP="00786B16">
      <w:pPr>
        <w:pStyle w:val="p1"/>
        <w:tabs>
          <w:tab w:val="left" w:pos="426"/>
        </w:tabs>
        <w:spacing w:before="0" w:beforeAutospacing="0" w:after="0" w:afterAutospacing="0" w:line="360" w:lineRule="auto"/>
        <w:ind w:right="-2"/>
        <w:jc w:val="both"/>
        <w:rPr>
          <w:rFonts w:ascii="Calibri" w:hAnsi="Calibri" w:cs="Calibri"/>
        </w:rPr>
      </w:pPr>
      <w:r w:rsidRPr="007524A9">
        <w:rPr>
          <w:rFonts w:ascii="Calibri" w:hAnsi="Calibri"/>
          <w:bCs/>
        </w:rPr>
        <w:t>Successivamente l’Ufficio</w:t>
      </w:r>
      <w:r w:rsidRPr="007524A9">
        <w:rPr>
          <w:rFonts w:ascii="Calibri" w:hAnsi="Calibri" w:cs="Calibri"/>
        </w:rPr>
        <w:t xml:space="preserve"> procedeva all’emissione di un ulteriore avviso di accertamento n. </w:t>
      </w:r>
      <w:r w:rsidRPr="007524A9">
        <w:rPr>
          <w:rFonts w:ascii="Calibri" w:hAnsi="Calibri"/>
        </w:rPr>
        <w:t>THH071B00537/2020 (</w:t>
      </w:r>
      <w:r w:rsidRPr="007524A9">
        <w:rPr>
          <w:rFonts w:ascii="Calibri" w:hAnsi="Calibri" w:cs="Calibri"/>
        </w:rPr>
        <w:t xml:space="preserve">Doc. 1 </w:t>
      </w:r>
      <w:r w:rsidR="00F01655" w:rsidRPr="007524A9">
        <w:rPr>
          <w:rFonts w:ascii="Calibri" w:hAnsi="Calibri" w:cs="Calibri"/>
        </w:rPr>
        <w:t>primo</w:t>
      </w:r>
      <w:r w:rsidRPr="007524A9">
        <w:rPr>
          <w:rFonts w:ascii="Calibri" w:hAnsi="Calibri" w:cs="Calibri"/>
        </w:rPr>
        <w:t xml:space="preserve"> grado</w:t>
      </w:r>
      <w:r w:rsidRPr="007524A9">
        <w:rPr>
          <w:rFonts w:ascii="Calibri" w:hAnsi="Calibri"/>
        </w:rPr>
        <w:t xml:space="preserve">) </w:t>
      </w:r>
      <w:r w:rsidRPr="007524A9">
        <w:rPr>
          <w:rFonts w:ascii="Calibri" w:hAnsi="Calibri" w:cs="Calibri"/>
        </w:rPr>
        <w:t>per ipotizzate maggiori ritenute alla fonte non operate per i presunti utili che sarebbero stati distribuiti in capo ai soci.</w:t>
      </w:r>
    </w:p>
    <w:p w14:paraId="68C03808" w14:textId="77777777" w:rsidR="00FE6BBC" w:rsidRPr="007524A9" w:rsidRDefault="00786B16" w:rsidP="00786B16">
      <w:pPr>
        <w:pStyle w:val="p1"/>
        <w:numPr>
          <w:ilvl w:val="1"/>
          <w:numId w:val="3"/>
        </w:numPr>
        <w:tabs>
          <w:tab w:val="left" w:pos="426"/>
        </w:tabs>
        <w:spacing w:before="0" w:beforeAutospacing="0" w:after="0" w:afterAutospacing="0" w:line="360" w:lineRule="auto"/>
        <w:ind w:left="0" w:right="-2" w:hanging="44"/>
        <w:jc w:val="both"/>
        <w:rPr>
          <w:rFonts w:asciiTheme="minorHAnsi" w:hAnsiTheme="minorHAnsi" w:cstheme="minorHAnsi"/>
        </w:rPr>
      </w:pPr>
      <w:r w:rsidRPr="007524A9">
        <w:rPr>
          <w:rFonts w:ascii="Calibri" w:hAnsi="Calibri"/>
        </w:rPr>
        <w:t xml:space="preserve">Il contribuente impugnava con distinti ricorsi gli avvisi di accertamento avanti la Commissione Tributaria Provinciale di Modena la quale, riunendoli, annullava integralmente le pretese dell’Ufficio con la sentenza n. 424/03/21 del 22.09.2021 depositata il 07.10.2021 (Doc. </w:t>
      </w:r>
      <w:r w:rsidR="00C341D0" w:rsidRPr="007524A9">
        <w:rPr>
          <w:rFonts w:ascii="Calibri" w:hAnsi="Calibri"/>
        </w:rPr>
        <w:t>3 Cassazione</w:t>
      </w:r>
      <w:r w:rsidRPr="007524A9">
        <w:rPr>
          <w:rFonts w:ascii="Calibri" w:hAnsi="Calibri"/>
        </w:rPr>
        <w:t>) dichiarando gli atti illegittimi in quanto è emersa la mancanza dei parametri concreti a fondamento dell’attribuzione a favore dell’Ufficio per presupposti all’applicazione del metodo induttivo di accertamento</w:t>
      </w:r>
      <w:r w:rsidR="00C341D0" w:rsidRPr="007524A9">
        <w:rPr>
          <w:rFonts w:ascii="Calibri" w:hAnsi="Calibri"/>
        </w:rPr>
        <w:t xml:space="preserve">, in particolare la Commissione, dopo aver riepilogato dettagliatamente le condizioni che legittimano l’applicazione del metodo di accertamento presuntivo analitico-induttivo, ha stabilito che </w:t>
      </w:r>
      <w:r w:rsidR="000E7389" w:rsidRPr="007524A9">
        <w:rPr>
          <w:rFonts w:ascii="Calibri" w:hAnsi="Calibri"/>
        </w:rPr>
        <w:t>“</w:t>
      </w:r>
      <w:r w:rsidR="000E7389" w:rsidRPr="007524A9">
        <w:rPr>
          <w:rFonts w:ascii="Calibri" w:hAnsi="Calibri"/>
          <w:i/>
          <w:iCs/>
        </w:rPr>
        <w:t xml:space="preserve">In tale assetto, ferma l'attribuzione dell'amministrazione del potere/dovere di determinarsi circa la ricorrenza o meno dei requisiti di irregolarità nei termini sopra indicati, i parametri concreti di tale determinazione costituiscono la materia e litigiosa introdotta in via pregiudiziale nella presente causa. </w:t>
      </w:r>
    </w:p>
    <w:p w14:paraId="01AEE22E" w14:textId="2D27BE67" w:rsidR="00FE6BBC" w:rsidRPr="007524A9" w:rsidRDefault="000E7389" w:rsidP="00FE6BBC">
      <w:pPr>
        <w:pStyle w:val="p1"/>
        <w:tabs>
          <w:tab w:val="left" w:pos="426"/>
        </w:tabs>
        <w:spacing w:before="0" w:beforeAutospacing="0" w:after="0" w:afterAutospacing="0" w:line="360" w:lineRule="auto"/>
        <w:ind w:right="-2"/>
        <w:jc w:val="both"/>
        <w:rPr>
          <w:rFonts w:asciiTheme="minorHAnsi" w:hAnsiTheme="minorHAnsi" w:cstheme="minorHAnsi"/>
        </w:rPr>
      </w:pPr>
      <w:r w:rsidRPr="007524A9">
        <w:rPr>
          <w:rFonts w:ascii="Calibri" w:hAnsi="Calibri"/>
          <w:i/>
          <w:iCs/>
        </w:rPr>
        <w:t>La attività presuntiva della amministrazione deve ispirarsi a criteri di gravità, precisione e concordanza che nella fattispecie appaiono difettare in quanto mossi da presupposti a loro volta - non illogici, tuttavia - di indole a loro volta presuntiva</w:t>
      </w:r>
      <w:r w:rsidR="00FE6BBC" w:rsidRPr="007524A9">
        <w:rPr>
          <w:rFonts w:ascii="Calibri" w:hAnsi="Calibri"/>
          <w:i/>
          <w:iCs/>
        </w:rPr>
        <w:t xml:space="preserve">. </w:t>
      </w:r>
    </w:p>
    <w:p w14:paraId="05D1064A" w14:textId="124422E0" w:rsidR="00B31024" w:rsidRPr="007524A9" w:rsidRDefault="00FE6BBC" w:rsidP="00E71EE8">
      <w:pPr>
        <w:spacing w:line="480" w:lineRule="auto"/>
        <w:ind w:right="-79"/>
        <w:jc w:val="both"/>
        <w:rPr>
          <w:rFonts w:ascii="Calibri" w:hAnsi="Calibri"/>
          <w:bCs/>
          <w:color w:val="EE0000"/>
          <w:sz w:val="22"/>
          <w:szCs w:val="22"/>
          <w:u w:val="single"/>
        </w:rPr>
      </w:pPr>
      <w:r w:rsidRPr="007524A9">
        <w:rPr>
          <w:rFonts w:ascii="Calibri" w:hAnsi="Calibri"/>
          <w:i/>
          <w:iCs/>
        </w:rPr>
        <w:t xml:space="preserve">Si muove dal rilievo preliminare per cui sono state censurate dall'amministrazione resistente 24 operazioni di magazzino su un totale di oltre 16.500 operazioni registrate in contabilità nel corso del 2015, ciò che induce a dubitare della natura complessivamente inattendibile della contabilità di impresa. </w:t>
      </w:r>
    </w:p>
    <w:p w14:paraId="57141F0E" w14:textId="77777777" w:rsidR="00FE6BBC" w:rsidRPr="007524A9" w:rsidRDefault="00FE6BBC" w:rsidP="00FE6BBC">
      <w:pPr>
        <w:pStyle w:val="p1"/>
        <w:tabs>
          <w:tab w:val="left" w:pos="426"/>
        </w:tabs>
        <w:spacing w:before="0" w:beforeAutospacing="0" w:after="0" w:afterAutospacing="0" w:line="360" w:lineRule="auto"/>
        <w:ind w:right="-2"/>
        <w:jc w:val="both"/>
        <w:rPr>
          <w:rFonts w:ascii="Calibri" w:hAnsi="Calibri"/>
          <w:i/>
          <w:iCs/>
        </w:rPr>
      </w:pPr>
      <w:r w:rsidRPr="007524A9">
        <w:rPr>
          <w:rFonts w:ascii="Calibri" w:hAnsi="Calibri"/>
          <w:i/>
          <w:iCs/>
        </w:rPr>
        <w:lastRenderedPageBreak/>
        <w:t xml:space="preserve">Ciò premesso, si rileva come l'accertamento postuli una presenza in magazzino di materiali metallici sensibilmente superiore rispetto a quanto registrato in contabilità, principalmente sulla base dell'attribuzione ai materiali ferrosi registrati, della natura di fusti in ferro, ciascuno dei quali a propria volta contenente materiale da lavorare. </w:t>
      </w:r>
    </w:p>
    <w:p w14:paraId="309E7B65" w14:textId="16FFD21F" w:rsidR="00786B16" w:rsidRPr="007524A9" w:rsidRDefault="00FE6BBC" w:rsidP="00FE6BBC">
      <w:pPr>
        <w:pStyle w:val="p1"/>
        <w:tabs>
          <w:tab w:val="left" w:pos="426"/>
        </w:tabs>
        <w:spacing w:before="0" w:beforeAutospacing="0" w:after="0" w:afterAutospacing="0" w:line="360" w:lineRule="auto"/>
        <w:ind w:right="-2"/>
        <w:jc w:val="both"/>
        <w:rPr>
          <w:rFonts w:asciiTheme="minorHAnsi" w:hAnsiTheme="minorHAnsi" w:cstheme="minorHAnsi"/>
        </w:rPr>
      </w:pPr>
      <w:r w:rsidRPr="007524A9">
        <w:rPr>
          <w:rFonts w:ascii="Calibri" w:hAnsi="Calibri"/>
          <w:i/>
          <w:iCs/>
        </w:rPr>
        <w:t>In tale assetto, non appare adeguatamente contrastata la allegazione difensiva di parte ricorrente secondo la quale tali fusti potrebbero giungere solamente da paesi extra UE - nella fattispecie Arabia Saudita o USA, unici paesi fornitori extra UE della società - in quanto il trasporto di detti contenitori ferrosi è vietato nella Unione europea. Ciò comporta necessariamente che tali fusti di ferro potrebbero giungere solamente via nave con container che hanno un peso massimo di trasporto di 25 tonnellate cadauno. Sarebbe dunque necessario dividere i maggiori quantitativi ricostruiti per 1.487 tonnellate per il peso di massimo di capienza di un container pari a 25 tonnellate: il risultato comporterebbe la esistenza di 60 container che necessariamente sarebbero giunti via nave dall’Arabia Saudita o dagli USA, nel difetto di riscontro probatorio alcuno in punto transito doganale, modalità di pagamento modalità di trasporto via terra dal porto di sbarco fino alla sede della società ricorrente</w:t>
      </w:r>
      <w:r w:rsidR="000E7389" w:rsidRPr="007524A9">
        <w:rPr>
          <w:rFonts w:ascii="Calibri" w:hAnsi="Calibri"/>
        </w:rPr>
        <w:t>” [</w:t>
      </w:r>
      <w:proofErr w:type="spellStart"/>
      <w:r w:rsidR="000E7389" w:rsidRPr="007524A9">
        <w:rPr>
          <w:rFonts w:ascii="Calibri" w:hAnsi="Calibri"/>
        </w:rPr>
        <w:t>cfr</w:t>
      </w:r>
      <w:proofErr w:type="spellEnd"/>
      <w:r w:rsidR="000E7389" w:rsidRPr="007524A9">
        <w:rPr>
          <w:rFonts w:ascii="Calibri" w:hAnsi="Calibri"/>
        </w:rPr>
        <w:t xml:space="preserve"> Doc. 3 Cassazione pag. 6</w:t>
      </w:r>
      <w:r w:rsidRPr="007524A9">
        <w:rPr>
          <w:rFonts w:ascii="Calibri" w:hAnsi="Calibri"/>
        </w:rPr>
        <w:t xml:space="preserve"> e 7</w:t>
      </w:r>
      <w:r w:rsidR="000E7389" w:rsidRPr="007524A9">
        <w:rPr>
          <w:rFonts w:ascii="Calibri" w:hAnsi="Calibri"/>
        </w:rPr>
        <w:t>]</w:t>
      </w:r>
      <w:r w:rsidR="000E7389" w:rsidRPr="007524A9">
        <w:rPr>
          <w:rFonts w:ascii="Calibri" w:hAnsi="Calibri"/>
          <w:i/>
          <w:iCs/>
        </w:rPr>
        <w:t>.</w:t>
      </w:r>
    </w:p>
    <w:p w14:paraId="34C5A355" w14:textId="0C128CC0" w:rsidR="00786B16" w:rsidRPr="007524A9" w:rsidRDefault="00845370" w:rsidP="00316CEC">
      <w:pPr>
        <w:pStyle w:val="p1"/>
        <w:numPr>
          <w:ilvl w:val="1"/>
          <w:numId w:val="3"/>
        </w:numPr>
        <w:tabs>
          <w:tab w:val="left" w:pos="426"/>
        </w:tabs>
        <w:spacing w:before="0" w:beforeAutospacing="0" w:after="0" w:afterAutospacing="0" w:line="360" w:lineRule="auto"/>
        <w:ind w:left="0" w:right="-2" w:hanging="44"/>
        <w:jc w:val="both"/>
        <w:rPr>
          <w:rFonts w:asciiTheme="minorHAnsi" w:hAnsiTheme="minorHAnsi" w:cstheme="minorHAnsi"/>
          <w:iCs/>
        </w:rPr>
      </w:pPr>
      <w:r w:rsidRPr="007524A9">
        <w:rPr>
          <w:rFonts w:asciiTheme="minorHAnsi" w:hAnsiTheme="minorHAnsi" w:cstheme="minorHAnsi"/>
        </w:rPr>
        <w:t xml:space="preserve">Avverso la sentenza di primo grado che ha accolto il ricorso della contribuente, l’Ufficio ha proposto appello </w:t>
      </w:r>
      <w:r w:rsidR="00097C50" w:rsidRPr="007524A9">
        <w:rPr>
          <w:rFonts w:asciiTheme="minorHAnsi" w:hAnsiTheme="minorHAnsi" w:cstheme="minorHAnsi"/>
        </w:rPr>
        <w:t>reiterando, non solo nella sostanza ma anche con un sapiente copia-incolla, quanto aveva già argomentato nelle sue controdeduzioni al ricorso in primo grado</w:t>
      </w:r>
      <w:r w:rsidR="00D07353" w:rsidRPr="007524A9">
        <w:rPr>
          <w:rFonts w:asciiTheme="minorHAnsi" w:hAnsiTheme="minorHAnsi" w:cstheme="minorHAnsi"/>
        </w:rPr>
        <w:t xml:space="preserve">; conseguentemente questa difesa ha replicato punto per punto alle argomentazioni avversarie, offrendo la corretta ricostruzione dei fatti oggetto dei rilievi mossi dall’Ufficio e </w:t>
      </w:r>
      <w:r w:rsidR="00316CEC" w:rsidRPr="007524A9">
        <w:rPr>
          <w:rFonts w:asciiTheme="minorHAnsi" w:hAnsiTheme="minorHAnsi" w:cstheme="minorHAnsi"/>
        </w:rPr>
        <w:t xml:space="preserve">allo stesso tempo evidenziando che la sentenza di primo grado aveva </w:t>
      </w:r>
      <w:r w:rsidR="00316CEC" w:rsidRPr="007524A9">
        <w:rPr>
          <w:rFonts w:ascii="Calibri" w:hAnsi="Calibri"/>
        </w:rPr>
        <w:t>colto nel merito l’inconsistenza del fondamento della pretesa erariale, poiché “</w:t>
      </w:r>
      <w:r w:rsidR="00316CEC" w:rsidRPr="007524A9">
        <w:rPr>
          <w:rFonts w:ascii="Calibri" w:hAnsi="Calibri"/>
          <w:i/>
          <w:iCs/>
        </w:rPr>
        <w:t>In tale assetto, non appare adeguatamente contrastata la allegazione difensiva di parte ricorrente</w:t>
      </w:r>
      <w:r w:rsidR="00316CEC" w:rsidRPr="007524A9">
        <w:rPr>
          <w:rFonts w:ascii="Calibri" w:hAnsi="Calibri"/>
        </w:rPr>
        <w:t>”, significando che mancava la</w:t>
      </w:r>
      <w:r w:rsidR="00316CEC" w:rsidRPr="007524A9">
        <w:rPr>
          <w:rFonts w:ascii="Calibri" w:hAnsi="Calibri"/>
          <w:i/>
        </w:rPr>
        <w:t xml:space="preserve"> </w:t>
      </w:r>
      <w:r w:rsidR="00316CEC" w:rsidRPr="007524A9">
        <w:rPr>
          <w:rFonts w:ascii="Calibri" w:hAnsi="Calibri"/>
          <w:iCs/>
        </w:rPr>
        <w:t xml:space="preserve">dimostrazione dell’attendibilità della ripresa tributaria, non rinvenendosi, tanto meno, dal carteggio processuale traccia di elementi indiziari a livello presuntivo sorretto dal requisito della gravità, precisione e concordanza, così come richiesto dall’art. 39, comma 1, lett. d) del D.P.R. n. 600/73, sul quale è del resto imperniata l’azione accertatrice, manifestatamente caratterizzata da supposizioni ed apprezzamenti privi di un tangibile riscontro, cd. </w:t>
      </w:r>
      <w:proofErr w:type="spellStart"/>
      <w:r w:rsidR="00316CEC" w:rsidRPr="007524A9">
        <w:rPr>
          <w:rFonts w:ascii="Calibri" w:hAnsi="Calibri" w:cs="Calibri"/>
          <w:i/>
        </w:rPr>
        <w:t>praesumptio</w:t>
      </w:r>
      <w:proofErr w:type="spellEnd"/>
      <w:r w:rsidR="00316CEC" w:rsidRPr="007524A9">
        <w:rPr>
          <w:rFonts w:ascii="Calibri" w:hAnsi="Calibri" w:cs="Calibri"/>
          <w:i/>
        </w:rPr>
        <w:t xml:space="preserve"> de </w:t>
      </w:r>
      <w:proofErr w:type="spellStart"/>
      <w:r w:rsidR="00316CEC" w:rsidRPr="007524A9">
        <w:rPr>
          <w:rFonts w:ascii="Calibri" w:hAnsi="Calibri" w:cs="Calibri"/>
          <w:i/>
        </w:rPr>
        <w:t>praesumpt</w:t>
      </w:r>
      <w:r w:rsidR="00DC6FB5" w:rsidRPr="007524A9">
        <w:rPr>
          <w:rFonts w:ascii="Calibri" w:hAnsi="Calibri"/>
          <w:i/>
        </w:rPr>
        <w:t>o</w:t>
      </w:r>
      <w:proofErr w:type="spellEnd"/>
      <w:r w:rsidR="00316CEC" w:rsidRPr="007524A9">
        <w:rPr>
          <w:rFonts w:ascii="Calibri" w:hAnsi="Calibri"/>
          <w:i/>
        </w:rPr>
        <w:t>,</w:t>
      </w:r>
      <w:r w:rsidR="00316CEC" w:rsidRPr="007524A9">
        <w:rPr>
          <w:rFonts w:ascii="Calibri" w:hAnsi="Calibri"/>
          <w:iCs/>
        </w:rPr>
        <w:t xml:space="preserve"> non potendo per l’effetto ergersi a dato vincolante di prova le riferite mere supposizioni o dati errati laddove la difesa del contribuente aveva </w:t>
      </w:r>
      <w:r w:rsidR="00316CEC" w:rsidRPr="007524A9">
        <w:rPr>
          <w:rFonts w:ascii="Calibri" w:hAnsi="Calibri"/>
          <w:iCs/>
        </w:rPr>
        <w:lastRenderedPageBreak/>
        <w:t xml:space="preserve">invece offerto </w:t>
      </w:r>
      <w:r w:rsidR="00DC6FB5" w:rsidRPr="007524A9">
        <w:rPr>
          <w:rFonts w:ascii="Calibri" w:hAnsi="Calibri"/>
          <w:iCs/>
        </w:rPr>
        <w:t>concrete prove documentali e allegazioni che non erano state confutate dall’Ufficio.</w:t>
      </w:r>
    </w:p>
    <w:p w14:paraId="3272C951" w14:textId="67005184" w:rsidR="000A79F5" w:rsidRPr="007524A9" w:rsidRDefault="00DC6FB5" w:rsidP="00AE7793">
      <w:pPr>
        <w:pStyle w:val="p1"/>
        <w:numPr>
          <w:ilvl w:val="1"/>
          <w:numId w:val="3"/>
        </w:numPr>
        <w:tabs>
          <w:tab w:val="left" w:pos="426"/>
        </w:tabs>
        <w:spacing w:before="0" w:beforeAutospacing="0" w:after="0" w:afterAutospacing="0" w:line="360" w:lineRule="auto"/>
        <w:ind w:left="0" w:right="-2" w:hanging="44"/>
        <w:jc w:val="both"/>
        <w:rPr>
          <w:rFonts w:ascii="Calibri" w:hAnsi="Calibri" w:cs="Calibri"/>
        </w:rPr>
      </w:pPr>
      <w:r w:rsidRPr="007524A9">
        <w:rPr>
          <w:rFonts w:ascii="Calibri" w:hAnsi="Calibri" w:cs="Calibri"/>
        </w:rPr>
        <w:t xml:space="preserve">Coerentemente anche la Corte di secondo grado </w:t>
      </w:r>
      <w:r w:rsidR="00791096" w:rsidRPr="007524A9">
        <w:rPr>
          <w:rFonts w:ascii="Calibri" w:hAnsi="Calibri" w:cs="Calibri"/>
        </w:rPr>
        <w:t>ha ritenuto</w:t>
      </w:r>
      <w:r w:rsidRPr="007524A9">
        <w:rPr>
          <w:rFonts w:ascii="Calibri" w:hAnsi="Calibri" w:cs="Calibri"/>
        </w:rPr>
        <w:t xml:space="preserve"> che “</w:t>
      </w:r>
      <w:r w:rsidRPr="007524A9">
        <w:rPr>
          <w:rFonts w:ascii="Calibri" w:hAnsi="Calibri" w:cs="Calibri"/>
          <w:i/>
          <w:iCs/>
        </w:rPr>
        <w:t xml:space="preserve">Il proposto appello pare infondato, talché la sentenza impugnata merita integrale conferma per le seguenti ragioni. I </w:t>
      </w:r>
      <w:r w:rsidR="00B33603" w:rsidRPr="007524A9">
        <w:rPr>
          <w:rFonts w:ascii="Calibri" w:hAnsi="Calibri" w:cs="Calibri"/>
          <w:i/>
          <w:iCs/>
        </w:rPr>
        <w:t>G</w:t>
      </w:r>
      <w:r w:rsidRPr="007524A9">
        <w:rPr>
          <w:rFonts w:ascii="Calibri" w:hAnsi="Calibri" w:cs="Calibri"/>
          <w:i/>
          <w:iCs/>
        </w:rPr>
        <w:t xml:space="preserve">iudici di prime cure hanno infatti correttamente ed analiticamente argomentato sul punto, rilevando che il ricorso a detto metodo accertativo (accertamento induttivo), che la legge limita a premesse rigorose discostandosi dalla proposta normativa generale dell'accertamento analitico dei redditi attraverso l'analisi delle componenti positive e negative dello stesso, nel caso di specie non avrebbe dovuto/potuto applicarsi. Gli annotati i movimenti contabili su cui si è appuntata l'attività accertativa sono una ristrettissima minoranza rispetto al complesso delle annotazioni redatte nell'esercizio accertato (in numero di </w:t>
      </w:r>
      <w:r w:rsidR="00E71EE8" w:rsidRPr="007524A9">
        <w:rPr>
          <w:rFonts w:ascii="Calibri" w:hAnsi="Calibri" w:cs="Calibri"/>
          <w:i/>
          <w:iCs/>
        </w:rPr>
        <w:t>24</w:t>
      </w:r>
      <w:r w:rsidRPr="007524A9">
        <w:rPr>
          <w:rFonts w:ascii="Calibri" w:hAnsi="Calibri" w:cs="Calibri"/>
          <w:i/>
          <w:iCs/>
        </w:rPr>
        <w:t xml:space="preserve"> sulle appuntate 16.500 operazioni). Il canone consolidato dei Giudici di diritto richiede, per dare accesso all'accertamento induttivo, che le irregolarità formali riscontrate siano gravi, ripetute e numerose, ciò che non è </w:t>
      </w:r>
      <w:proofErr w:type="spellStart"/>
      <w:r w:rsidRPr="007524A9">
        <w:rPr>
          <w:rFonts w:ascii="Calibri" w:hAnsi="Calibri" w:cs="Calibri"/>
          <w:i/>
          <w:iCs/>
        </w:rPr>
        <w:t>ictu</w:t>
      </w:r>
      <w:proofErr w:type="spellEnd"/>
      <w:r w:rsidRPr="007524A9">
        <w:rPr>
          <w:rFonts w:ascii="Calibri" w:hAnsi="Calibri" w:cs="Calibri"/>
          <w:i/>
          <w:iCs/>
        </w:rPr>
        <w:t xml:space="preserve"> oculi nel caso di specie. Analizzando poi talune di dette scritture, quelle riferite alle rimanenze di materiali ferrosi, (ciò che a rigore non sarebbe stato necessario, preliminare ed assorbente essendo i rilievi poc'anzi esposti sulla limitatezza dei rilievi formali contestati rispetto ai movimenti complessivi</w:t>
      </w:r>
      <w:r w:rsidR="00F76A5A" w:rsidRPr="007524A9">
        <w:rPr>
          <w:rFonts w:ascii="Calibri" w:hAnsi="Calibri" w:cs="Calibri"/>
          <w:i/>
          <w:iCs/>
        </w:rPr>
        <w:t>)</w:t>
      </w:r>
      <w:r w:rsidRPr="007524A9">
        <w:rPr>
          <w:rFonts w:ascii="Calibri" w:hAnsi="Calibri" w:cs="Calibri"/>
          <w:i/>
          <w:iCs/>
        </w:rPr>
        <w:t xml:space="preserve">, il primo </w:t>
      </w:r>
      <w:r w:rsidR="00F76A5A" w:rsidRPr="007524A9">
        <w:rPr>
          <w:rFonts w:ascii="Calibri" w:hAnsi="Calibri" w:cs="Calibri"/>
          <w:i/>
          <w:iCs/>
        </w:rPr>
        <w:t>C</w:t>
      </w:r>
      <w:r w:rsidRPr="007524A9">
        <w:rPr>
          <w:rFonts w:ascii="Calibri" w:hAnsi="Calibri" w:cs="Calibri"/>
          <w:i/>
          <w:iCs/>
        </w:rPr>
        <w:t>ollegio concorda sulla considerazione difensiva per cui detto ammontare non sarebbe possibile ipotizzando l'arrivo intra U</w:t>
      </w:r>
      <w:r w:rsidR="00F76A5A" w:rsidRPr="007524A9">
        <w:rPr>
          <w:rFonts w:ascii="Calibri" w:hAnsi="Calibri" w:cs="Calibri"/>
          <w:i/>
          <w:iCs/>
        </w:rPr>
        <w:t>E</w:t>
      </w:r>
      <w:r w:rsidRPr="007524A9">
        <w:rPr>
          <w:rFonts w:ascii="Calibri" w:hAnsi="Calibri" w:cs="Calibri"/>
          <w:i/>
          <w:iCs/>
        </w:rPr>
        <w:t xml:space="preserve"> di contenitori ferrosi, vietato da norme comunitarie, n</w:t>
      </w:r>
      <w:r w:rsidR="00F76A5A" w:rsidRPr="007524A9">
        <w:rPr>
          <w:rFonts w:ascii="Calibri" w:hAnsi="Calibri" w:cs="Calibri"/>
          <w:i/>
          <w:iCs/>
        </w:rPr>
        <w:t>é lo</w:t>
      </w:r>
      <w:r w:rsidRPr="007524A9">
        <w:rPr>
          <w:rFonts w:ascii="Calibri" w:hAnsi="Calibri" w:cs="Calibri"/>
          <w:i/>
          <w:iCs/>
        </w:rPr>
        <w:t xml:space="preserve"> sarebbe ipotizza</w:t>
      </w:r>
      <w:r w:rsidR="00F76A5A" w:rsidRPr="007524A9">
        <w:rPr>
          <w:rFonts w:ascii="Calibri" w:hAnsi="Calibri" w:cs="Calibri"/>
          <w:i/>
          <w:iCs/>
        </w:rPr>
        <w:t>nd</w:t>
      </w:r>
      <w:r w:rsidRPr="007524A9">
        <w:rPr>
          <w:rFonts w:ascii="Calibri" w:hAnsi="Calibri" w:cs="Calibri"/>
          <w:i/>
          <w:iCs/>
        </w:rPr>
        <w:t xml:space="preserve">o il trasporto come proveniente da Arabia Saudita o dagli </w:t>
      </w:r>
      <w:r w:rsidR="00F76A5A" w:rsidRPr="007524A9">
        <w:rPr>
          <w:rFonts w:ascii="Calibri" w:hAnsi="Calibri" w:cs="Calibri"/>
          <w:i/>
          <w:iCs/>
        </w:rPr>
        <w:t>USA</w:t>
      </w:r>
      <w:r w:rsidRPr="007524A9">
        <w:rPr>
          <w:rFonts w:ascii="Calibri" w:hAnsi="Calibri" w:cs="Calibri"/>
          <w:i/>
          <w:iCs/>
        </w:rPr>
        <w:t>, lo stesso non essendo suffragato da alcun positivo riscontro doganale in tal senso</w:t>
      </w:r>
      <w:r w:rsidR="00F76A5A" w:rsidRPr="007524A9">
        <w:rPr>
          <w:rFonts w:ascii="Calibri" w:hAnsi="Calibri" w:cs="Calibri"/>
          <w:i/>
          <w:iCs/>
        </w:rPr>
        <w:t>,</w:t>
      </w:r>
      <w:r w:rsidRPr="007524A9">
        <w:rPr>
          <w:rFonts w:ascii="Calibri" w:hAnsi="Calibri" w:cs="Calibri"/>
          <w:i/>
          <w:iCs/>
        </w:rPr>
        <w:t xml:space="preserve"> non versato in atti</w:t>
      </w:r>
      <w:r w:rsidR="00F76A5A" w:rsidRPr="007524A9">
        <w:rPr>
          <w:rFonts w:ascii="Calibri" w:hAnsi="Calibri" w:cs="Calibri"/>
          <w:i/>
          <w:iCs/>
        </w:rPr>
        <w:t xml:space="preserve"> </w:t>
      </w:r>
      <w:r w:rsidR="00F76A5A" w:rsidRPr="007524A9">
        <w:rPr>
          <w:rFonts w:ascii="Calibri" w:hAnsi="Calibri" w:cs="Calibri"/>
        </w:rPr>
        <w:t>[</w:t>
      </w:r>
      <w:proofErr w:type="spellStart"/>
      <w:r w:rsidR="00F76A5A" w:rsidRPr="007524A9">
        <w:rPr>
          <w:rFonts w:ascii="Calibri" w:hAnsi="Calibri" w:cs="Calibri"/>
        </w:rPr>
        <w:t>cfr</w:t>
      </w:r>
      <w:proofErr w:type="spellEnd"/>
      <w:r w:rsidR="00F76A5A" w:rsidRPr="007524A9">
        <w:rPr>
          <w:rFonts w:ascii="Calibri" w:hAnsi="Calibri" w:cs="Calibri"/>
        </w:rPr>
        <w:t xml:space="preserve"> Doc 2 Cassazione pag. 2 – Motivi della decisone]</w:t>
      </w:r>
      <w:r w:rsidRPr="007524A9">
        <w:rPr>
          <w:rFonts w:ascii="Calibri" w:hAnsi="Calibri" w:cs="Calibri"/>
        </w:rPr>
        <w:t>.</w:t>
      </w:r>
    </w:p>
    <w:p w14:paraId="65EBF88D" w14:textId="0AD82A25" w:rsidR="00791096" w:rsidRPr="007524A9" w:rsidRDefault="00791096" w:rsidP="00C347C3">
      <w:pPr>
        <w:pStyle w:val="p1"/>
        <w:numPr>
          <w:ilvl w:val="0"/>
          <w:numId w:val="3"/>
        </w:numPr>
        <w:tabs>
          <w:tab w:val="left" w:pos="426"/>
        </w:tabs>
        <w:spacing w:before="240" w:beforeAutospacing="0" w:after="0" w:afterAutospacing="0" w:line="360" w:lineRule="auto"/>
        <w:ind w:right="-2"/>
        <w:jc w:val="both"/>
        <w:rPr>
          <w:rFonts w:ascii="Calibri" w:hAnsi="Calibri" w:cs="Calibri"/>
        </w:rPr>
      </w:pPr>
      <w:r w:rsidRPr="007524A9">
        <w:rPr>
          <w:rFonts w:asciiTheme="minorHAnsi" w:hAnsiTheme="minorHAnsi" w:cstheme="minorHAnsi"/>
          <w:b/>
          <w:bCs/>
        </w:rPr>
        <w:t>L’INTERVENUTA ARCHIVIAZIONE PENALE</w:t>
      </w:r>
    </w:p>
    <w:p w14:paraId="77292608" w14:textId="0B312E99" w:rsidR="00791096" w:rsidRPr="007524A9" w:rsidRDefault="00791096" w:rsidP="00791096">
      <w:pPr>
        <w:pStyle w:val="p1"/>
        <w:numPr>
          <w:ilvl w:val="1"/>
          <w:numId w:val="3"/>
        </w:numPr>
        <w:tabs>
          <w:tab w:val="left" w:pos="426"/>
        </w:tabs>
        <w:spacing w:before="0" w:beforeAutospacing="0" w:after="0" w:afterAutospacing="0" w:line="360" w:lineRule="auto"/>
        <w:ind w:left="0" w:right="-2" w:firstLine="0"/>
        <w:jc w:val="both"/>
        <w:rPr>
          <w:rFonts w:ascii="Calibri" w:hAnsi="Calibri" w:cs="Calibri"/>
        </w:rPr>
      </w:pPr>
      <w:r w:rsidRPr="007524A9">
        <w:rPr>
          <w:rFonts w:ascii="Calibri" w:hAnsi="Calibri" w:cs="Calibri"/>
          <w:bCs/>
        </w:rPr>
        <w:t>Preliminarmente e al fine di offrire un contributo di riferimento per la completa disamina dei fatti di cui ci si occupa, si reputa opportuno segnalare all’Ecc.ma Corte che l’Agenzia delle Entrate all’esito dell’attività di verifica fiscale, argomentando sui fatti poi oggetto di accertamento ha ritenuto di segnalare alla Procura della Repubblica di Modena, competente per territorio</w:t>
      </w:r>
      <w:r w:rsidR="00C347C3" w:rsidRPr="007524A9">
        <w:rPr>
          <w:rFonts w:ascii="Calibri" w:hAnsi="Calibri" w:cs="Calibri"/>
          <w:bCs/>
        </w:rPr>
        <w:t xml:space="preserve">, il legale rappresentante della società contribuente, Sig. </w:t>
      </w:r>
      <w:proofErr w:type="spellStart"/>
      <w:r w:rsidR="00C347C3" w:rsidRPr="007524A9">
        <w:rPr>
          <w:rFonts w:ascii="Calibri" w:hAnsi="Calibri" w:cs="Calibri"/>
          <w:bCs/>
        </w:rPr>
        <w:t>Digani</w:t>
      </w:r>
      <w:proofErr w:type="spellEnd"/>
      <w:r w:rsidR="00C347C3" w:rsidRPr="007524A9">
        <w:rPr>
          <w:rFonts w:ascii="Calibri" w:hAnsi="Calibri" w:cs="Calibri"/>
          <w:bCs/>
        </w:rPr>
        <w:t xml:space="preserve"> Fernando, per il reato di dichiarazione infedele previsto e punito dall’art. 4 del </w:t>
      </w:r>
      <w:proofErr w:type="spellStart"/>
      <w:r w:rsidR="00C347C3" w:rsidRPr="007524A9">
        <w:rPr>
          <w:rFonts w:ascii="Calibri" w:hAnsi="Calibri" w:cs="Calibri"/>
          <w:bCs/>
        </w:rPr>
        <w:t>D.lgs</w:t>
      </w:r>
      <w:proofErr w:type="spellEnd"/>
      <w:r w:rsidR="00C347C3" w:rsidRPr="007524A9">
        <w:rPr>
          <w:rFonts w:ascii="Calibri" w:hAnsi="Calibri" w:cs="Calibri"/>
          <w:bCs/>
        </w:rPr>
        <w:t xml:space="preserve"> n. 74/2000., che pertanto è stato iscritto nel registro degli indagati </w:t>
      </w:r>
      <w:r w:rsidR="00BD05EB" w:rsidRPr="007524A9">
        <w:rPr>
          <w:rFonts w:ascii="Calibri" w:hAnsi="Calibri" w:cs="Calibri"/>
          <w:bCs/>
        </w:rPr>
        <w:t xml:space="preserve">al proc. </w:t>
      </w:r>
      <w:proofErr w:type="spellStart"/>
      <w:r w:rsidR="00BD05EB" w:rsidRPr="007524A9">
        <w:rPr>
          <w:rFonts w:ascii="Calibri" w:hAnsi="Calibri" w:cs="Calibri"/>
          <w:bCs/>
        </w:rPr>
        <w:t>pen</w:t>
      </w:r>
      <w:proofErr w:type="spellEnd"/>
      <w:r w:rsidR="00BD05EB" w:rsidRPr="007524A9">
        <w:rPr>
          <w:rFonts w:ascii="Calibri" w:hAnsi="Calibri" w:cs="Calibri"/>
          <w:bCs/>
        </w:rPr>
        <w:t>. n. 7889/2020 RGNR.</w:t>
      </w:r>
    </w:p>
    <w:p w14:paraId="1A57E848" w14:textId="061D5365" w:rsidR="00C347C3" w:rsidRPr="007524A9" w:rsidRDefault="00C347C3" w:rsidP="00C347C3">
      <w:pPr>
        <w:spacing w:line="360" w:lineRule="auto"/>
        <w:jc w:val="both"/>
        <w:rPr>
          <w:rFonts w:ascii="Calibri" w:hAnsi="Calibri" w:cs="Calibri"/>
          <w:bCs/>
        </w:rPr>
      </w:pPr>
      <w:r w:rsidRPr="007524A9">
        <w:rPr>
          <w:rFonts w:ascii="Calibri" w:hAnsi="Calibri" w:cs="Calibri"/>
          <w:bCs/>
        </w:rPr>
        <w:lastRenderedPageBreak/>
        <w:t xml:space="preserve">Ebbene, </w:t>
      </w:r>
      <w:proofErr w:type="gramStart"/>
      <w:r w:rsidRPr="007524A9">
        <w:rPr>
          <w:rFonts w:ascii="Calibri" w:hAnsi="Calibri" w:cs="Calibri"/>
          <w:bCs/>
        </w:rPr>
        <w:t>il</w:t>
      </w:r>
      <w:proofErr w:type="gramEnd"/>
      <w:r w:rsidRPr="007524A9">
        <w:rPr>
          <w:rFonts w:ascii="Calibri" w:hAnsi="Calibri" w:cs="Calibri"/>
          <w:bCs/>
        </w:rPr>
        <w:t xml:space="preserve"> stesso P.M. dopo pochi mesi “</w:t>
      </w:r>
      <w:r w:rsidRPr="007524A9">
        <w:rPr>
          <w:rFonts w:ascii="Calibri" w:hAnsi="Calibri" w:cs="Calibri"/>
          <w:bCs/>
          <w:i/>
          <w:iCs/>
        </w:rPr>
        <w:t>Ritenuto che, sulla base dei riscontri forniti ovvero delle indagini svolte, non siano stati acquisiti elementi sufficienti a sostenere l'accusa in giudizio ex art. 125 disp. att. c.p.p. trattandosi di ricostruzione meramente induttiva nella soglia di punibilità</w:t>
      </w:r>
      <w:r w:rsidRPr="007524A9">
        <w:rPr>
          <w:rFonts w:ascii="Calibri" w:hAnsi="Calibri" w:cs="Calibri"/>
          <w:bCs/>
        </w:rPr>
        <w:t>”</w:t>
      </w:r>
      <w:r w:rsidRPr="007524A9">
        <w:rPr>
          <w:rFonts w:ascii="Calibri" w:hAnsi="Calibri" w:cs="Calibri"/>
          <w:bCs/>
          <w:i/>
          <w:iCs/>
        </w:rPr>
        <w:t xml:space="preserve"> </w:t>
      </w:r>
      <w:r w:rsidRPr="007524A9">
        <w:rPr>
          <w:rFonts w:ascii="Calibri" w:hAnsi="Calibri" w:cs="Calibri"/>
          <w:bCs/>
        </w:rPr>
        <w:t xml:space="preserve">ha richiesto l’archiviazione del fascicolo ai sensi dell’art. 408 Cod. proc. </w:t>
      </w:r>
      <w:proofErr w:type="spellStart"/>
      <w:r w:rsidRPr="007524A9">
        <w:rPr>
          <w:rFonts w:ascii="Calibri" w:hAnsi="Calibri" w:cs="Calibri"/>
          <w:bCs/>
        </w:rPr>
        <w:t>pen</w:t>
      </w:r>
      <w:proofErr w:type="spellEnd"/>
      <w:r w:rsidRPr="007524A9">
        <w:rPr>
          <w:rFonts w:ascii="Calibri" w:hAnsi="Calibri" w:cs="Calibri"/>
          <w:bCs/>
        </w:rPr>
        <w:t>. al Giudice per le Indagini Preliminari dello stesso Tribunale.</w:t>
      </w:r>
    </w:p>
    <w:p w14:paraId="3976C0FD" w14:textId="00997B17" w:rsidR="00C347C3" w:rsidRPr="007524A9" w:rsidRDefault="00BD05EB" w:rsidP="00C347C3">
      <w:pPr>
        <w:spacing w:line="360" w:lineRule="auto"/>
        <w:jc w:val="both"/>
        <w:rPr>
          <w:rFonts w:ascii="Calibri" w:hAnsi="Calibri" w:cs="Calibri"/>
          <w:bCs/>
        </w:rPr>
      </w:pPr>
      <w:r w:rsidRPr="007524A9">
        <w:rPr>
          <w:rFonts w:ascii="Calibri" w:hAnsi="Calibri" w:cs="Calibri"/>
          <w:bCs/>
        </w:rPr>
        <w:t>La richiesta di archiviazione del P.M. non è stata opposta e il procedimento, d</w:t>
      </w:r>
      <w:r w:rsidR="00C347C3" w:rsidRPr="007524A9">
        <w:rPr>
          <w:rFonts w:ascii="Calibri" w:hAnsi="Calibri" w:cs="Calibri"/>
          <w:bCs/>
        </w:rPr>
        <w:t xml:space="preserve">opo il vaglio </w:t>
      </w:r>
      <w:r w:rsidRPr="007524A9">
        <w:rPr>
          <w:rFonts w:ascii="Calibri" w:hAnsi="Calibri" w:cs="Calibri"/>
          <w:bCs/>
        </w:rPr>
        <w:t>il</w:t>
      </w:r>
      <w:r w:rsidR="00C347C3" w:rsidRPr="007524A9">
        <w:rPr>
          <w:rFonts w:ascii="Calibri" w:hAnsi="Calibri" w:cs="Calibri"/>
          <w:bCs/>
        </w:rPr>
        <w:t xml:space="preserve"> GIP, con </w:t>
      </w:r>
      <w:r w:rsidRPr="007524A9">
        <w:rPr>
          <w:rFonts w:ascii="Calibri" w:hAnsi="Calibri" w:cs="Calibri"/>
          <w:bCs/>
        </w:rPr>
        <w:t>decreto</w:t>
      </w:r>
      <w:r w:rsidR="00C347C3" w:rsidRPr="007524A9">
        <w:rPr>
          <w:rFonts w:ascii="Calibri" w:hAnsi="Calibri" w:cs="Calibri"/>
          <w:bCs/>
        </w:rPr>
        <w:t xml:space="preserve"> </w:t>
      </w:r>
      <w:r w:rsidRPr="007524A9">
        <w:rPr>
          <w:rFonts w:ascii="Calibri" w:hAnsi="Calibri" w:cs="Calibri"/>
          <w:bCs/>
        </w:rPr>
        <w:t>dell’11.02.2021</w:t>
      </w:r>
      <w:r w:rsidR="00C347C3" w:rsidRPr="007524A9">
        <w:rPr>
          <w:rFonts w:ascii="Calibri" w:hAnsi="Calibri" w:cs="Calibri"/>
          <w:bCs/>
        </w:rPr>
        <w:t xml:space="preserve"> ha disposto l’archiviazione </w:t>
      </w:r>
      <w:r w:rsidRPr="007524A9">
        <w:rPr>
          <w:rFonts w:ascii="Calibri" w:hAnsi="Calibri" w:cs="Calibri"/>
          <w:bCs/>
        </w:rPr>
        <w:t xml:space="preserve">in accoglimento della richiesta del P.M. </w:t>
      </w:r>
      <w:r w:rsidR="00C347C3" w:rsidRPr="007524A9">
        <w:rPr>
          <w:rFonts w:ascii="Calibri" w:hAnsi="Calibri" w:cs="Calibri"/>
          <w:bCs/>
        </w:rPr>
        <w:t xml:space="preserve">(Doc. </w:t>
      </w:r>
      <w:r w:rsidRPr="007524A9">
        <w:rPr>
          <w:rFonts w:ascii="Calibri" w:hAnsi="Calibri" w:cs="Calibri"/>
          <w:bCs/>
        </w:rPr>
        <w:t>4 Cassazione</w:t>
      </w:r>
      <w:r w:rsidR="00C347C3" w:rsidRPr="007524A9">
        <w:rPr>
          <w:rFonts w:ascii="Calibri" w:hAnsi="Calibri" w:cs="Calibri"/>
          <w:bCs/>
        </w:rPr>
        <w:t>) rendendo definitiva la statuizione per l’ipotesi di reato ascritta.</w:t>
      </w:r>
    </w:p>
    <w:p w14:paraId="536E2FCE" w14:textId="25450301" w:rsidR="00BD05EB" w:rsidRPr="007524A9" w:rsidRDefault="00BD05EB" w:rsidP="00C347C3">
      <w:pPr>
        <w:spacing w:line="360" w:lineRule="auto"/>
        <w:jc w:val="both"/>
        <w:rPr>
          <w:rFonts w:ascii="Calibri" w:hAnsi="Calibri" w:cs="Calibri"/>
          <w:bCs/>
        </w:rPr>
      </w:pPr>
      <w:r w:rsidRPr="007524A9">
        <w:rPr>
          <w:rFonts w:ascii="Calibri" w:hAnsi="Calibri" w:cs="Calibri"/>
          <w:bCs/>
        </w:rPr>
        <w:t>Tale determinazione è stata debitamente rappresentata dalla difesa della contribuente alla Corte di Giustizia Tributaria di secondo grado in sede di udienza di trattazione in data 27.03.2025, come risulta a verbale all’uopo redatto (Doc. 5 Cassazione).</w:t>
      </w:r>
    </w:p>
    <w:p w14:paraId="1BD6718B" w14:textId="77777777" w:rsidR="00C347C3" w:rsidRPr="007524A9" w:rsidRDefault="00C347C3" w:rsidP="00BD05EB">
      <w:pPr>
        <w:pStyle w:val="p1"/>
        <w:numPr>
          <w:ilvl w:val="1"/>
          <w:numId w:val="3"/>
        </w:numPr>
        <w:tabs>
          <w:tab w:val="left" w:pos="426"/>
        </w:tabs>
        <w:spacing w:before="0" w:beforeAutospacing="0" w:after="0" w:afterAutospacing="0" w:line="360" w:lineRule="auto"/>
        <w:ind w:left="0" w:right="-2" w:firstLine="0"/>
        <w:jc w:val="both"/>
        <w:rPr>
          <w:rFonts w:ascii="Calibri" w:hAnsi="Calibri" w:cs="Calibri"/>
          <w:bCs/>
        </w:rPr>
      </w:pPr>
      <w:r w:rsidRPr="007524A9">
        <w:rPr>
          <w:rFonts w:ascii="Calibri" w:hAnsi="Calibri" w:cs="Calibri"/>
          <w:bCs/>
        </w:rPr>
        <w:t>La questione si presenta di particolare interesse alla luce della novella introdotta con l’art. 21-</w:t>
      </w:r>
      <w:r w:rsidRPr="007524A9">
        <w:rPr>
          <w:rFonts w:ascii="Calibri" w:hAnsi="Calibri" w:cs="Calibri"/>
          <w:bCs/>
          <w:i/>
          <w:iCs/>
        </w:rPr>
        <w:t>bis</w:t>
      </w:r>
      <w:r w:rsidRPr="007524A9">
        <w:rPr>
          <w:rFonts w:ascii="Calibri" w:hAnsi="Calibri" w:cs="Calibri"/>
          <w:bCs/>
        </w:rPr>
        <w:t xml:space="preserve"> del D. Lgs. n.74 /2000, secondo il quale, al comma 1, recita che “</w:t>
      </w:r>
      <w:r w:rsidRPr="007524A9">
        <w:rPr>
          <w:rFonts w:ascii="Calibri" w:hAnsi="Calibri" w:cs="Calibri"/>
          <w:i/>
          <w:iCs/>
        </w:rPr>
        <w:t>La sentenza irrevocabile di assoluzione perché il fatto non sussiste o l'imputato non lo ha commesso, pronunciata in seguito a dibattimento nei confronti del medesimo soggetto e sugli stessi fatti materiali oggetto di valutazione nel processo tributario, ha, in questo, efficacia di giudicato, in ogni stato e grado, quanto ai fatti medesimi</w:t>
      </w:r>
      <w:r w:rsidRPr="007524A9">
        <w:rPr>
          <w:rFonts w:ascii="Calibri" w:hAnsi="Calibri" w:cs="Calibri"/>
        </w:rPr>
        <w:t>”.</w:t>
      </w:r>
    </w:p>
    <w:p w14:paraId="0CCEADDA" w14:textId="77777777" w:rsidR="00C347C3" w:rsidRPr="007524A9" w:rsidRDefault="00C347C3" w:rsidP="00C347C3">
      <w:pPr>
        <w:spacing w:line="360" w:lineRule="auto"/>
        <w:jc w:val="both"/>
        <w:rPr>
          <w:rFonts w:ascii="Calibri" w:hAnsi="Calibri" w:cs="Calibri"/>
          <w:bCs/>
        </w:rPr>
      </w:pPr>
      <w:r w:rsidRPr="007524A9">
        <w:rPr>
          <w:rFonts w:ascii="Calibri" w:hAnsi="Calibri" w:cs="Calibri"/>
        </w:rPr>
        <w:t>Tale previsione sostanzialmente replica la formulazione della Legge 516/82 cd. “manette agli evasori”, che all’art. 12 disciplinava il giudicato penale nel diritto tributario, e che a sua volta abrogava la pregiudiziale tributaria prima vigente con la Legge n. 4/1929.</w:t>
      </w:r>
    </w:p>
    <w:p w14:paraId="6FF03B31" w14:textId="77777777" w:rsidR="00C347C3" w:rsidRPr="007524A9" w:rsidRDefault="00C347C3" w:rsidP="00BD05EB">
      <w:pPr>
        <w:pStyle w:val="p1"/>
        <w:numPr>
          <w:ilvl w:val="1"/>
          <w:numId w:val="3"/>
        </w:numPr>
        <w:tabs>
          <w:tab w:val="left" w:pos="426"/>
        </w:tabs>
        <w:spacing w:before="0" w:beforeAutospacing="0" w:after="0" w:afterAutospacing="0" w:line="360" w:lineRule="auto"/>
        <w:ind w:left="0" w:right="-2" w:firstLine="0"/>
        <w:jc w:val="both"/>
        <w:rPr>
          <w:rFonts w:ascii="Calibri" w:hAnsi="Calibri" w:cs="Calibri"/>
        </w:rPr>
      </w:pPr>
      <w:r w:rsidRPr="007524A9">
        <w:rPr>
          <w:rFonts w:ascii="Calibri" w:hAnsi="Calibri" w:cs="Calibri"/>
        </w:rPr>
        <w:t xml:space="preserve">Tuttavia in tema di circolazione delle prove nell’ambito dei due procedimenti, in forza del disposto di cui all’art. 654 Cod. proc. </w:t>
      </w:r>
      <w:proofErr w:type="spellStart"/>
      <w:r w:rsidRPr="007524A9">
        <w:rPr>
          <w:rFonts w:ascii="Calibri" w:hAnsi="Calibri" w:cs="Calibri"/>
        </w:rPr>
        <w:t>pen</w:t>
      </w:r>
      <w:proofErr w:type="spellEnd"/>
      <w:r w:rsidRPr="007524A9">
        <w:rPr>
          <w:rFonts w:ascii="Calibri" w:hAnsi="Calibri" w:cs="Calibri"/>
        </w:rPr>
        <w:t xml:space="preserve">. l’efficacia del giudicato penale si riflette sull’esercizio dei poteri di valutazione del giudice tributario - ai sensi dell’art. 116 Cod. proc. civ. applicabile al contenzioso – il quale nel giudicare deve procedere a un prudente apprezzamento del contenuto della decisione, ponendolo a confronto con gli altri elementi di prova acquisiti nel giudizio, sottolineando quindi che comunque </w:t>
      </w:r>
      <w:r w:rsidRPr="007524A9">
        <w:rPr>
          <w:rFonts w:ascii="Calibri" w:hAnsi="Calibri" w:cs="Calibri"/>
          <w:b/>
          <w:bCs/>
        </w:rPr>
        <w:t>in ambito tributario l’</w:t>
      </w:r>
      <w:r w:rsidRPr="007524A9">
        <w:rPr>
          <w:rFonts w:ascii="Calibri" w:hAnsi="Calibri" w:cs="Calibri"/>
          <w:b/>
          <w:bCs/>
          <w:i/>
          <w:iCs/>
        </w:rPr>
        <w:t xml:space="preserve">idem factum </w:t>
      </w:r>
      <w:r w:rsidRPr="007524A9">
        <w:rPr>
          <w:rFonts w:ascii="Calibri" w:hAnsi="Calibri" w:cs="Calibri"/>
          <w:b/>
          <w:bCs/>
        </w:rPr>
        <w:t>materiale oggetto di accertamento costituisce base inderogabile al fondamento della decisione.</w:t>
      </w:r>
    </w:p>
    <w:p w14:paraId="6E1BAD13" w14:textId="0F47AB5E" w:rsidR="00C347C3" w:rsidRPr="007524A9" w:rsidRDefault="00C347C3" w:rsidP="00C347C3">
      <w:pPr>
        <w:spacing w:line="360" w:lineRule="auto"/>
        <w:jc w:val="both"/>
        <w:rPr>
          <w:rFonts w:ascii="Calibri" w:hAnsi="Calibri" w:cs="Calibri"/>
        </w:rPr>
      </w:pPr>
      <w:r w:rsidRPr="007524A9">
        <w:rPr>
          <w:rFonts w:ascii="Calibri" w:hAnsi="Calibri" w:cs="Calibri"/>
        </w:rPr>
        <w:t>Infatti,</w:t>
      </w:r>
      <w:r w:rsidRPr="007524A9">
        <w:t xml:space="preserve"> </w:t>
      </w:r>
      <w:r w:rsidRPr="007524A9">
        <w:rPr>
          <w:rFonts w:ascii="Calibri" w:hAnsi="Calibri" w:cs="Calibri"/>
          <w:i/>
          <w:iCs/>
        </w:rPr>
        <w:t xml:space="preserve">la doglianza circa la violazione dell’art. 116 c.p.p. è ammissibile solo ove si alleghi che il giudice, nel valutare una prova o, comunque, una risultanza probatoria, non abbia operato - in assenza di diversa indicazione normativa - secondo il suo "prudente apprezzamento", pretendendo di attribuirle un altro e diverso valore oppure il valore che il legislatore attribuisce ad una differente risultanza probatoria (come, ad esempio, valore di prova legale), oppure, </w:t>
      </w:r>
      <w:r w:rsidRPr="007524A9">
        <w:rPr>
          <w:rFonts w:ascii="Calibri" w:hAnsi="Calibri" w:cs="Calibri"/>
          <w:i/>
          <w:iCs/>
        </w:rPr>
        <w:lastRenderedPageBreak/>
        <w:t>qualora la prova sia soggetta ad una specifica regola di valutazione, abbia dichiarato di valutare la stessa secondo il suo prudente apprezzamento, mentre, ove si deduca che il giudice ha solamente male esercitato il proprio prudente apprezzamento della prova, la censura è ammissibile, ai sensi del novellato art. 360, primo comma, n. 5, c.p.c., solo nei rigorosi limiti in cui esso ancora consente il sindacato di legittimità sui vizi di motivazione</w:t>
      </w:r>
      <w:r w:rsidRPr="007524A9">
        <w:t xml:space="preserve"> </w:t>
      </w:r>
      <w:r w:rsidRPr="007524A9">
        <w:rPr>
          <w:rFonts w:ascii="Calibri" w:hAnsi="Calibri" w:cs="Calibri"/>
        </w:rPr>
        <w:t xml:space="preserve">[Cassazione Civile sez. V </w:t>
      </w:r>
      <w:proofErr w:type="spellStart"/>
      <w:r w:rsidRPr="007524A9">
        <w:rPr>
          <w:rFonts w:ascii="Calibri" w:hAnsi="Calibri" w:cs="Calibri"/>
        </w:rPr>
        <w:t>sent</w:t>
      </w:r>
      <w:proofErr w:type="spellEnd"/>
      <w:r w:rsidRPr="007524A9">
        <w:rPr>
          <w:rFonts w:ascii="Calibri" w:hAnsi="Calibri" w:cs="Calibri"/>
        </w:rPr>
        <w:t>. n. /2022] significando, quindi che ciò ra</w:t>
      </w:r>
      <w:r w:rsidR="008B3CE3" w:rsidRPr="007524A9">
        <w:rPr>
          <w:rFonts w:ascii="Calibri" w:hAnsi="Calibri" w:cs="Calibri"/>
        </w:rPr>
        <w:t>p</w:t>
      </w:r>
      <w:r w:rsidRPr="007524A9">
        <w:rPr>
          <w:rFonts w:ascii="Calibri" w:hAnsi="Calibri" w:cs="Calibri"/>
        </w:rPr>
        <w:t>presenta un onere giudiziario.</w:t>
      </w:r>
    </w:p>
    <w:p w14:paraId="36CBAFDC" w14:textId="77777777" w:rsidR="00C347C3" w:rsidRPr="007524A9" w:rsidRDefault="00C347C3" w:rsidP="00BD05EB">
      <w:pPr>
        <w:pStyle w:val="p1"/>
        <w:numPr>
          <w:ilvl w:val="1"/>
          <w:numId w:val="3"/>
        </w:numPr>
        <w:tabs>
          <w:tab w:val="left" w:pos="426"/>
        </w:tabs>
        <w:spacing w:before="0" w:beforeAutospacing="0" w:after="0" w:afterAutospacing="0" w:line="360" w:lineRule="auto"/>
        <w:ind w:left="0" w:right="-2" w:firstLine="0"/>
        <w:jc w:val="both"/>
        <w:rPr>
          <w:rFonts w:ascii="Calibri" w:hAnsi="Calibri" w:cs="Calibri"/>
        </w:rPr>
      </w:pPr>
      <w:r w:rsidRPr="007524A9">
        <w:rPr>
          <w:rFonts w:ascii="Calibri" w:hAnsi="Calibri" w:cs="Calibri"/>
        </w:rPr>
        <w:t>Inoltre si può discutere se il precetto dell’art. 21-</w:t>
      </w:r>
      <w:r w:rsidRPr="007524A9">
        <w:rPr>
          <w:rFonts w:ascii="Calibri" w:hAnsi="Calibri" w:cs="Calibri"/>
          <w:i/>
          <w:iCs/>
        </w:rPr>
        <w:t>bis</w:t>
      </w:r>
      <w:r w:rsidRPr="007524A9">
        <w:rPr>
          <w:rFonts w:ascii="Calibri" w:hAnsi="Calibri" w:cs="Calibri"/>
        </w:rPr>
        <w:t xml:space="preserve"> del D. Lgs. n.74 /2000 sia applicabile o meno all’archiviazione disposta con decreto da un GIP, senza che sia celebrato il dibattimento, ma in questa sede corre l’obbligo sottolineare che la questione deve anche essere osservata da una differente angolazione, fondata sulla presunzione di innocenza che è principio a base di uno dei diritti fondamentali garantiti dalla Convenzione Europea dei Diritti dell’Uomo.</w:t>
      </w:r>
    </w:p>
    <w:p w14:paraId="3F264B6F" w14:textId="77777777" w:rsidR="00C347C3" w:rsidRPr="007524A9" w:rsidRDefault="00C347C3" w:rsidP="00C347C3">
      <w:pPr>
        <w:spacing w:line="360" w:lineRule="auto"/>
        <w:jc w:val="both"/>
        <w:rPr>
          <w:rFonts w:ascii="Calibri" w:hAnsi="Calibri" w:cs="Calibri"/>
        </w:rPr>
      </w:pPr>
      <w:r w:rsidRPr="007524A9">
        <w:rPr>
          <w:rFonts w:ascii="Calibri" w:hAnsi="Calibri" w:cs="Calibri"/>
        </w:rPr>
        <w:t xml:space="preserve">Si ricorda, infatti, che ai sensi dell’art. 1 della CEDU gli Stati contraenti, tra cui l’Italia per effetto della relativa ratifica, riconoscono i diritti garantiti dalla Convenzione, nel significato attribuito dalla Corte Europea, specificamente istituita per interpretarla e applicarla. </w:t>
      </w:r>
    </w:p>
    <w:p w14:paraId="3B28CA39" w14:textId="77777777" w:rsidR="00C347C3" w:rsidRPr="007524A9" w:rsidRDefault="00C347C3" w:rsidP="00C347C3">
      <w:pPr>
        <w:spacing w:line="360" w:lineRule="auto"/>
        <w:jc w:val="both"/>
        <w:rPr>
          <w:rFonts w:ascii="Calibri" w:hAnsi="Calibri" w:cs="Calibri"/>
        </w:rPr>
      </w:pPr>
      <w:r w:rsidRPr="007524A9">
        <w:rPr>
          <w:rFonts w:ascii="Calibri" w:hAnsi="Calibri" w:cs="Calibri"/>
        </w:rPr>
        <w:t>Ne consegue che i giudici nazionali hanno il dovere di tutelare i diritti ivi previsti, privilegiando l’interpretazione delle norme nazionali che sia conforme anche con il rispetto delle tutele convenzionali</w:t>
      </w:r>
      <w:bookmarkStart w:id="0" w:name="a_nota_n5"/>
      <w:r w:rsidRPr="007524A9">
        <w:rPr>
          <w:rFonts w:ascii="Calibri" w:hAnsi="Calibri" w:cs="Calibri"/>
        </w:rPr>
        <w:fldChar w:fldCharType="begin"/>
      </w:r>
      <w:r w:rsidRPr="007524A9">
        <w:rPr>
          <w:rFonts w:ascii="Calibri" w:hAnsi="Calibri" w:cs="Calibri"/>
        </w:rPr>
        <w:instrText>HYPERLINK "https://onefiscale.wolterskluwer.it/document/rilevanza-dell-archiviazione-penale-tra-diritto-nazionale-e-garanzie-cedu-sul-diritto-alla-presunzione-d-innocenza-il-commento/10AR0000305273ART1" \l "nota_n5"</w:instrText>
      </w:r>
      <w:r w:rsidRPr="007524A9">
        <w:rPr>
          <w:rFonts w:ascii="Calibri" w:hAnsi="Calibri" w:cs="Calibri"/>
        </w:rPr>
      </w:r>
      <w:r w:rsidRPr="007524A9">
        <w:rPr>
          <w:rFonts w:ascii="Calibri" w:hAnsi="Calibri" w:cs="Calibri"/>
        </w:rPr>
        <w:fldChar w:fldCharType="separate"/>
      </w:r>
      <w:r w:rsidRPr="007524A9">
        <w:rPr>
          <w:rFonts w:ascii="Calibri" w:hAnsi="Calibri" w:cs="Calibri"/>
        </w:rPr>
        <w:fldChar w:fldCharType="end"/>
      </w:r>
      <w:bookmarkEnd w:id="0"/>
      <w:r w:rsidRPr="007524A9">
        <w:rPr>
          <w:rFonts w:ascii="Calibri" w:hAnsi="Calibri" w:cs="Calibri"/>
        </w:rPr>
        <w:t xml:space="preserve"> e, in caso di insuperabile conflitto, hanno il dovere di sollevare la relativa questione di costituzionalità in riferimento all’art. 117 della Carta Costituzionale.</w:t>
      </w:r>
    </w:p>
    <w:p w14:paraId="26E2D1F0" w14:textId="77777777" w:rsidR="00C347C3" w:rsidRPr="007524A9" w:rsidRDefault="00C347C3" w:rsidP="00C347C3">
      <w:pPr>
        <w:pStyle w:val="wkit-indentation-level-0"/>
        <w:spacing w:before="0" w:beforeAutospacing="0" w:after="0" w:afterAutospacing="0" w:line="360" w:lineRule="auto"/>
        <w:jc w:val="both"/>
        <w:rPr>
          <w:rFonts w:ascii="Calibri" w:hAnsi="Calibri" w:cs="Calibri"/>
        </w:rPr>
      </w:pPr>
      <w:r w:rsidRPr="007524A9">
        <w:rPr>
          <w:rFonts w:ascii="Calibri" w:hAnsi="Calibri" w:cs="Calibri"/>
        </w:rPr>
        <w:t xml:space="preserve">Come accennato si deve considerare che l’art. 6 par. 2 della CEDU - a cui corrisponde l’art. 48 della Carta dei Diritti Fondamentali dell’UE - </w:t>
      </w:r>
      <w:r w:rsidRPr="007524A9">
        <w:rPr>
          <w:rFonts w:ascii="Calibri" w:hAnsi="Calibri" w:cs="Calibri"/>
          <w:b/>
          <w:bCs/>
        </w:rPr>
        <w:t>riconosce il principio della presunzione di innocenza, stabilendo che “</w:t>
      </w:r>
      <w:r w:rsidRPr="007524A9">
        <w:rPr>
          <w:rFonts w:ascii="Calibri" w:hAnsi="Calibri" w:cs="Calibri"/>
          <w:b/>
          <w:bCs/>
          <w:i/>
          <w:iCs/>
        </w:rPr>
        <w:t>Ogni persona accusata di un reato è presunta innocente fino a quando la sua colpevolezza non sia stata legalmente accertata</w:t>
      </w:r>
      <w:r w:rsidRPr="007524A9">
        <w:rPr>
          <w:rFonts w:ascii="Calibri" w:hAnsi="Calibri" w:cs="Calibri"/>
          <w:b/>
          <w:bCs/>
        </w:rPr>
        <w:t>”</w:t>
      </w:r>
      <w:r w:rsidRPr="007524A9">
        <w:rPr>
          <w:rFonts w:ascii="Calibri" w:hAnsi="Calibri" w:cs="Calibri"/>
        </w:rPr>
        <w:t>.</w:t>
      </w:r>
    </w:p>
    <w:p w14:paraId="669CA6DF" w14:textId="77777777" w:rsidR="00C347C3" w:rsidRPr="007524A9" w:rsidRDefault="00C347C3" w:rsidP="00C347C3">
      <w:pPr>
        <w:pStyle w:val="wkit-indentation-level-0"/>
        <w:spacing w:before="0" w:beforeAutospacing="0" w:after="0" w:afterAutospacing="0" w:line="360" w:lineRule="auto"/>
        <w:jc w:val="both"/>
        <w:rPr>
          <w:rFonts w:ascii="Calibri" w:hAnsi="Calibri" w:cs="Calibri"/>
        </w:rPr>
      </w:pPr>
      <w:r w:rsidRPr="007524A9">
        <w:rPr>
          <w:rFonts w:ascii="Calibri" w:hAnsi="Calibri" w:cs="Calibri"/>
        </w:rPr>
        <w:t xml:space="preserve">Tale principio, ampiamente affermato in Italia come una garanzia nel processo penale, ha, secondo la consolidata giurisprudenza della Corte Europea, anche un’ulteriore dimensione “extraprocessuale”, ossia, successiva ed estranea al procedimento penale, finalizzata a tutelare l’effettività della garanzia processuale nonché la reputazione e la vita privata della persona. </w:t>
      </w:r>
    </w:p>
    <w:p w14:paraId="22BAAC2E" w14:textId="77777777" w:rsidR="00C347C3" w:rsidRPr="007524A9" w:rsidRDefault="00C347C3" w:rsidP="00C347C3">
      <w:pPr>
        <w:pStyle w:val="wkit-indentation-level-0"/>
        <w:spacing w:before="0" w:beforeAutospacing="0" w:after="0" w:afterAutospacing="0" w:line="360" w:lineRule="auto"/>
        <w:jc w:val="both"/>
        <w:rPr>
          <w:rFonts w:ascii="Calibri" w:hAnsi="Calibri" w:cs="Calibri"/>
        </w:rPr>
      </w:pPr>
      <w:r w:rsidRPr="007524A9">
        <w:rPr>
          <w:rFonts w:ascii="Calibri" w:hAnsi="Calibri" w:cs="Calibri"/>
        </w:rPr>
        <w:t xml:space="preserve">In tale prospettiva, la Corte Europea richiede espressamente che nessuna autorità pubblica affermi che una persona è responsabile di un reato prima che la sua colpevolezza sia stabilita da un giudice. </w:t>
      </w:r>
    </w:p>
    <w:p w14:paraId="6E6C1B27" w14:textId="77777777" w:rsidR="00C347C3" w:rsidRPr="007524A9" w:rsidRDefault="00C347C3" w:rsidP="00C347C3">
      <w:pPr>
        <w:pStyle w:val="wkit-indentation-level-0"/>
        <w:spacing w:before="0" w:beforeAutospacing="0" w:after="0" w:afterAutospacing="0" w:line="360" w:lineRule="auto"/>
        <w:jc w:val="both"/>
        <w:rPr>
          <w:rFonts w:ascii="Calibri" w:hAnsi="Calibri" w:cs="Calibri"/>
          <w:b/>
          <w:bCs/>
        </w:rPr>
      </w:pPr>
      <w:r w:rsidRPr="007524A9">
        <w:rPr>
          <w:rFonts w:ascii="Calibri" w:hAnsi="Calibri" w:cs="Calibri"/>
          <w:b/>
          <w:bCs/>
        </w:rPr>
        <w:lastRenderedPageBreak/>
        <w:t xml:space="preserve">Da ciò il corollario che neppure i giudici di procedimenti tributari possono rimettere in discussione l’insussistenza della responsabilità penale, ritenendo concretizzatosi quel reato che invece non è stato accertato in sede penale. </w:t>
      </w:r>
    </w:p>
    <w:p w14:paraId="445A9B15" w14:textId="77777777" w:rsidR="00C347C3" w:rsidRPr="007524A9" w:rsidRDefault="00C347C3" w:rsidP="00ED7AE1">
      <w:pPr>
        <w:pStyle w:val="p1"/>
        <w:numPr>
          <w:ilvl w:val="1"/>
          <w:numId w:val="3"/>
        </w:numPr>
        <w:tabs>
          <w:tab w:val="left" w:pos="426"/>
        </w:tabs>
        <w:spacing w:before="0" w:beforeAutospacing="0" w:after="0" w:afterAutospacing="0" w:line="360" w:lineRule="auto"/>
        <w:ind w:left="0" w:right="-2" w:firstLine="0"/>
        <w:jc w:val="both"/>
        <w:rPr>
          <w:rFonts w:ascii="Calibri" w:hAnsi="Calibri" w:cs="Calibri"/>
        </w:rPr>
      </w:pPr>
      <w:r w:rsidRPr="007524A9">
        <w:rPr>
          <w:rFonts w:ascii="Calibri" w:hAnsi="Calibri" w:cs="Calibri"/>
        </w:rPr>
        <w:t xml:space="preserve">Nel caso in esame l’archiviazione ai sensi dell’art. 408 Cod. proc. </w:t>
      </w:r>
      <w:proofErr w:type="spellStart"/>
      <w:r w:rsidRPr="007524A9">
        <w:rPr>
          <w:rFonts w:ascii="Calibri" w:hAnsi="Calibri" w:cs="Calibri"/>
        </w:rPr>
        <w:t>pen</w:t>
      </w:r>
      <w:proofErr w:type="spellEnd"/>
      <w:r w:rsidRPr="007524A9">
        <w:rPr>
          <w:rFonts w:ascii="Calibri" w:hAnsi="Calibri" w:cs="Calibri"/>
        </w:rPr>
        <w:t xml:space="preserve">. per ragioni di fatto è decisa dal giudice quando gli elementi acquisiti nel corso delle indagini preliminari non consentono di formulare una ragionevole previsione di condanna. </w:t>
      </w:r>
    </w:p>
    <w:p w14:paraId="62FC4E77" w14:textId="77777777" w:rsidR="00C347C3" w:rsidRPr="007524A9" w:rsidRDefault="00C347C3" w:rsidP="00C347C3">
      <w:pPr>
        <w:spacing w:line="360" w:lineRule="auto"/>
        <w:jc w:val="both"/>
        <w:rPr>
          <w:rFonts w:ascii="Calibri" w:hAnsi="Calibri" w:cs="Calibri"/>
        </w:rPr>
      </w:pPr>
      <w:r w:rsidRPr="007524A9">
        <w:rPr>
          <w:rFonts w:ascii="Calibri" w:hAnsi="Calibri" w:cs="Calibri"/>
        </w:rPr>
        <w:t>A tal fine, rilevano il grado di completezza delle indagini e la valutazione fondata sulle norme generali sulle prove: dunque, anche nel procedimento d’archiviazione è necessario applicare la regola del giudizio penale “</w:t>
      </w:r>
      <w:r w:rsidRPr="007524A9">
        <w:rPr>
          <w:rFonts w:ascii="Calibri" w:hAnsi="Calibri" w:cs="Calibri"/>
          <w:i/>
          <w:iCs/>
        </w:rPr>
        <w:t>al di là di ogni ragionevole dubbio</w:t>
      </w:r>
      <w:r w:rsidRPr="007524A9">
        <w:rPr>
          <w:rFonts w:ascii="Calibri" w:hAnsi="Calibri" w:cs="Calibri"/>
        </w:rPr>
        <w:t>”.</w:t>
      </w:r>
    </w:p>
    <w:p w14:paraId="4C863650" w14:textId="5B2042A4" w:rsidR="00C347C3" w:rsidRPr="007524A9" w:rsidRDefault="00C347C3" w:rsidP="00ED7AE1">
      <w:pPr>
        <w:spacing w:line="360" w:lineRule="auto"/>
        <w:jc w:val="both"/>
        <w:rPr>
          <w:rFonts w:ascii="Calibri" w:hAnsi="Calibri" w:cs="Calibri"/>
        </w:rPr>
      </w:pPr>
      <w:r w:rsidRPr="007524A9">
        <w:rPr>
          <w:rFonts w:ascii="Calibri" w:hAnsi="Calibri" w:cs="Calibri"/>
        </w:rPr>
        <w:t>Pertanto l’archiviazione disposta per ragioni di fatto non può essere espunta dal novero delle fattispecie che impongono l’applicazione del diritto alla presunzione d’innocenza nei procedimenti tributari che sono fondati sull’</w:t>
      </w:r>
      <w:r w:rsidRPr="007524A9">
        <w:rPr>
          <w:rFonts w:ascii="Calibri" w:hAnsi="Calibri" w:cs="Calibri"/>
          <w:i/>
          <w:iCs/>
        </w:rPr>
        <w:t>idem factum</w:t>
      </w:r>
      <w:r w:rsidRPr="007524A9">
        <w:rPr>
          <w:rFonts w:ascii="Calibri" w:hAnsi="Calibri" w:cs="Calibri"/>
        </w:rPr>
        <w:t xml:space="preserve"> materiale, con la conseguente illegittimità di una pronuncia di segno avverso al contribuente.</w:t>
      </w:r>
    </w:p>
    <w:p w14:paraId="76ACE789" w14:textId="10DFA617" w:rsidR="000B0B3D" w:rsidRPr="007524A9" w:rsidRDefault="000B0B3D" w:rsidP="00ED7AE1">
      <w:pPr>
        <w:pStyle w:val="p1"/>
        <w:numPr>
          <w:ilvl w:val="0"/>
          <w:numId w:val="3"/>
        </w:numPr>
        <w:tabs>
          <w:tab w:val="left" w:pos="426"/>
        </w:tabs>
        <w:spacing w:before="240" w:beforeAutospacing="0" w:after="0" w:afterAutospacing="0" w:line="360" w:lineRule="auto"/>
        <w:ind w:right="-2"/>
        <w:jc w:val="both"/>
        <w:rPr>
          <w:rFonts w:asciiTheme="minorHAnsi" w:hAnsiTheme="minorHAnsi" w:cstheme="minorHAnsi"/>
          <w:b/>
          <w:bCs/>
        </w:rPr>
      </w:pPr>
      <w:r w:rsidRPr="007524A9">
        <w:rPr>
          <w:rFonts w:asciiTheme="minorHAnsi" w:hAnsiTheme="minorHAnsi" w:cstheme="minorHAnsi"/>
          <w:b/>
          <w:bCs/>
        </w:rPr>
        <w:t>IL RICORSO DI CONTROPARTE</w:t>
      </w:r>
      <w:r w:rsidR="00046C32" w:rsidRPr="007524A9">
        <w:rPr>
          <w:rFonts w:asciiTheme="minorHAnsi" w:hAnsiTheme="minorHAnsi" w:cstheme="minorHAnsi"/>
          <w:b/>
          <w:bCs/>
        </w:rPr>
        <w:t xml:space="preserve"> </w:t>
      </w:r>
    </w:p>
    <w:p w14:paraId="623B62C9" w14:textId="212B2394" w:rsidR="00ED65F1" w:rsidRPr="007524A9" w:rsidRDefault="000B0B3D" w:rsidP="000B0B3D">
      <w:pPr>
        <w:pStyle w:val="p1"/>
        <w:numPr>
          <w:ilvl w:val="1"/>
          <w:numId w:val="3"/>
        </w:numPr>
        <w:tabs>
          <w:tab w:val="left" w:pos="426"/>
        </w:tabs>
        <w:spacing w:before="0" w:beforeAutospacing="0" w:after="0" w:afterAutospacing="0" w:line="360" w:lineRule="auto"/>
        <w:ind w:left="0" w:right="-2" w:firstLine="0"/>
        <w:jc w:val="both"/>
        <w:rPr>
          <w:rFonts w:asciiTheme="minorHAnsi" w:hAnsiTheme="minorHAnsi" w:cstheme="minorHAnsi"/>
        </w:rPr>
      </w:pPr>
      <w:r w:rsidRPr="007524A9">
        <w:rPr>
          <w:rFonts w:asciiTheme="minorHAnsi" w:hAnsiTheme="minorHAnsi" w:cstheme="minorHAnsi"/>
        </w:rPr>
        <w:t xml:space="preserve">Con </w:t>
      </w:r>
      <w:r w:rsidR="00F76A5A" w:rsidRPr="007524A9">
        <w:rPr>
          <w:rFonts w:asciiTheme="minorHAnsi" w:hAnsiTheme="minorHAnsi" w:cstheme="minorHAnsi"/>
        </w:rPr>
        <w:t>atto</w:t>
      </w:r>
      <w:r w:rsidRPr="007524A9">
        <w:rPr>
          <w:rFonts w:asciiTheme="minorHAnsi" w:hAnsiTheme="minorHAnsi" w:cstheme="minorHAnsi"/>
        </w:rPr>
        <w:t xml:space="preserve"> notificato in data 10.</w:t>
      </w:r>
      <w:r w:rsidR="00F76A5A" w:rsidRPr="007524A9">
        <w:rPr>
          <w:rFonts w:asciiTheme="minorHAnsi" w:hAnsiTheme="minorHAnsi" w:cstheme="minorHAnsi"/>
        </w:rPr>
        <w:t>11</w:t>
      </w:r>
      <w:r w:rsidRPr="007524A9">
        <w:rPr>
          <w:rFonts w:asciiTheme="minorHAnsi" w:hAnsiTheme="minorHAnsi" w:cstheme="minorHAnsi"/>
        </w:rPr>
        <w:t xml:space="preserve">.2025 </w:t>
      </w:r>
      <w:r w:rsidR="00F76A5A" w:rsidRPr="007524A9">
        <w:rPr>
          <w:rFonts w:asciiTheme="minorHAnsi" w:hAnsiTheme="minorHAnsi" w:cstheme="minorHAnsi"/>
        </w:rPr>
        <w:t>l’Avvocatura Generale dello Stato</w:t>
      </w:r>
      <w:r w:rsidRPr="007524A9">
        <w:rPr>
          <w:rFonts w:asciiTheme="minorHAnsi" w:hAnsiTheme="minorHAnsi" w:cstheme="minorHAnsi"/>
        </w:rPr>
        <w:t xml:space="preserve"> </w:t>
      </w:r>
      <w:r w:rsidR="00EC562F" w:rsidRPr="007524A9">
        <w:rPr>
          <w:rFonts w:asciiTheme="minorHAnsi" w:hAnsiTheme="minorHAnsi" w:cstheme="minorHAnsi"/>
        </w:rPr>
        <w:t xml:space="preserve">nell’interesse dell’Agenzia delle Entrate </w:t>
      </w:r>
      <w:r w:rsidRPr="007524A9">
        <w:rPr>
          <w:rFonts w:asciiTheme="minorHAnsi" w:hAnsiTheme="minorHAnsi" w:cstheme="minorHAnsi"/>
        </w:rPr>
        <w:t xml:space="preserve">ha proposto ricorso per </w:t>
      </w:r>
      <w:r w:rsidR="00ED65F1" w:rsidRPr="007524A9">
        <w:rPr>
          <w:rFonts w:asciiTheme="minorHAnsi" w:hAnsiTheme="minorHAnsi" w:cstheme="minorHAnsi"/>
        </w:rPr>
        <w:t>avanti codesta Suprema Corte</w:t>
      </w:r>
      <w:r w:rsidRPr="007524A9">
        <w:rPr>
          <w:rFonts w:asciiTheme="minorHAnsi" w:hAnsiTheme="minorHAnsi" w:cstheme="minorHAnsi"/>
        </w:rPr>
        <w:t xml:space="preserve">, contestando la sentenza d’appello con una </w:t>
      </w:r>
      <w:r w:rsidR="00F76A5A" w:rsidRPr="007524A9">
        <w:rPr>
          <w:rFonts w:asciiTheme="minorHAnsi" w:hAnsiTheme="minorHAnsi" w:cstheme="minorHAnsi"/>
        </w:rPr>
        <w:t xml:space="preserve">sommaria </w:t>
      </w:r>
      <w:r w:rsidR="00ED65F1" w:rsidRPr="007524A9">
        <w:rPr>
          <w:rFonts w:asciiTheme="minorHAnsi" w:hAnsiTheme="minorHAnsi" w:cstheme="minorHAnsi"/>
        </w:rPr>
        <w:t>esposizione</w:t>
      </w:r>
      <w:r w:rsidR="00F76A5A" w:rsidRPr="007524A9">
        <w:rPr>
          <w:rFonts w:asciiTheme="minorHAnsi" w:hAnsiTheme="minorHAnsi" w:cstheme="minorHAnsi"/>
        </w:rPr>
        <w:t>, per lo più indirizzata a questioni di merito piuttosto che di legittimità</w:t>
      </w:r>
      <w:r w:rsidR="00ED65F1" w:rsidRPr="007524A9">
        <w:rPr>
          <w:rFonts w:asciiTheme="minorHAnsi" w:hAnsiTheme="minorHAnsi" w:cstheme="minorHAnsi"/>
        </w:rPr>
        <w:t>.</w:t>
      </w:r>
    </w:p>
    <w:p w14:paraId="1A9F2E14" w14:textId="77777777" w:rsidR="00E71EE8" w:rsidRPr="007524A9" w:rsidRDefault="00ED65F1" w:rsidP="00BE6F99">
      <w:pPr>
        <w:pStyle w:val="p1"/>
        <w:numPr>
          <w:ilvl w:val="1"/>
          <w:numId w:val="3"/>
        </w:numPr>
        <w:tabs>
          <w:tab w:val="left" w:pos="426"/>
        </w:tabs>
        <w:spacing w:before="0" w:beforeAutospacing="0" w:after="0" w:afterAutospacing="0" w:line="360" w:lineRule="auto"/>
        <w:ind w:left="0" w:right="-2" w:firstLine="0"/>
        <w:jc w:val="both"/>
        <w:rPr>
          <w:rFonts w:asciiTheme="minorHAnsi" w:hAnsiTheme="minorHAnsi" w:cstheme="minorHAnsi"/>
        </w:rPr>
      </w:pPr>
      <w:r w:rsidRPr="007524A9">
        <w:rPr>
          <w:rFonts w:asciiTheme="minorHAnsi" w:hAnsiTheme="minorHAnsi" w:cstheme="minorHAnsi"/>
        </w:rPr>
        <w:t xml:space="preserve"> Risulta, infatti, che </w:t>
      </w:r>
      <w:r w:rsidR="00F76A5A" w:rsidRPr="007524A9">
        <w:rPr>
          <w:rFonts w:asciiTheme="minorHAnsi" w:hAnsiTheme="minorHAnsi" w:cstheme="minorHAnsi"/>
        </w:rPr>
        <w:t xml:space="preserve">l’atto è per gran parte </w:t>
      </w:r>
      <w:r w:rsidR="000D5C09" w:rsidRPr="007524A9">
        <w:rPr>
          <w:rFonts w:asciiTheme="minorHAnsi" w:hAnsiTheme="minorHAnsi" w:cstheme="minorHAnsi"/>
        </w:rPr>
        <w:t>rivolto a riproporre il contenuto dell’atto di appello, evocando le questioni di merito in esso rappresentate [</w:t>
      </w:r>
      <w:proofErr w:type="spellStart"/>
      <w:r w:rsidR="000D5C09" w:rsidRPr="007524A9">
        <w:rPr>
          <w:rFonts w:asciiTheme="minorHAnsi" w:hAnsiTheme="minorHAnsi" w:cstheme="minorHAnsi"/>
        </w:rPr>
        <w:t>cfr</w:t>
      </w:r>
      <w:proofErr w:type="spellEnd"/>
      <w:r w:rsidR="000D5C09" w:rsidRPr="007524A9">
        <w:rPr>
          <w:rFonts w:asciiTheme="minorHAnsi" w:hAnsiTheme="minorHAnsi" w:cstheme="minorHAnsi"/>
        </w:rPr>
        <w:t xml:space="preserve"> Doc. 1 da pag. 5 a pag. 7], e aggiungendo poi una defatigante riproposizione d</w:t>
      </w:r>
      <w:r w:rsidR="00B73894" w:rsidRPr="007524A9">
        <w:rPr>
          <w:rFonts w:asciiTheme="minorHAnsi" w:hAnsiTheme="minorHAnsi" w:cstheme="minorHAnsi"/>
        </w:rPr>
        <w:t>i frettolose</w:t>
      </w:r>
      <w:r w:rsidR="000D5C09" w:rsidRPr="007524A9">
        <w:rPr>
          <w:rFonts w:asciiTheme="minorHAnsi" w:hAnsiTheme="minorHAnsi" w:cstheme="minorHAnsi"/>
        </w:rPr>
        <w:t xml:space="preserve"> ricostruzioni contabili, soffermandosi su presunte differenze tra giacenze fisiche e contabili di zinco in pani, </w:t>
      </w:r>
      <w:r w:rsidR="00B73894" w:rsidRPr="007524A9">
        <w:rPr>
          <w:rFonts w:asciiTheme="minorHAnsi" w:hAnsiTheme="minorHAnsi" w:cstheme="minorHAnsi"/>
        </w:rPr>
        <w:t xml:space="preserve">supposti </w:t>
      </w:r>
      <w:r w:rsidR="000D5C09" w:rsidRPr="007524A9">
        <w:rPr>
          <w:rFonts w:asciiTheme="minorHAnsi" w:hAnsiTheme="minorHAnsi" w:cstheme="minorHAnsi"/>
        </w:rPr>
        <w:t xml:space="preserve">errori nelle registrazioni dei movimenti di magazzino </w:t>
      </w:r>
      <w:r w:rsidR="009F5EB3" w:rsidRPr="007524A9">
        <w:rPr>
          <w:rFonts w:asciiTheme="minorHAnsi" w:hAnsiTheme="minorHAnsi" w:cstheme="minorHAnsi"/>
        </w:rPr>
        <w:t xml:space="preserve">sia </w:t>
      </w:r>
      <w:r w:rsidR="000D5C09" w:rsidRPr="007524A9">
        <w:rPr>
          <w:rFonts w:asciiTheme="minorHAnsi" w:hAnsiTheme="minorHAnsi" w:cstheme="minorHAnsi"/>
        </w:rPr>
        <w:t>dei rottami (utilizzati nelle fusioni</w:t>
      </w:r>
      <w:r w:rsidR="009F5EB3" w:rsidRPr="007524A9">
        <w:rPr>
          <w:rFonts w:asciiTheme="minorHAnsi" w:hAnsiTheme="minorHAnsi" w:cstheme="minorHAnsi"/>
        </w:rPr>
        <w:t xml:space="preserve"> RZV e FERR)</w:t>
      </w:r>
      <w:r w:rsidR="000D5C09" w:rsidRPr="007524A9">
        <w:rPr>
          <w:rFonts w:asciiTheme="minorHAnsi" w:hAnsiTheme="minorHAnsi" w:cstheme="minorHAnsi"/>
        </w:rPr>
        <w:t xml:space="preserve">, </w:t>
      </w:r>
      <w:r w:rsidR="009F5EB3" w:rsidRPr="007524A9">
        <w:rPr>
          <w:rFonts w:asciiTheme="minorHAnsi" w:hAnsiTheme="minorHAnsi" w:cstheme="minorHAnsi"/>
        </w:rPr>
        <w:t>che dello zinco (SHG), ancora su ipotizzati errori nella qualificazione/quantificazione delle rimanenze e anche nelle giacenze iniziali e finali degli imballi,</w:t>
      </w:r>
      <w:r w:rsidR="00B73894" w:rsidRPr="007524A9">
        <w:rPr>
          <w:rFonts w:asciiTheme="minorHAnsi" w:hAnsiTheme="minorHAnsi" w:cstheme="minorHAnsi"/>
        </w:rPr>
        <w:t xml:space="preserve"> d</w:t>
      </w:r>
      <w:r w:rsidR="009F5EB3" w:rsidRPr="007524A9">
        <w:rPr>
          <w:rFonts w:asciiTheme="minorHAnsi" w:hAnsiTheme="minorHAnsi" w:cstheme="minorHAnsi"/>
        </w:rPr>
        <w:t>ello zinco in pani</w:t>
      </w:r>
      <w:r w:rsidR="00B73894" w:rsidRPr="007524A9">
        <w:rPr>
          <w:rFonts w:asciiTheme="minorHAnsi" w:hAnsiTheme="minorHAnsi" w:cstheme="minorHAnsi"/>
        </w:rPr>
        <w:t>, oltre credute incongruenze in tema di schede di produzione e cespiti,</w:t>
      </w:r>
      <w:r w:rsidR="00157386" w:rsidRPr="007524A9">
        <w:rPr>
          <w:rFonts w:asciiTheme="minorHAnsi" w:hAnsiTheme="minorHAnsi" w:cstheme="minorHAnsi"/>
        </w:rPr>
        <w:t xml:space="preserve"> il tutto per un valore complessivo </w:t>
      </w:r>
      <w:r w:rsidR="005D0B5B" w:rsidRPr="007524A9">
        <w:rPr>
          <w:rFonts w:asciiTheme="minorHAnsi" w:hAnsiTheme="minorHAnsi" w:cstheme="minorHAnsi"/>
        </w:rPr>
        <w:t xml:space="preserve">a favore dell’erario </w:t>
      </w:r>
      <w:r w:rsidR="00157386" w:rsidRPr="007524A9">
        <w:rPr>
          <w:rFonts w:asciiTheme="minorHAnsi" w:hAnsiTheme="minorHAnsi" w:cstheme="minorHAnsi"/>
        </w:rPr>
        <w:t xml:space="preserve">di euro 8.499,85 </w:t>
      </w:r>
    </w:p>
    <w:p w14:paraId="2F4F8919" w14:textId="77777777" w:rsidR="00BE6F99" w:rsidRPr="007524A9" w:rsidRDefault="00E71EE8" w:rsidP="00BE6F99">
      <w:pPr>
        <w:spacing w:line="360" w:lineRule="auto"/>
        <w:ind w:right="-79"/>
        <w:jc w:val="both"/>
        <w:rPr>
          <w:rFonts w:ascii="Calibri" w:hAnsi="Calibri"/>
          <w:color w:val="000000" w:themeColor="text1"/>
          <w:sz w:val="22"/>
          <w:szCs w:val="22"/>
        </w:rPr>
      </w:pPr>
      <w:r w:rsidRPr="007524A9">
        <w:rPr>
          <w:rFonts w:ascii="Calibri" w:hAnsi="Calibri"/>
          <w:color w:val="000000" w:themeColor="text1"/>
        </w:rPr>
        <w:t>Come rilevato dalle Corti di merito tali differenze afferiscono a soli n. 24 rilievi alla contabilità di magazzino, costituita da oltre 16.500 annotazioni, di cui</w:t>
      </w:r>
      <w:r w:rsidRPr="007524A9">
        <w:rPr>
          <w:rFonts w:ascii="Calibri" w:hAnsi="Calibri"/>
          <w:color w:val="000000" w:themeColor="text1"/>
          <w:sz w:val="22"/>
          <w:szCs w:val="22"/>
        </w:rPr>
        <w:t xml:space="preserve"> ben n. 8 di nessun valore pratico e/o effetto economico, n. 11 di modestissima entità, sia in termini di valore per un totale complessivo appunto pari a euro 8.499,85 a favore dell’Erario, mentre i restanti sono per </w:t>
      </w:r>
      <w:r w:rsidR="00BE6F99" w:rsidRPr="007524A9">
        <w:rPr>
          <w:rFonts w:ascii="Calibri" w:hAnsi="Calibri"/>
          <w:color w:val="000000" w:themeColor="text1"/>
          <w:sz w:val="22"/>
          <w:szCs w:val="22"/>
        </w:rPr>
        <w:t xml:space="preserve">maggiori indebite imposte </w:t>
      </w:r>
      <w:r w:rsidR="00BE6F99" w:rsidRPr="007524A9">
        <w:rPr>
          <w:rFonts w:ascii="Calibri" w:hAnsi="Calibri"/>
          <w:color w:val="000000" w:themeColor="text1"/>
          <w:sz w:val="22"/>
          <w:szCs w:val="22"/>
        </w:rPr>
        <w:lastRenderedPageBreak/>
        <w:t>versate</w:t>
      </w:r>
      <w:r w:rsidRPr="007524A9">
        <w:rPr>
          <w:rFonts w:ascii="Calibri" w:hAnsi="Calibri"/>
          <w:color w:val="000000" w:themeColor="text1"/>
          <w:sz w:val="22"/>
          <w:szCs w:val="22"/>
        </w:rPr>
        <w:t xml:space="preserve"> dell’Erario, </w:t>
      </w:r>
      <w:r w:rsidR="00BE6F99" w:rsidRPr="007524A9">
        <w:rPr>
          <w:rFonts w:ascii="Calibri" w:hAnsi="Calibri"/>
          <w:color w:val="000000" w:themeColor="text1"/>
          <w:sz w:val="22"/>
          <w:szCs w:val="22"/>
        </w:rPr>
        <w:t>per cui non si giustifica come in tale evidenza si</w:t>
      </w:r>
      <w:r w:rsidRPr="007524A9">
        <w:rPr>
          <w:rFonts w:ascii="Calibri" w:hAnsi="Calibri"/>
          <w:color w:val="000000" w:themeColor="text1"/>
          <w:sz w:val="22"/>
          <w:szCs w:val="22"/>
        </w:rPr>
        <w:t xml:space="preserve"> possa dar vita a una ricostruzione induttiva delle rimanenze di magazzino da parte </w:t>
      </w:r>
      <w:r w:rsidR="00BE6F99" w:rsidRPr="007524A9">
        <w:rPr>
          <w:rFonts w:ascii="Calibri" w:hAnsi="Calibri"/>
          <w:color w:val="000000" w:themeColor="text1"/>
          <w:sz w:val="22"/>
          <w:szCs w:val="22"/>
        </w:rPr>
        <w:t>dell’Agenzia delle Entrate.</w:t>
      </w:r>
    </w:p>
    <w:p w14:paraId="65E2D594" w14:textId="16651250" w:rsidR="00157386" w:rsidRPr="007524A9" w:rsidRDefault="00BE6F99" w:rsidP="00BE6F99">
      <w:pPr>
        <w:spacing w:line="360" w:lineRule="auto"/>
        <w:ind w:right="-79"/>
        <w:jc w:val="both"/>
        <w:rPr>
          <w:rFonts w:ascii="Calibri" w:hAnsi="Calibri"/>
          <w:color w:val="000000" w:themeColor="text1"/>
          <w:sz w:val="22"/>
          <w:szCs w:val="22"/>
        </w:rPr>
      </w:pPr>
      <w:r w:rsidRPr="007524A9">
        <w:rPr>
          <w:rFonts w:ascii="Calibri" w:hAnsi="Calibri"/>
          <w:color w:val="000000" w:themeColor="text1"/>
          <w:sz w:val="22"/>
          <w:szCs w:val="22"/>
        </w:rPr>
        <w:t xml:space="preserve">Alla luce di quanto sopra riepilogato </w:t>
      </w:r>
      <w:r w:rsidRPr="007524A9">
        <w:rPr>
          <w:rFonts w:asciiTheme="minorHAnsi" w:hAnsiTheme="minorHAnsi" w:cstheme="minorHAnsi"/>
        </w:rPr>
        <w:t xml:space="preserve">si reputa che la pretesa dell’Ufficio sia </w:t>
      </w:r>
      <w:r w:rsidR="00157386" w:rsidRPr="007524A9">
        <w:rPr>
          <w:rFonts w:asciiTheme="minorHAnsi" w:hAnsiTheme="minorHAnsi" w:cstheme="minorHAnsi"/>
        </w:rPr>
        <w:t>insignificante se rapportato alle dimensioni della società contribuente, che per l’anno 2015 aveva:</w:t>
      </w:r>
    </w:p>
    <w:p w14:paraId="249E078E" w14:textId="77777777" w:rsidR="00157386" w:rsidRPr="007524A9" w:rsidRDefault="00157386" w:rsidP="00157386">
      <w:pPr>
        <w:pStyle w:val="Paragrafoelenco"/>
        <w:numPr>
          <w:ilvl w:val="0"/>
          <w:numId w:val="8"/>
        </w:numPr>
        <w:spacing w:line="360" w:lineRule="auto"/>
        <w:ind w:left="426" w:right="-82" w:hanging="426"/>
        <w:jc w:val="both"/>
        <w:rPr>
          <w:rFonts w:ascii="Calibri" w:hAnsi="Calibri"/>
        </w:rPr>
      </w:pPr>
      <w:r w:rsidRPr="007524A9">
        <w:rPr>
          <w:rFonts w:ascii="Calibri" w:hAnsi="Calibri"/>
        </w:rPr>
        <w:t xml:space="preserve">capitale sociale di euro 300.000,00 </w:t>
      </w:r>
    </w:p>
    <w:p w14:paraId="5D94AB60" w14:textId="77777777" w:rsidR="00157386" w:rsidRPr="007524A9" w:rsidRDefault="00157386" w:rsidP="00157386">
      <w:pPr>
        <w:pStyle w:val="Paragrafoelenco"/>
        <w:numPr>
          <w:ilvl w:val="0"/>
          <w:numId w:val="8"/>
        </w:numPr>
        <w:spacing w:line="360" w:lineRule="auto"/>
        <w:ind w:left="426" w:right="-82" w:hanging="426"/>
        <w:jc w:val="both"/>
        <w:rPr>
          <w:rFonts w:ascii="Calibri" w:hAnsi="Calibri"/>
        </w:rPr>
      </w:pPr>
      <w:r w:rsidRPr="007524A9">
        <w:rPr>
          <w:rFonts w:ascii="Calibri" w:hAnsi="Calibri"/>
        </w:rPr>
        <w:t>riserve per euro 3.249.220,00</w:t>
      </w:r>
    </w:p>
    <w:p w14:paraId="2B7F6515" w14:textId="77777777" w:rsidR="00157386" w:rsidRPr="007524A9" w:rsidRDefault="00157386" w:rsidP="00157386">
      <w:pPr>
        <w:pStyle w:val="Paragrafoelenco"/>
        <w:numPr>
          <w:ilvl w:val="0"/>
          <w:numId w:val="8"/>
        </w:numPr>
        <w:spacing w:line="360" w:lineRule="auto"/>
        <w:ind w:left="426" w:right="-82" w:hanging="426"/>
        <w:jc w:val="both"/>
        <w:rPr>
          <w:rFonts w:ascii="Calibri" w:hAnsi="Calibri"/>
        </w:rPr>
      </w:pPr>
      <w:r w:rsidRPr="007524A9">
        <w:rPr>
          <w:rFonts w:ascii="Calibri" w:hAnsi="Calibri"/>
        </w:rPr>
        <w:t>utile per euro 297.830,00</w:t>
      </w:r>
    </w:p>
    <w:p w14:paraId="51559CFC" w14:textId="77777777" w:rsidR="00157386" w:rsidRPr="007524A9" w:rsidRDefault="00157386" w:rsidP="00157386">
      <w:pPr>
        <w:pStyle w:val="Paragrafoelenco"/>
        <w:numPr>
          <w:ilvl w:val="0"/>
          <w:numId w:val="8"/>
        </w:numPr>
        <w:spacing w:line="360" w:lineRule="auto"/>
        <w:ind w:left="426" w:right="-82" w:hanging="426"/>
        <w:jc w:val="both"/>
        <w:rPr>
          <w:rFonts w:ascii="Calibri" w:hAnsi="Calibri"/>
        </w:rPr>
      </w:pPr>
      <w:r w:rsidRPr="007524A9">
        <w:rPr>
          <w:rFonts w:ascii="Calibri" w:hAnsi="Calibri"/>
        </w:rPr>
        <w:t>patrimonio netto per euro 3.847.050,00</w:t>
      </w:r>
    </w:p>
    <w:p w14:paraId="1097368E" w14:textId="6FDE8DC5" w:rsidR="00157386" w:rsidRPr="007524A9" w:rsidRDefault="00157386" w:rsidP="00D077C3">
      <w:pPr>
        <w:pStyle w:val="Paragrafoelenco"/>
        <w:numPr>
          <w:ilvl w:val="0"/>
          <w:numId w:val="8"/>
        </w:numPr>
        <w:spacing w:line="360" w:lineRule="auto"/>
        <w:ind w:left="426" w:right="-82" w:hanging="426"/>
        <w:jc w:val="both"/>
        <w:rPr>
          <w:rFonts w:ascii="Calibri" w:hAnsi="Calibri"/>
        </w:rPr>
      </w:pPr>
      <w:r w:rsidRPr="007524A9">
        <w:rPr>
          <w:rFonts w:ascii="Calibri" w:hAnsi="Calibri"/>
        </w:rPr>
        <w:t>volume d’affari di euro 92.890.579,00</w:t>
      </w:r>
    </w:p>
    <w:p w14:paraId="750A2EF0" w14:textId="59B0E657" w:rsidR="00157386" w:rsidRPr="007524A9" w:rsidRDefault="009F6B11" w:rsidP="000B0B3D">
      <w:pPr>
        <w:pStyle w:val="p1"/>
        <w:numPr>
          <w:ilvl w:val="1"/>
          <w:numId w:val="3"/>
        </w:numPr>
        <w:tabs>
          <w:tab w:val="left" w:pos="426"/>
        </w:tabs>
        <w:spacing w:before="0" w:beforeAutospacing="0" w:after="0" w:afterAutospacing="0" w:line="360" w:lineRule="auto"/>
        <w:ind w:left="0" w:right="-2" w:firstLine="0"/>
        <w:jc w:val="both"/>
        <w:rPr>
          <w:rFonts w:asciiTheme="minorHAnsi" w:hAnsiTheme="minorHAnsi" w:cstheme="minorHAnsi"/>
        </w:rPr>
      </w:pPr>
      <w:r w:rsidRPr="007524A9">
        <w:rPr>
          <w:rFonts w:asciiTheme="minorHAnsi" w:hAnsiTheme="minorHAnsi" w:cstheme="minorHAnsi"/>
        </w:rPr>
        <w:t xml:space="preserve">Lo stesso atto fonda le proprie argomentazioni su tre motivi di ricorso, che invero appaiono inammissibili, e infondati, poiché articolati </w:t>
      </w:r>
      <w:r w:rsidR="00EC2470" w:rsidRPr="007524A9">
        <w:rPr>
          <w:rFonts w:asciiTheme="minorHAnsi" w:hAnsiTheme="minorHAnsi" w:cstheme="minorHAnsi"/>
        </w:rPr>
        <w:t>in carenza delle ragioni pretese per cui sarebbe stato leso il diritto di difesa o che avrebbe provocato il pregiudizio ,</w:t>
      </w:r>
      <w:r w:rsidRPr="007524A9">
        <w:rPr>
          <w:rFonts w:asciiTheme="minorHAnsi" w:hAnsiTheme="minorHAnsi" w:cstheme="minorHAnsi"/>
        </w:rPr>
        <w:t xml:space="preserve">in violazione del principio di autosufficienza e </w:t>
      </w:r>
      <w:r w:rsidR="00EC2470" w:rsidRPr="007524A9">
        <w:rPr>
          <w:rFonts w:asciiTheme="minorHAnsi" w:hAnsiTheme="minorHAnsi" w:cstheme="minorHAnsi"/>
        </w:rPr>
        <w:t>tesi</w:t>
      </w:r>
      <w:r w:rsidR="00EC2470" w:rsidRPr="007524A9">
        <w:rPr>
          <w:rFonts w:ascii="Calibri" w:hAnsi="Calibri"/>
        </w:rPr>
        <w:t xml:space="preserve"> a recuperare il riesame nel merito dell’accertamento</w:t>
      </w:r>
      <w:r w:rsidR="00EC2470" w:rsidRPr="007524A9">
        <w:rPr>
          <w:rFonts w:asciiTheme="minorHAnsi" w:hAnsiTheme="minorHAnsi" w:cstheme="minorHAnsi"/>
        </w:rPr>
        <w:t xml:space="preserve"> </w:t>
      </w:r>
      <w:r w:rsidRPr="007524A9">
        <w:rPr>
          <w:rFonts w:asciiTheme="minorHAnsi" w:hAnsiTheme="minorHAnsi" w:cstheme="minorHAnsi"/>
        </w:rPr>
        <w:t xml:space="preserve">infondati per le censure non </w:t>
      </w:r>
      <w:r w:rsidR="00EC2470" w:rsidRPr="007524A9">
        <w:rPr>
          <w:rFonts w:asciiTheme="minorHAnsi" w:hAnsiTheme="minorHAnsi" w:cstheme="minorHAnsi"/>
        </w:rPr>
        <w:t>avendo</w:t>
      </w:r>
      <w:r w:rsidRPr="007524A9">
        <w:rPr>
          <w:rFonts w:asciiTheme="minorHAnsi" w:hAnsiTheme="minorHAnsi" w:cstheme="minorHAnsi"/>
        </w:rPr>
        <w:t xml:space="preserve"> conto delle effettive motivazioni alla sentenza impugnata, oltre che esposte nel tentativo di “aggirare” il limite di ricorso nel principio della cd. “doppia conforme”.</w:t>
      </w:r>
    </w:p>
    <w:p w14:paraId="456D84F9" w14:textId="77777777" w:rsidR="00AE7793" w:rsidRPr="007524A9" w:rsidRDefault="00AE7793" w:rsidP="009A659D">
      <w:pPr>
        <w:tabs>
          <w:tab w:val="left" w:pos="900"/>
        </w:tabs>
        <w:spacing w:line="360" w:lineRule="auto"/>
        <w:ind w:right="-2"/>
        <w:jc w:val="center"/>
        <w:rPr>
          <w:rFonts w:asciiTheme="minorHAnsi" w:hAnsiTheme="minorHAnsi" w:cstheme="minorHAnsi"/>
          <w:color w:val="000000"/>
        </w:rPr>
      </w:pPr>
      <w:r w:rsidRPr="007524A9">
        <w:rPr>
          <w:rFonts w:asciiTheme="minorHAnsi" w:hAnsiTheme="minorHAnsi" w:cstheme="minorHAnsi"/>
          <w:color w:val="000000"/>
        </w:rPr>
        <w:t>* * * * * * * * *</w:t>
      </w:r>
    </w:p>
    <w:p w14:paraId="15931E00" w14:textId="2D667DE0" w:rsidR="00AE7793" w:rsidRPr="007524A9" w:rsidRDefault="00AE7793" w:rsidP="00AB04DA">
      <w:pPr>
        <w:spacing w:line="360" w:lineRule="auto"/>
        <w:ind w:right="-2"/>
        <w:jc w:val="both"/>
        <w:rPr>
          <w:rFonts w:asciiTheme="minorHAnsi" w:hAnsiTheme="minorHAnsi" w:cstheme="minorHAnsi"/>
        </w:rPr>
      </w:pPr>
      <w:r w:rsidRPr="007524A9">
        <w:rPr>
          <w:rFonts w:asciiTheme="minorHAnsi" w:hAnsiTheme="minorHAnsi" w:cstheme="minorHAnsi"/>
        </w:rPr>
        <w:t xml:space="preserve">Tutto ciò premesso la </w:t>
      </w:r>
      <w:r w:rsidR="00046C32" w:rsidRPr="007524A9">
        <w:rPr>
          <w:rFonts w:asciiTheme="minorHAnsi" w:hAnsiTheme="minorHAnsi" w:cstheme="minorHAnsi"/>
        </w:rPr>
        <w:t>Metalsider2 S.p.A.</w:t>
      </w:r>
      <w:r w:rsidRPr="007524A9">
        <w:rPr>
          <w:rFonts w:asciiTheme="minorHAnsi" w:hAnsiTheme="minorHAnsi" w:cstheme="minorHAnsi"/>
        </w:rPr>
        <w:t xml:space="preserve"> come in rubrica, rappresentata, difesa e domiciliata con il presente</w:t>
      </w:r>
    </w:p>
    <w:p w14:paraId="47F29BCC" w14:textId="77777777" w:rsidR="00AE7793" w:rsidRPr="007524A9" w:rsidRDefault="00AE7793" w:rsidP="00AB04DA">
      <w:pPr>
        <w:spacing w:before="240" w:line="360" w:lineRule="auto"/>
        <w:ind w:left="-142" w:right="-2"/>
        <w:jc w:val="center"/>
        <w:rPr>
          <w:rFonts w:ascii="Calibri" w:hAnsi="Calibri"/>
          <w:b/>
          <w:bCs/>
        </w:rPr>
      </w:pPr>
      <w:r w:rsidRPr="007524A9">
        <w:rPr>
          <w:rFonts w:ascii="Calibri" w:hAnsi="Calibri"/>
          <w:b/>
          <w:bCs/>
        </w:rPr>
        <w:t>CONTRORICORSO</w:t>
      </w:r>
    </w:p>
    <w:p w14:paraId="414FCAFC" w14:textId="2F93CA5C" w:rsidR="00726DC4" w:rsidRPr="007524A9" w:rsidRDefault="00AE7793" w:rsidP="00AB04DA">
      <w:pPr>
        <w:spacing w:line="360" w:lineRule="auto"/>
        <w:ind w:right="-215"/>
        <w:jc w:val="both"/>
        <w:rPr>
          <w:rFonts w:ascii="Calibri" w:hAnsi="Calibri" w:cs="Calibri"/>
        </w:rPr>
      </w:pPr>
      <w:r w:rsidRPr="007524A9">
        <w:rPr>
          <w:rFonts w:ascii="Calibri" w:hAnsi="Calibri" w:cs="Calibri"/>
        </w:rPr>
        <w:t>chiede la reiezione del ricorso presentato dalla controparte</w:t>
      </w:r>
      <w:r w:rsidR="007C62A8" w:rsidRPr="007524A9">
        <w:rPr>
          <w:rFonts w:ascii="Calibri" w:hAnsi="Calibri" w:cs="Calibri"/>
        </w:rPr>
        <w:t xml:space="preserve"> che</w:t>
      </w:r>
      <w:r w:rsidRPr="007524A9">
        <w:rPr>
          <w:rFonts w:ascii="Calibri" w:hAnsi="Calibri" w:cs="Calibri"/>
        </w:rPr>
        <w:t xml:space="preserve">, </w:t>
      </w:r>
      <w:r w:rsidR="007C62A8" w:rsidRPr="007524A9">
        <w:rPr>
          <w:rFonts w:ascii="Calibri" w:hAnsi="Calibri" w:cs="Calibri"/>
        </w:rPr>
        <w:t xml:space="preserve">seguendo l’esposizione dei Motivi come </w:t>
      </w:r>
      <w:r w:rsidR="00B37463" w:rsidRPr="007524A9">
        <w:rPr>
          <w:rFonts w:ascii="Calibri" w:hAnsi="Calibri" w:cs="Calibri"/>
        </w:rPr>
        <w:t xml:space="preserve">enunciati </w:t>
      </w:r>
      <w:r w:rsidR="007C62A8" w:rsidRPr="007524A9">
        <w:rPr>
          <w:rFonts w:ascii="Calibri" w:hAnsi="Calibri" w:cs="Calibri"/>
        </w:rPr>
        <w:t>ne</w:t>
      </w:r>
      <w:r w:rsidR="00CB6A76" w:rsidRPr="007524A9">
        <w:rPr>
          <w:rFonts w:ascii="Calibri" w:hAnsi="Calibri" w:cs="Calibri"/>
        </w:rPr>
        <w:t>ll’atto avversario</w:t>
      </w:r>
      <w:r w:rsidR="007C62A8" w:rsidRPr="007524A9">
        <w:rPr>
          <w:rFonts w:ascii="Calibri" w:hAnsi="Calibri" w:cs="Calibri"/>
        </w:rPr>
        <w:t xml:space="preserve">, </w:t>
      </w:r>
      <w:r w:rsidR="00CB6A76" w:rsidRPr="007524A9">
        <w:rPr>
          <w:rFonts w:ascii="Calibri" w:hAnsi="Calibri" w:cs="Calibri"/>
        </w:rPr>
        <w:t xml:space="preserve">si ritiene </w:t>
      </w:r>
      <w:r w:rsidRPr="007524A9">
        <w:rPr>
          <w:rFonts w:ascii="Calibri" w:hAnsi="Calibri" w:cs="Calibri"/>
        </w:rPr>
        <w:t>infondato per i seguenti</w:t>
      </w:r>
    </w:p>
    <w:p w14:paraId="2D2AF246" w14:textId="77777777" w:rsidR="00726F17" w:rsidRPr="007524A9" w:rsidRDefault="00726F17" w:rsidP="00AB04DA">
      <w:pPr>
        <w:pStyle w:val="p1"/>
        <w:spacing w:before="240" w:beforeAutospacing="0" w:after="0" w:afterAutospacing="0" w:line="360" w:lineRule="auto"/>
        <w:jc w:val="center"/>
        <w:rPr>
          <w:rFonts w:asciiTheme="minorHAnsi" w:hAnsiTheme="minorHAnsi" w:cstheme="minorHAnsi"/>
          <w:b/>
          <w:bCs/>
        </w:rPr>
      </w:pPr>
      <w:r w:rsidRPr="007524A9">
        <w:rPr>
          <w:rFonts w:asciiTheme="minorHAnsi" w:hAnsiTheme="minorHAnsi" w:cstheme="minorHAnsi"/>
          <w:b/>
          <w:bCs/>
        </w:rPr>
        <w:t>MOTIVI DEL CONTRORICORSO</w:t>
      </w:r>
    </w:p>
    <w:p w14:paraId="154FAAF2" w14:textId="77777777" w:rsidR="00B37463" w:rsidRPr="007524A9" w:rsidRDefault="00AE7793" w:rsidP="00AB04DA">
      <w:pPr>
        <w:numPr>
          <w:ilvl w:val="0"/>
          <w:numId w:val="4"/>
        </w:numPr>
        <w:tabs>
          <w:tab w:val="left" w:pos="426"/>
        </w:tabs>
        <w:spacing w:before="240" w:line="360" w:lineRule="auto"/>
        <w:ind w:left="426" w:right="-215" w:hanging="426"/>
        <w:jc w:val="both"/>
        <w:rPr>
          <w:rFonts w:ascii="Calibri" w:hAnsi="Calibri" w:cs="Calibri"/>
          <w:b/>
        </w:rPr>
      </w:pPr>
      <w:r w:rsidRPr="007524A9">
        <w:rPr>
          <w:rFonts w:ascii="Calibri" w:hAnsi="Calibri" w:cs="Calibri"/>
          <w:b/>
          <w:bCs/>
        </w:rPr>
        <w:t xml:space="preserve">PRIMO MOTIVO </w:t>
      </w:r>
    </w:p>
    <w:p w14:paraId="639D4144" w14:textId="0F265B4F" w:rsidR="00AE7793" w:rsidRPr="007524A9" w:rsidRDefault="00B37463" w:rsidP="00B37463">
      <w:pPr>
        <w:pStyle w:val="Paragrafoelenco"/>
        <w:numPr>
          <w:ilvl w:val="0"/>
          <w:numId w:val="10"/>
        </w:numPr>
        <w:tabs>
          <w:tab w:val="left" w:pos="426"/>
        </w:tabs>
        <w:spacing w:line="360" w:lineRule="auto"/>
        <w:ind w:right="-215"/>
        <w:jc w:val="both"/>
        <w:rPr>
          <w:rFonts w:ascii="Calibri" w:hAnsi="Calibri" w:cs="Calibri"/>
          <w:b/>
        </w:rPr>
      </w:pPr>
      <w:r w:rsidRPr="007524A9">
        <w:rPr>
          <w:rFonts w:ascii="Calibri" w:hAnsi="Calibri" w:cs="Calibri"/>
          <w:b/>
          <w:bCs/>
          <w:i/>
          <w:iCs/>
        </w:rPr>
        <w:t xml:space="preserve">Nullità della sentenza per carenza di motivazione o motivazione apparente in violazione dell’art. 36, comma 2, n. 4 del </w:t>
      </w:r>
      <w:proofErr w:type="spellStart"/>
      <w:r w:rsidRPr="007524A9">
        <w:rPr>
          <w:rFonts w:ascii="Calibri" w:hAnsi="Calibri" w:cs="Calibri"/>
          <w:b/>
          <w:bCs/>
          <w:i/>
          <w:iCs/>
        </w:rPr>
        <w:t>D.Lgs</w:t>
      </w:r>
      <w:proofErr w:type="spellEnd"/>
      <w:r w:rsidRPr="007524A9">
        <w:rPr>
          <w:rFonts w:ascii="Calibri" w:hAnsi="Calibri" w:cs="Calibri"/>
          <w:b/>
          <w:bCs/>
          <w:i/>
          <w:iCs/>
        </w:rPr>
        <w:t xml:space="preserve"> 31.12.1992 in relazione all’art. 360, comma 1, n. 4 c.p.c.</w:t>
      </w:r>
    </w:p>
    <w:p w14:paraId="43665B14" w14:textId="2B72A709" w:rsidR="00B37463" w:rsidRPr="007524A9" w:rsidRDefault="00B37463" w:rsidP="009A659D">
      <w:pPr>
        <w:pStyle w:val="p1"/>
        <w:numPr>
          <w:ilvl w:val="0"/>
          <w:numId w:val="11"/>
        </w:numPr>
        <w:tabs>
          <w:tab w:val="left" w:pos="426"/>
        </w:tabs>
        <w:spacing w:before="0" w:beforeAutospacing="0" w:after="0" w:afterAutospacing="0" w:line="360" w:lineRule="auto"/>
        <w:ind w:left="0" w:firstLine="0"/>
        <w:jc w:val="both"/>
        <w:rPr>
          <w:rFonts w:asciiTheme="minorHAnsi" w:hAnsiTheme="minorHAnsi" w:cstheme="minorHAnsi"/>
        </w:rPr>
      </w:pPr>
      <w:r w:rsidRPr="007524A9">
        <w:rPr>
          <w:rFonts w:asciiTheme="minorHAnsi" w:hAnsiTheme="minorHAnsi" w:cstheme="minorHAnsi"/>
        </w:rPr>
        <w:t xml:space="preserve">Il motivo non si ritiene sia compiutamente enunciato, più correttamente dovrebbe essere: </w:t>
      </w:r>
    </w:p>
    <w:p w14:paraId="3960B0ED" w14:textId="23B07D28" w:rsidR="00B37463" w:rsidRPr="007524A9" w:rsidRDefault="00B37463" w:rsidP="00AB04DA">
      <w:pPr>
        <w:pStyle w:val="p1"/>
        <w:spacing w:before="0" w:beforeAutospacing="0" w:after="0" w:afterAutospacing="0" w:line="360" w:lineRule="auto"/>
        <w:jc w:val="both"/>
        <w:rPr>
          <w:rFonts w:asciiTheme="minorHAnsi" w:hAnsiTheme="minorHAnsi" w:cstheme="minorHAnsi"/>
        </w:rPr>
      </w:pPr>
      <w:r w:rsidRPr="007524A9">
        <w:rPr>
          <w:rFonts w:asciiTheme="minorHAnsi" w:hAnsiTheme="minorHAnsi" w:cstheme="minorHAnsi"/>
        </w:rPr>
        <w:t xml:space="preserve">art. 360, co. 1 n. 4, Cod. proc. civ. – nullità della sentenza per carenza di motivazione o motivazione apparente che si suppone in relazione all’art. 36, co. 2 n. 4, </w:t>
      </w:r>
      <w:proofErr w:type="spellStart"/>
      <w:r w:rsidRPr="007524A9">
        <w:rPr>
          <w:rFonts w:asciiTheme="minorHAnsi" w:hAnsiTheme="minorHAnsi" w:cstheme="minorHAnsi"/>
        </w:rPr>
        <w:t>D.lgs</w:t>
      </w:r>
      <w:proofErr w:type="spellEnd"/>
      <w:r w:rsidRPr="007524A9">
        <w:rPr>
          <w:rFonts w:asciiTheme="minorHAnsi" w:hAnsiTheme="minorHAnsi" w:cstheme="minorHAnsi"/>
        </w:rPr>
        <w:t xml:space="preserve"> n. 546/1992, </w:t>
      </w:r>
      <w:r w:rsidR="00566006" w:rsidRPr="007524A9">
        <w:rPr>
          <w:rFonts w:asciiTheme="minorHAnsi" w:hAnsiTheme="minorHAnsi" w:cstheme="minorHAnsi"/>
        </w:rPr>
        <w:t xml:space="preserve">e </w:t>
      </w:r>
      <w:r w:rsidR="00566006" w:rsidRPr="007524A9">
        <w:rPr>
          <w:rFonts w:asciiTheme="minorHAnsi" w:hAnsiTheme="minorHAnsi" w:cstheme="minorHAnsi"/>
        </w:rPr>
        <w:lastRenderedPageBreak/>
        <w:t xml:space="preserve">ci si oppone </w:t>
      </w:r>
      <w:r w:rsidRPr="007524A9">
        <w:rPr>
          <w:rFonts w:asciiTheme="minorHAnsi" w:hAnsiTheme="minorHAnsi" w:cstheme="minorHAnsi"/>
        </w:rPr>
        <w:t>in quanto inammissibile</w:t>
      </w:r>
      <w:r w:rsidR="00E90B30" w:rsidRPr="007524A9">
        <w:rPr>
          <w:rFonts w:asciiTheme="minorHAnsi" w:hAnsiTheme="minorHAnsi" w:cstheme="minorHAnsi"/>
        </w:rPr>
        <w:t>,</w:t>
      </w:r>
      <w:r w:rsidRPr="007524A9">
        <w:rPr>
          <w:rFonts w:asciiTheme="minorHAnsi" w:hAnsiTheme="minorHAnsi" w:cstheme="minorHAnsi"/>
        </w:rPr>
        <w:t xml:space="preserve"> </w:t>
      </w:r>
      <w:r w:rsidR="001A3ED9" w:rsidRPr="007524A9">
        <w:rPr>
          <w:rFonts w:asciiTheme="minorHAnsi" w:hAnsiTheme="minorHAnsi" w:cstheme="minorHAnsi"/>
        </w:rPr>
        <w:t>poiché</w:t>
      </w:r>
      <w:r w:rsidRPr="007524A9">
        <w:rPr>
          <w:rFonts w:asciiTheme="minorHAnsi" w:hAnsiTheme="minorHAnsi" w:cstheme="minorHAnsi"/>
        </w:rPr>
        <w:t xml:space="preserve"> </w:t>
      </w:r>
      <w:r w:rsidR="001A3ED9" w:rsidRPr="007524A9">
        <w:rPr>
          <w:rFonts w:asciiTheme="minorHAnsi" w:hAnsiTheme="minorHAnsi" w:cstheme="minorHAnsi"/>
        </w:rPr>
        <w:t xml:space="preserve">il ricorrente </w:t>
      </w:r>
      <w:r w:rsidR="00566006" w:rsidRPr="007524A9">
        <w:rPr>
          <w:rFonts w:asciiTheme="minorHAnsi" w:hAnsiTheme="minorHAnsi" w:cstheme="minorHAnsi"/>
        </w:rPr>
        <w:t xml:space="preserve">non indica le ragioni sottese per cui sarebbe stato leso il diritto di difesa o che avrebbe provocato il pregiudizio per la decisione di merito </w:t>
      </w:r>
      <w:r w:rsidR="001A3ED9" w:rsidRPr="007524A9">
        <w:rPr>
          <w:rFonts w:asciiTheme="minorHAnsi" w:hAnsiTheme="minorHAnsi" w:cstheme="minorHAnsi"/>
        </w:rPr>
        <w:t xml:space="preserve">e il danno concreto arrecatogli dall'invocata nullità processuale, sconfinando </w:t>
      </w:r>
      <w:r w:rsidR="00566006" w:rsidRPr="007524A9">
        <w:rPr>
          <w:rFonts w:asciiTheme="minorHAnsi" w:hAnsiTheme="minorHAnsi" w:cstheme="minorHAnsi"/>
        </w:rPr>
        <w:t>fin</w:t>
      </w:r>
      <w:r w:rsidR="001A3ED9" w:rsidRPr="007524A9">
        <w:rPr>
          <w:rFonts w:asciiTheme="minorHAnsi" w:hAnsiTheme="minorHAnsi" w:cstheme="minorHAnsi"/>
        </w:rPr>
        <w:t>anche nella</w:t>
      </w:r>
      <w:r w:rsidRPr="007524A9">
        <w:rPr>
          <w:rFonts w:asciiTheme="minorHAnsi" w:hAnsiTheme="minorHAnsi" w:cstheme="minorHAnsi"/>
        </w:rPr>
        <w:t xml:space="preserve"> violazione del principio di autosufficienza</w:t>
      </w:r>
      <w:r w:rsidR="001A3ED9" w:rsidRPr="007524A9">
        <w:rPr>
          <w:rFonts w:asciiTheme="minorHAnsi" w:hAnsiTheme="minorHAnsi" w:cstheme="minorHAnsi"/>
        </w:rPr>
        <w:t xml:space="preserve">, ma comunque </w:t>
      </w:r>
      <w:r w:rsidR="00566006" w:rsidRPr="007524A9">
        <w:rPr>
          <w:rFonts w:asciiTheme="minorHAnsi" w:hAnsiTheme="minorHAnsi" w:cstheme="minorHAnsi"/>
        </w:rPr>
        <w:t>il motivo è</w:t>
      </w:r>
      <w:r w:rsidRPr="007524A9">
        <w:rPr>
          <w:rFonts w:asciiTheme="minorHAnsi" w:hAnsiTheme="minorHAnsi" w:cstheme="minorHAnsi"/>
        </w:rPr>
        <w:t xml:space="preserve"> infondato </w:t>
      </w:r>
      <w:r w:rsidR="00E90B30" w:rsidRPr="007524A9">
        <w:rPr>
          <w:rFonts w:asciiTheme="minorHAnsi" w:hAnsiTheme="minorHAnsi" w:cstheme="minorHAnsi"/>
        </w:rPr>
        <w:t xml:space="preserve">e </w:t>
      </w:r>
      <w:r w:rsidR="00566006" w:rsidRPr="007524A9">
        <w:rPr>
          <w:rFonts w:asciiTheme="minorHAnsi" w:hAnsiTheme="minorHAnsi" w:cstheme="minorHAnsi"/>
        </w:rPr>
        <w:t>risultano osservate le prescrizioni al principio del giusto processo invocate dall’appellante.</w:t>
      </w:r>
    </w:p>
    <w:p w14:paraId="089C0C7E" w14:textId="0160A9D6" w:rsidR="00FC01F3" w:rsidRPr="007524A9" w:rsidRDefault="00293B67" w:rsidP="009A659D">
      <w:pPr>
        <w:pStyle w:val="p1"/>
        <w:numPr>
          <w:ilvl w:val="0"/>
          <w:numId w:val="11"/>
        </w:numPr>
        <w:tabs>
          <w:tab w:val="left" w:pos="426"/>
        </w:tabs>
        <w:spacing w:before="0" w:beforeAutospacing="0" w:after="0" w:afterAutospacing="0" w:line="360" w:lineRule="auto"/>
        <w:ind w:left="0" w:firstLine="0"/>
        <w:jc w:val="both"/>
        <w:rPr>
          <w:rFonts w:asciiTheme="minorHAnsi" w:hAnsiTheme="minorHAnsi" w:cstheme="minorHAnsi"/>
        </w:rPr>
      </w:pPr>
      <w:r w:rsidRPr="007524A9">
        <w:rPr>
          <w:rFonts w:asciiTheme="minorHAnsi" w:hAnsiTheme="minorHAnsi" w:cstheme="minorHAnsi"/>
        </w:rPr>
        <w:t>Controparte</w:t>
      </w:r>
      <w:r w:rsidR="00D80C56" w:rsidRPr="007524A9">
        <w:rPr>
          <w:rFonts w:asciiTheme="minorHAnsi" w:hAnsiTheme="minorHAnsi" w:cstheme="minorHAnsi"/>
        </w:rPr>
        <w:t xml:space="preserve"> si duole che </w:t>
      </w:r>
      <w:r w:rsidRPr="007524A9">
        <w:rPr>
          <w:rFonts w:asciiTheme="minorHAnsi" w:hAnsiTheme="minorHAnsi" w:cstheme="minorHAnsi"/>
        </w:rPr>
        <w:t>la Corte di secondo grado non abbia “</w:t>
      </w:r>
      <w:r w:rsidRPr="007524A9">
        <w:rPr>
          <w:rFonts w:asciiTheme="minorHAnsi" w:hAnsiTheme="minorHAnsi" w:cstheme="minorHAnsi"/>
          <w:i/>
          <w:iCs/>
        </w:rPr>
        <w:t>esposto, neppure in estrema sintesi, i presupposti di fatto e di diritto su cui si basava la ripresa a tassazione e il contenuto del ricorso in appello dell'Ufficio</w:t>
      </w:r>
      <w:r w:rsidRPr="007524A9">
        <w:rPr>
          <w:rFonts w:asciiTheme="minorHAnsi" w:hAnsiTheme="minorHAnsi" w:cstheme="minorHAnsi"/>
        </w:rPr>
        <w:t>”, aggiungendo che</w:t>
      </w:r>
      <w:r w:rsidR="00FC01F3" w:rsidRPr="007524A9">
        <w:rPr>
          <w:rFonts w:asciiTheme="minorHAnsi" w:hAnsiTheme="minorHAnsi" w:cstheme="minorHAnsi"/>
        </w:rPr>
        <w:t xml:space="preserve"> troverebbe  “</w:t>
      </w:r>
      <w:r w:rsidR="00FC01F3" w:rsidRPr="007524A9">
        <w:rPr>
          <w:rFonts w:asciiTheme="minorHAnsi" w:hAnsiTheme="minorHAnsi" w:cstheme="minorHAnsi"/>
          <w:i/>
          <w:iCs/>
        </w:rPr>
        <w:t xml:space="preserve">applicazione il principio, pacifico in giurisprudenza di legittimità, secondo cui  ‘deve considerarsi nulla la sentenza di appello motivata per </w:t>
      </w:r>
      <w:proofErr w:type="spellStart"/>
      <w:r w:rsidR="00FC01F3" w:rsidRPr="007524A9">
        <w:rPr>
          <w:rFonts w:asciiTheme="minorHAnsi" w:hAnsiTheme="minorHAnsi" w:cstheme="minorHAnsi"/>
          <w:i/>
          <w:iCs/>
        </w:rPr>
        <w:t>reltionem</w:t>
      </w:r>
      <w:proofErr w:type="spellEnd"/>
      <w:r w:rsidR="00FC01F3" w:rsidRPr="007524A9">
        <w:rPr>
          <w:rFonts w:asciiTheme="minorHAnsi" w:hAnsiTheme="minorHAnsi" w:cstheme="minorHAnsi"/>
          <w:i/>
          <w:iCs/>
        </w:rPr>
        <w:t xml:space="preserve"> alla sentenza di primo grado, qualora la laconicità della motivazione non consenta di appurare che alla condivisione della decisione di prime cure il giudice d’appello sia pervenuto attraverso l’esame e la valutazione di infondatezza dei motivi di gravame, previa specifica ed adeguata considerazione delle allegazioni difensive, degli elementi di prova e dei motivi di appello</w:t>
      </w:r>
      <w:r w:rsidR="00FC01F3" w:rsidRPr="007524A9">
        <w:rPr>
          <w:rFonts w:asciiTheme="minorHAnsi" w:hAnsiTheme="minorHAnsi" w:cstheme="minorHAnsi"/>
        </w:rPr>
        <w:t>” [</w:t>
      </w:r>
      <w:proofErr w:type="spellStart"/>
      <w:r w:rsidR="00FC01F3" w:rsidRPr="007524A9">
        <w:rPr>
          <w:rFonts w:asciiTheme="minorHAnsi" w:hAnsiTheme="minorHAnsi" w:cstheme="minorHAnsi"/>
        </w:rPr>
        <w:t>cfr</w:t>
      </w:r>
      <w:proofErr w:type="spellEnd"/>
      <w:r w:rsidR="00FC01F3" w:rsidRPr="007524A9">
        <w:rPr>
          <w:rFonts w:asciiTheme="minorHAnsi" w:hAnsiTheme="minorHAnsi" w:cstheme="minorHAnsi"/>
        </w:rPr>
        <w:t xml:space="preserve"> Doc. 1 Cassazione pag. 8].</w:t>
      </w:r>
    </w:p>
    <w:p w14:paraId="04A9CF30" w14:textId="1503BFBD" w:rsidR="00B37463" w:rsidRPr="007524A9" w:rsidRDefault="00FC01F3" w:rsidP="00AB04DA">
      <w:pPr>
        <w:pStyle w:val="p1"/>
        <w:spacing w:before="0" w:beforeAutospacing="0" w:after="0" w:afterAutospacing="0" w:line="360" w:lineRule="auto"/>
        <w:jc w:val="both"/>
        <w:rPr>
          <w:rFonts w:asciiTheme="minorHAnsi" w:hAnsiTheme="minorHAnsi" w:cstheme="minorHAnsi"/>
        </w:rPr>
      </w:pPr>
      <w:r w:rsidRPr="007524A9">
        <w:rPr>
          <w:rFonts w:asciiTheme="minorHAnsi" w:hAnsiTheme="minorHAnsi" w:cstheme="minorHAnsi"/>
        </w:rPr>
        <w:t>In chiosa al motivo precisa che</w:t>
      </w:r>
      <w:r w:rsidR="00293B67" w:rsidRPr="007524A9">
        <w:rPr>
          <w:rFonts w:asciiTheme="minorHAnsi" w:hAnsiTheme="minorHAnsi" w:cstheme="minorHAnsi"/>
        </w:rPr>
        <w:t xml:space="preserve"> “</w:t>
      </w:r>
      <w:r w:rsidR="00293B67" w:rsidRPr="007524A9">
        <w:rPr>
          <w:rFonts w:asciiTheme="minorHAnsi" w:hAnsiTheme="minorHAnsi" w:cstheme="minorHAnsi"/>
          <w:i/>
          <w:iCs/>
        </w:rPr>
        <w:t>In particolare, resta del tutto oscuro sia il senso sia l'iter logico dell'affermazione, che esaurisce l'esame del merito della controversia, secondo cui ‘Analizzando poi talune di dette scritture, quelle riferite alle rimanenze finali di materiali ferrosi, (ciò che a rigore non sarebbe stato necessario, preliminare ed assorbente essendo i rilievi poc'anzi esposti sulla limitatezza dei rilievi formali contestati rispetto ai movimenti complessivi), il primo Collegio concorda sulla considerazione difensiva per cui detto ammontare non sarebbe possibile ipotizzando l'arrivo intra UE di contenitori ferrosi, vietato da norme comunitarie, né lo sarebbero ipotizzando il trasporto come proveniente da Arabia Saudita o dagli USA, lo stesso non essendo suffragato da alcun positivo riscontro doganale in tal senso virgola non versato in atti</w:t>
      </w:r>
      <w:r w:rsidR="00293B67" w:rsidRPr="007524A9">
        <w:rPr>
          <w:rFonts w:asciiTheme="minorHAnsi" w:hAnsiTheme="minorHAnsi" w:cstheme="minorHAnsi"/>
        </w:rPr>
        <w:t>’”</w:t>
      </w:r>
      <w:r w:rsidRPr="007524A9">
        <w:rPr>
          <w:rFonts w:asciiTheme="minorHAnsi" w:hAnsiTheme="minorHAnsi" w:cstheme="minorHAnsi"/>
        </w:rPr>
        <w:t xml:space="preserve"> (</w:t>
      </w:r>
      <w:proofErr w:type="spellStart"/>
      <w:r w:rsidRPr="007524A9">
        <w:rPr>
          <w:rFonts w:asciiTheme="minorHAnsi" w:hAnsiTheme="minorHAnsi" w:cstheme="minorHAnsi"/>
        </w:rPr>
        <w:t>cfr</w:t>
      </w:r>
      <w:proofErr w:type="spellEnd"/>
      <w:r w:rsidRPr="007524A9">
        <w:rPr>
          <w:rFonts w:asciiTheme="minorHAnsi" w:hAnsiTheme="minorHAnsi" w:cstheme="minorHAnsi"/>
        </w:rPr>
        <w:t xml:space="preserve"> Doc. 1 pag. 10).</w:t>
      </w:r>
    </w:p>
    <w:p w14:paraId="12B9B74C" w14:textId="51F73374" w:rsidR="007D7F58" w:rsidRPr="007524A9" w:rsidRDefault="00F61775" w:rsidP="009A659D">
      <w:pPr>
        <w:pStyle w:val="p1"/>
        <w:numPr>
          <w:ilvl w:val="0"/>
          <w:numId w:val="11"/>
        </w:numPr>
        <w:tabs>
          <w:tab w:val="left" w:pos="426"/>
        </w:tabs>
        <w:spacing w:before="0" w:beforeAutospacing="0" w:after="0" w:afterAutospacing="0" w:line="360" w:lineRule="auto"/>
        <w:ind w:left="0" w:firstLine="0"/>
        <w:jc w:val="both"/>
        <w:rPr>
          <w:rFonts w:asciiTheme="minorHAnsi" w:hAnsiTheme="minorHAnsi" w:cstheme="minorHAnsi"/>
        </w:rPr>
      </w:pPr>
      <w:r w:rsidRPr="007524A9">
        <w:rPr>
          <w:rFonts w:asciiTheme="minorHAnsi" w:hAnsiTheme="minorHAnsi" w:cstheme="minorHAnsi"/>
        </w:rPr>
        <w:t>Si tratta di un preteso vizio che costitui</w:t>
      </w:r>
      <w:r w:rsidR="0010678A" w:rsidRPr="007524A9">
        <w:rPr>
          <w:rFonts w:asciiTheme="minorHAnsi" w:hAnsiTheme="minorHAnsi" w:cstheme="minorHAnsi"/>
        </w:rPr>
        <w:t>rebbe</w:t>
      </w:r>
      <w:r w:rsidRPr="007524A9">
        <w:rPr>
          <w:rFonts w:asciiTheme="minorHAnsi" w:hAnsiTheme="minorHAnsi" w:cstheme="minorHAnsi"/>
        </w:rPr>
        <w:t xml:space="preserve"> un pregiudizio al diritto di difesa dell’appellante</w:t>
      </w:r>
      <w:r w:rsidR="00530388" w:rsidRPr="007524A9">
        <w:rPr>
          <w:rFonts w:asciiTheme="minorHAnsi" w:hAnsiTheme="minorHAnsi" w:cstheme="minorHAnsi"/>
        </w:rPr>
        <w:t>;</w:t>
      </w:r>
      <w:r w:rsidRPr="007524A9">
        <w:rPr>
          <w:rFonts w:asciiTheme="minorHAnsi" w:hAnsiTheme="minorHAnsi" w:cstheme="minorHAnsi"/>
        </w:rPr>
        <w:t xml:space="preserve"> </w:t>
      </w:r>
      <w:r w:rsidR="00B33603" w:rsidRPr="007524A9">
        <w:rPr>
          <w:rFonts w:asciiTheme="minorHAnsi" w:hAnsiTheme="minorHAnsi" w:cstheme="minorHAnsi"/>
        </w:rPr>
        <w:t xml:space="preserve">tuttavia controparte si limita alla denuncia, </w:t>
      </w:r>
      <w:r w:rsidRPr="007524A9">
        <w:rPr>
          <w:rFonts w:asciiTheme="minorHAnsi" w:hAnsiTheme="minorHAnsi" w:cstheme="minorHAnsi"/>
        </w:rPr>
        <w:t>senza tuttavia aggiungere altro, vale a dire senza indicare quali siano le ragioni sottese per cui sarebbe stato leso il diritto di difesa o che avrebbe provocato il pregiudizio per la decisione di merito.</w:t>
      </w:r>
    </w:p>
    <w:p w14:paraId="51D14AEF" w14:textId="121B18A7" w:rsidR="00293B67" w:rsidRPr="007524A9" w:rsidRDefault="007D7F58" w:rsidP="00AB04DA">
      <w:pPr>
        <w:pStyle w:val="p1"/>
        <w:spacing w:before="0" w:beforeAutospacing="0" w:after="0" w:afterAutospacing="0" w:line="360" w:lineRule="auto"/>
        <w:jc w:val="both"/>
        <w:rPr>
          <w:rFonts w:asciiTheme="minorHAnsi" w:hAnsiTheme="minorHAnsi" w:cstheme="minorHAnsi"/>
        </w:rPr>
      </w:pPr>
      <w:r w:rsidRPr="007524A9">
        <w:rPr>
          <w:rFonts w:asciiTheme="minorHAnsi" w:hAnsiTheme="minorHAnsi" w:cstheme="minorHAnsi"/>
        </w:rPr>
        <w:t xml:space="preserve">Per consolidata giurisprudenza </w:t>
      </w:r>
      <w:r w:rsidRPr="007524A9">
        <w:rPr>
          <w:rFonts w:asciiTheme="minorHAnsi" w:hAnsiTheme="minorHAnsi" w:cstheme="minorHAnsi"/>
          <w:i/>
          <w:iCs/>
        </w:rPr>
        <w:t>E' fermo indirizzo di questa Corte che l'</w:t>
      </w:r>
      <w:hyperlink r:id="rId8" w:history="1">
        <w:r w:rsidRPr="007524A9">
          <w:rPr>
            <w:rFonts w:asciiTheme="minorHAnsi" w:hAnsiTheme="minorHAnsi" w:cstheme="minorHAnsi"/>
            <w:i/>
            <w:iCs/>
          </w:rPr>
          <w:t>art. 360</w:t>
        </w:r>
      </w:hyperlink>
      <w:r w:rsidRPr="007524A9">
        <w:rPr>
          <w:rFonts w:asciiTheme="minorHAnsi" w:hAnsiTheme="minorHAnsi" w:cstheme="minorHAnsi"/>
          <w:i/>
          <w:iCs/>
        </w:rPr>
        <w:t xml:space="preserve"> c.p.c., comma 1, n. 4, nel consentire la denuncia di vizi di attività del giudice che comportino la nullità della sentenza o del procedimento, non tutela l'interesse all'astratta regolarità dell'attività giudiziaria, ma garantisce soltanto l'eliminazione del pregiudizio concretamente subito dal </w:t>
      </w:r>
      <w:r w:rsidRPr="007524A9">
        <w:rPr>
          <w:rFonts w:asciiTheme="minorHAnsi" w:hAnsiTheme="minorHAnsi" w:cstheme="minorHAnsi"/>
          <w:i/>
          <w:iCs/>
        </w:rPr>
        <w:lastRenderedPageBreak/>
        <w:t xml:space="preserve">diritto di difesa della parte in dipendenza del denunciato </w:t>
      </w:r>
      <w:proofErr w:type="spellStart"/>
      <w:r w:rsidRPr="007524A9">
        <w:rPr>
          <w:rFonts w:asciiTheme="minorHAnsi" w:hAnsiTheme="minorHAnsi" w:cstheme="minorHAnsi"/>
          <w:i/>
          <w:iCs/>
        </w:rPr>
        <w:t>error</w:t>
      </w:r>
      <w:proofErr w:type="spellEnd"/>
      <w:r w:rsidRPr="007524A9">
        <w:rPr>
          <w:rFonts w:asciiTheme="minorHAnsi" w:hAnsiTheme="minorHAnsi" w:cstheme="minorHAnsi"/>
          <w:i/>
          <w:iCs/>
        </w:rPr>
        <w:t xml:space="preserve"> in procedendo. Ne consegue che, ove il ricorrente non indichi lo specifico e concreto pregiudizio subito, l'addotto </w:t>
      </w:r>
      <w:proofErr w:type="spellStart"/>
      <w:r w:rsidRPr="007524A9">
        <w:rPr>
          <w:rFonts w:asciiTheme="minorHAnsi" w:hAnsiTheme="minorHAnsi" w:cstheme="minorHAnsi"/>
          <w:i/>
          <w:iCs/>
        </w:rPr>
        <w:t>error</w:t>
      </w:r>
      <w:proofErr w:type="spellEnd"/>
      <w:r w:rsidRPr="007524A9">
        <w:rPr>
          <w:rFonts w:asciiTheme="minorHAnsi" w:hAnsiTheme="minorHAnsi" w:cstheme="minorHAnsi"/>
          <w:i/>
          <w:iCs/>
        </w:rPr>
        <w:t xml:space="preserve"> in procedendo non acquista rilievo idoneo a determinare l'annullamento della sentenza impugnata (Cass. </w:t>
      </w:r>
      <w:proofErr w:type="spellStart"/>
      <w:r w:rsidRPr="007524A9">
        <w:rPr>
          <w:rFonts w:asciiTheme="minorHAnsi" w:hAnsiTheme="minorHAnsi" w:cstheme="minorHAnsi"/>
          <w:i/>
          <w:iCs/>
        </w:rPr>
        <w:t>nn</w:t>
      </w:r>
      <w:proofErr w:type="spellEnd"/>
      <w:r w:rsidRPr="007524A9">
        <w:rPr>
          <w:rFonts w:asciiTheme="minorHAnsi" w:hAnsiTheme="minorHAnsi" w:cstheme="minorHAnsi"/>
          <w:i/>
          <w:iCs/>
        </w:rPr>
        <w:t xml:space="preserve">. 18635/11, 4435/08, 16630/07, </w:t>
      </w:r>
      <w:hyperlink r:id="rId9" w:history="1">
        <w:r w:rsidRPr="007524A9">
          <w:rPr>
            <w:rFonts w:asciiTheme="minorHAnsi" w:hAnsiTheme="minorHAnsi" w:cstheme="minorHAnsi"/>
            <w:i/>
            <w:iCs/>
          </w:rPr>
          <w:t>16898/06</w:t>
        </w:r>
      </w:hyperlink>
      <w:r w:rsidRPr="007524A9">
        <w:rPr>
          <w:rFonts w:asciiTheme="minorHAnsi" w:hAnsiTheme="minorHAnsi" w:cstheme="minorHAnsi"/>
          <w:i/>
          <w:iCs/>
        </w:rPr>
        <w:t xml:space="preserve">, 13662/04,18618/03, </w:t>
      </w:r>
      <w:hyperlink r:id="rId10" w:history="1">
        <w:r w:rsidRPr="007524A9">
          <w:rPr>
            <w:rFonts w:asciiTheme="minorHAnsi" w:hAnsiTheme="minorHAnsi" w:cstheme="minorHAnsi"/>
            <w:i/>
            <w:iCs/>
          </w:rPr>
          <w:t>12594/02</w:t>
        </w:r>
      </w:hyperlink>
      <w:r w:rsidRPr="007524A9">
        <w:rPr>
          <w:rFonts w:asciiTheme="minorHAnsi" w:hAnsiTheme="minorHAnsi" w:cstheme="minorHAnsi"/>
          <w:i/>
          <w:iCs/>
        </w:rPr>
        <w:t xml:space="preserve">, </w:t>
      </w:r>
      <w:hyperlink r:id="rId11" w:history="1">
        <w:r w:rsidRPr="007524A9">
          <w:rPr>
            <w:rFonts w:asciiTheme="minorHAnsi" w:hAnsiTheme="minorHAnsi" w:cstheme="minorHAnsi"/>
            <w:i/>
            <w:iCs/>
          </w:rPr>
          <w:t>5837/97</w:t>
        </w:r>
      </w:hyperlink>
      <w:r w:rsidRPr="007524A9">
        <w:rPr>
          <w:rFonts w:asciiTheme="minorHAnsi" w:hAnsiTheme="minorHAnsi" w:cstheme="minorHAnsi"/>
          <w:i/>
          <w:iCs/>
        </w:rPr>
        <w:t xml:space="preserve"> e </w:t>
      </w:r>
      <w:hyperlink r:id="rId12" w:history="1">
        <w:r w:rsidRPr="007524A9">
          <w:rPr>
            <w:rFonts w:asciiTheme="minorHAnsi" w:hAnsiTheme="minorHAnsi" w:cstheme="minorHAnsi"/>
            <w:i/>
            <w:iCs/>
          </w:rPr>
          <w:t>221/96</w:t>
        </w:r>
      </w:hyperlink>
      <w:r w:rsidRPr="007524A9">
        <w:rPr>
          <w:rFonts w:asciiTheme="minorHAnsi" w:hAnsiTheme="minorHAnsi" w:cstheme="minorHAnsi"/>
          <w:i/>
          <w:iCs/>
        </w:rPr>
        <w:t>)</w:t>
      </w:r>
      <w:r w:rsidR="00F61775" w:rsidRPr="007524A9">
        <w:rPr>
          <w:rFonts w:asciiTheme="minorHAnsi" w:hAnsiTheme="minorHAnsi" w:cstheme="minorHAnsi"/>
          <w:i/>
          <w:iCs/>
        </w:rPr>
        <w:t xml:space="preserve"> </w:t>
      </w:r>
      <w:r w:rsidRPr="007524A9">
        <w:rPr>
          <w:rFonts w:asciiTheme="minorHAnsi" w:hAnsiTheme="minorHAnsi" w:cstheme="minorHAnsi"/>
        </w:rPr>
        <w:t xml:space="preserve">[Cassazione Civile </w:t>
      </w:r>
      <w:proofErr w:type="spellStart"/>
      <w:r w:rsidRPr="007524A9">
        <w:rPr>
          <w:rFonts w:asciiTheme="minorHAnsi" w:hAnsiTheme="minorHAnsi" w:cstheme="minorHAnsi"/>
        </w:rPr>
        <w:t>sent</w:t>
      </w:r>
      <w:proofErr w:type="spellEnd"/>
      <w:r w:rsidRPr="007524A9">
        <w:rPr>
          <w:rFonts w:asciiTheme="minorHAnsi" w:hAnsiTheme="minorHAnsi" w:cstheme="minorHAnsi"/>
        </w:rPr>
        <w:t>. n. 7747/2013].</w:t>
      </w:r>
    </w:p>
    <w:p w14:paraId="3C80F371" w14:textId="10A18AAC" w:rsidR="00F61775" w:rsidRPr="007524A9" w:rsidRDefault="00F61775" w:rsidP="00AB04DA">
      <w:pPr>
        <w:pStyle w:val="p1"/>
        <w:spacing w:before="0" w:beforeAutospacing="0" w:after="0" w:afterAutospacing="0" w:line="360" w:lineRule="auto"/>
        <w:jc w:val="both"/>
        <w:rPr>
          <w:rFonts w:asciiTheme="minorHAnsi" w:hAnsiTheme="minorHAnsi" w:cstheme="minorHAnsi"/>
        </w:rPr>
      </w:pPr>
      <w:r w:rsidRPr="007524A9">
        <w:rPr>
          <w:rFonts w:asciiTheme="minorHAnsi" w:hAnsiTheme="minorHAnsi" w:cstheme="minorHAnsi"/>
        </w:rPr>
        <w:t xml:space="preserve">La censura </w:t>
      </w:r>
      <w:r w:rsidR="00FC01F3" w:rsidRPr="007524A9">
        <w:rPr>
          <w:rFonts w:asciiTheme="minorHAnsi" w:hAnsiTheme="minorHAnsi" w:cstheme="minorHAnsi"/>
        </w:rPr>
        <w:t>r</w:t>
      </w:r>
      <w:r w:rsidRPr="007524A9">
        <w:rPr>
          <w:rFonts w:asciiTheme="minorHAnsi" w:hAnsiTheme="minorHAnsi" w:cstheme="minorHAnsi"/>
        </w:rPr>
        <w:t>elativa alla violazione dei principi regolatori del giusto processo</w:t>
      </w:r>
      <w:r w:rsidR="00B33603" w:rsidRPr="007524A9">
        <w:rPr>
          <w:rFonts w:asciiTheme="minorHAnsi" w:hAnsiTheme="minorHAnsi" w:cstheme="minorHAnsi"/>
        </w:rPr>
        <w:t>,</w:t>
      </w:r>
      <w:r w:rsidRPr="007524A9">
        <w:rPr>
          <w:rFonts w:asciiTheme="minorHAnsi" w:hAnsiTheme="minorHAnsi" w:cstheme="minorHAnsi"/>
        </w:rPr>
        <w:t xml:space="preserve"> infatti</w:t>
      </w:r>
      <w:r w:rsidR="00B33603" w:rsidRPr="007524A9">
        <w:rPr>
          <w:rFonts w:asciiTheme="minorHAnsi" w:hAnsiTheme="minorHAnsi" w:cstheme="minorHAnsi"/>
        </w:rPr>
        <w:t>,</w:t>
      </w:r>
      <w:r w:rsidRPr="007524A9">
        <w:rPr>
          <w:rFonts w:asciiTheme="minorHAnsi" w:hAnsiTheme="minorHAnsi" w:cstheme="minorHAnsi"/>
        </w:rPr>
        <w:t xml:space="preserve"> deve avere carattere </w:t>
      </w:r>
      <w:r w:rsidR="004F1828" w:rsidRPr="007524A9">
        <w:rPr>
          <w:rFonts w:asciiTheme="minorHAnsi" w:hAnsiTheme="minorHAnsi" w:cstheme="minorHAnsi"/>
        </w:rPr>
        <w:t>risolutivo</w:t>
      </w:r>
      <w:r w:rsidRPr="007524A9">
        <w:rPr>
          <w:rFonts w:asciiTheme="minorHAnsi" w:hAnsiTheme="minorHAnsi" w:cstheme="minorHAnsi"/>
        </w:rPr>
        <w:t>, cioè incidere sul contenuto della decisione e, dunque, arrecare un effettivo pregiudizio al ricorrente</w:t>
      </w:r>
      <w:r w:rsidR="00530388" w:rsidRPr="007524A9">
        <w:rPr>
          <w:rFonts w:asciiTheme="minorHAnsi" w:hAnsiTheme="minorHAnsi" w:cstheme="minorHAnsi"/>
        </w:rPr>
        <w:t xml:space="preserve">, in quanto </w:t>
      </w:r>
      <w:r w:rsidR="00530388" w:rsidRPr="007524A9">
        <w:rPr>
          <w:rFonts w:asciiTheme="minorHAnsi" w:hAnsiTheme="minorHAnsi" w:cstheme="minorHAnsi"/>
          <w:i/>
          <w:iCs/>
        </w:rPr>
        <w:t>i vizi dell'attività del giudice che possano comportare la nullità della sentenza o del procedimento, rilevanti ex art. 360 c.p.c., comma 1, n. 4, non sono posti a tutela di un interesse all'astratta regolarità dell'attività giudiziaria, ma a garanzia dell'eliminazione del pregiudizio concretamente subito dal diritto di difesa in dipendenza del denunciato ‘</w:t>
      </w:r>
      <w:proofErr w:type="spellStart"/>
      <w:r w:rsidR="00530388" w:rsidRPr="007524A9">
        <w:rPr>
          <w:rFonts w:asciiTheme="minorHAnsi" w:hAnsiTheme="minorHAnsi" w:cstheme="minorHAnsi"/>
          <w:i/>
          <w:iCs/>
        </w:rPr>
        <w:t>error</w:t>
      </w:r>
      <w:proofErr w:type="spellEnd"/>
      <w:r w:rsidR="00530388" w:rsidRPr="007524A9">
        <w:rPr>
          <w:rFonts w:asciiTheme="minorHAnsi" w:hAnsiTheme="minorHAnsi" w:cstheme="minorHAnsi"/>
          <w:i/>
          <w:iCs/>
        </w:rPr>
        <w:t xml:space="preserve"> in procedendo’ con conseguente onere dell’impugnante di indicare il danno concreto arrecatogli dall’invocata nullità processuale</w:t>
      </w:r>
      <w:r w:rsidR="004F1828" w:rsidRPr="007524A9">
        <w:rPr>
          <w:rFonts w:ascii="Calibri" w:hAnsi="Calibri" w:cs="Calibri"/>
        </w:rPr>
        <w:t xml:space="preserve"> </w:t>
      </w:r>
      <w:r w:rsidRPr="007524A9">
        <w:rPr>
          <w:rFonts w:asciiTheme="minorHAnsi" w:hAnsiTheme="minorHAnsi" w:cstheme="minorHAnsi"/>
        </w:rPr>
        <w:t xml:space="preserve">[Cassazione Civile </w:t>
      </w:r>
      <w:proofErr w:type="spellStart"/>
      <w:r w:rsidR="000D5434" w:rsidRPr="007524A9">
        <w:rPr>
          <w:rFonts w:asciiTheme="minorHAnsi" w:hAnsiTheme="minorHAnsi" w:cstheme="minorHAnsi"/>
        </w:rPr>
        <w:t>ord</w:t>
      </w:r>
      <w:proofErr w:type="spellEnd"/>
      <w:r w:rsidR="000D5434" w:rsidRPr="007524A9">
        <w:rPr>
          <w:rFonts w:asciiTheme="minorHAnsi" w:hAnsiTheme="minorHAnsi" w:cstheme="minorHAnsi"/>
        </w:rPr>
        <w:t xml:space="preserve">. n. 9487/2020, </w:t>
      </w:r>
      <w:proofErr w:type="spellStart"/>
      <w:r w:rsidRPr="007524A9">
        <w:rPr>
          <w:rFonts w:asciiTheme="minorHAnsi" w:hAnsiTheme="minorHAnsi" w:cstheme="minorHAnsi"/>
        </w:rPr>
        <w:t>sent</w:t>
      </w:r>
      <w:proofErr w:type="spellEnd"/>
      <w:r w:rsidRPr="007524A9">
        <w:rPr>
          <w:rFonts w:asciiTheme="minorHAnsi" w:hAnsiTheme="minorHAnsi" w:cstheme="minorHAnsi"/>
        </w:rPr>
        <w:t>. n. 30198/2019 e n. 26087/2019]</w:t>
      </w:r>
      <w:r w:rsidR="00530388" w:rsidRPr="007524A9">
        <w:rPr>
          <w:rFonts w:asciiTheme="minorHAnsi" w:hAnsiTheme="minorHAnsi" w:cstheme="minorHAnsi"/>
        </w:rPr>
        <w:t>, circostanza, questa che non appare allegata dall’appellante</w:t>
      </w:r>
      <w:r w:rsidRPr="007524A9">
        <w:rPr>
          <w:rFonts w:asciiTheme="minorHAnsi" w:hAnsiTheme="minorHAnsi" w:cstheme="minorHAnsi"/>
        </w:rPr>
        <w:t>.</w:t>
      </w:r>
    </w:p>
    <w:p w14:paraId="60287DFE" w14:textId="55F0098D" w:rsidR="00B37463" w:rsidRPr="007524A9" w:rsidRDefault="00F61775" w:rsidP="00AB04DA">
      <w:pPr>
        <w:pStyle w:val="p1"/>
        <w:spacing w:before="0" w:beforeAutospacing="0" w:after="0" w:afterAutospacing="0" w:line="360" w:lineRule="auto"/>
        <w:jc w:val="both"/>
        <w:rPr>
          <w:rFonts w:asciiTheme="minorHAnsi" w:hAnsiTheme="minorHAnsi" w:cstheme="minorHAnsi"/>
        </w:rPr>
      </w:pPr>
      <w:r w:rsidRPr="007524A9">
        <w:rPr>
          <w:rFonts w:asciiTheme="minorHAnsi" w:hAnsiTheme="minorHAnsi" w:cstheme="minorHAnsi"/>
        </w:rPr>
        <w:t>Se il ricorrente</w:t>
      </w:r>
      <w:r w:rsidR="000D5434" w:rsidRPr="007524A9">
        <w:rPr>
          <w:rFonts w:asciiTheme="minorHAnsi" w:hAnsiTheme="minorHAnsi" w:cstheme="minorHAnsi"/>
        </w:rPr>
        <w:t>, quindi,</w:t>
      </w:r>
      <w:r w:rsidRPr="007524A9">
        <w:rPr>
          <w:rFonts w:asciiTheme="minorHAnsi" w:hAnsiTheme="minorHAnsi" w:cstheme="minorHAnsi"/>
        </w:rPr>
        <w:t xml:space="preserve"> non indica le ragioni e il danno concreto arrecatogli dall'</w:t>
      </w:r>
      <w:r w:rsidR="00B33603" w:rsidRPr="007524A9">
        <w:rPr>
          <w:rFonts w:asciiTheme="minorHAnsi" w:hAnsiTheme="minorHAnsi" w:cstheme="minorHAnsi"/>
        </w:rPr>
        <w:t>in</w:t>
      </w:r>
      <w:r w:rsidRPr="007524A9">
        <w:rPr>
          <w:rFonts w:asciiTheme="minorHAnsi" w:hAnsiTheme="minorHAnsi" w:cstheme="minorHAnsi"/>
        </w:rPr>
        <w:t>vocata n</w:t>
      </w:r>
      <w:r w:rsidR="00B33603" w:rsidRPr="007524A9">
        <w:rPr>
          <w:rFonts w:asciiTheme="minorHAnsi" w:hAnsiTheme="minorHAnsi" w:cstheme="minorHAnsi"/>
        </w:rPr>
        <w:t>ullit</w:t>
      </w:r>
      <w:r w:rsidRPr="007524A9">
        <w:rPr>
          <w:rFonts w:asciiTheme="minorHAnsi" w:hAnsiTheme="minorHAnsi" w:cstheme="minorHAnsi"/>
        </w:rPr>
        <w:t>à processuale, l'impugnazione deve essere dichiarata inammissibile.</w:t>
      </w:r>
    </w:p>
    <w:p w14:paraId="0A456030" w14:textId="2051960B" w:rsidR="003A7DF0" w:rsidRPr="007524A9" w:rsidRDefault="003A7DF0" w:rsidP="009A659D">
      <w:pPr>
        <w:pStyle w:val="p1"/>
        <w:numPr>
          <w:ilvl w:val="0"/>
          <w:numId w:val="11"/>
        </w:numPr>
        <w:tabs>
          <w:tab w:val="left" w:pos="426"/>
        </w:tabs>
        <w:spacing w:before="0" w:beforeAutospacing="0" w:after="0" w:afterAutospacing="0" w:line="360" w:lineRule="auto"/>
        <w:ind w:left="0" w:firstLine="0"/>
        <w:jc w:val="both"/>
        <w:rPr>
          <w:rFonts w:asciiTheme="minorHAnsi" w:hAnsiTheme="minorHAnsi" w:cstheme="minorHAnsi"/>
          <w:color w:val="000000" w:themeColor="text1"/>
        </w:rPr>
      </w:pPr>
      <w:r w:rsidRPr="007524A9">
        <w:rPr>
          <w:rFonts w:asciiTheme="minorHAnsi" w:hAnsiTheme="minorHAnsi" w:cstheme="minorHAnsi"/>
          <w:color w:val="000000" w:themeColor="text1"/>
        </w:rPr>
        <w:t xml:space="preserve">Orbene, alla luce di quanto sopra dedotto si osserva che controparte non si è nemmeno premurata nel primo motivo di impugnazione di fornire </w:t>
      </w:r>
      <w:r w:rsidR="00907F61" w:rsidRPr="007524A9">
        <w:rPr>
          <w:rFonts w:asciiTheme="minorHAnsi" w:hAnsiTheme="minorHAnsi" w:cstheme="minorHAnsi"/>
          <w:color w:val="000000" w:themeColor="text1"/>
        </w:rPr>
        <w:t xml:space="preserve">evidenza dei fatti processuali alla base dell’errore denunciato, posto che </w:t>
      </w:r>
      <w:r w:rsidR="00907F61" w:rsidRPr="007524A9">
        <w:rPr>
          <w:rFonts w:asciiTheme="minorHAnsi" w:hAnsiTheme="minorHAnsi" w:cstheme="minorHAnsi"/>
          <w:i/>
          <w:iCs/>
          <w:color w:val="000000" w:themeColor="text1"/>
        </w:rPr>
        <w:t xml:space="preserve">la giurisprudenza di questa Corte è consolidata nell'affermare che, anche qualora venga dedotto un </w:t>
      </w:r>
      <w:proofErr w:type="spellStart"/>
      <w:r w:rsidR="00907F61" w:rsidRPr="007524A9">
        <w:rPr>
          <w:rFonts w:asciiTheme="minorHAnsi" w:hAnsiTheme="minorHAnsi" w:cstheme="minorHAnsi"/>
          <w:i/>
          <w:iCs/>
          <w:color w:val="000000" w:themeColor="text1"/>
        </w:rPr>
        <w:t>error</w:t>
      </w:r>
      <w:proofErr w:type="spellEnd"/>
      <w:r w:rsidR="00907F61" w:rsidRPr="007524A9">
        <w:rPr>
          <w:rFonts w:asciiTheme="minorHAnsi" w:hAnsiTheme="minorHAnsi" w:cstheme="minorHAnsi"/>
          <w:i/>
          <w:iCs/>
          <w:color w:val="000000" w:themeColor="text1"/>
        </w:rPr>
        <w:t xml:space="preserve"> in procedendo, rispetto al quale la Corte è giudice del ‘fatto processuale’, l'esercizio del potere/dovere di esame diretto degli atti è subordinato al rispetto delle regole di ammissibilità e di procedibilità stabilite dal codice di rito, in nulla derogate dall'estensione ai profili di fatto del potere cognitivo del giudice di legittimità (v. </w:t>
      </w:r>
      <w:hyperlink r:id="rId13" w:history="1">
        <w:r w:rsidR="00907F61" w:rsidRPr="007524A9">
          <w:rPr>
            <w:rStyle w:val="Collegamentoipertestuale"/>
            <w:rFonts w:asciiTheme="minorHAnsi" w:eastAsiaTheme="majorEastAsia" w:hAnsiTheme="minorHAnsi" w:cstheme="minorHAnsi"/>
            <w:i/>
            <w:iCs/>
            <w:color w:val="000000" w:themeColor="text1"/>
            <w:u w:val="none"/>
          </w:rPr>
          <w:t>Cass., Sez. Un., 22 maggio 2012, n. 8077</w:t>
        </w:r>
      </w:hyperlink>
      <w:r w:rsidR="00907F61" w:rsidRPr="007524A9">
        <w:rPr>
          <w:rFonts w:asciiTheme="minorHAnsi" w:hAnsiTheme="minorHAnsi" w:cstheme="minorHAnsi"/>
          <w:i/>
          <w:iCs/>
          <w:color w:val="000000" w:themeColor="text1"/>
        </w:rPr>
        <w:t xml:space="preserve">; </w:t>
      </w:r>
      <w:hyperlink r:id="rId14" w:history="1">
        <w:r w:rsidR="00907F61" w:rsidRPr="007524A9">
          <w:rPr>
            <w:rStyle w:val="Collegamentoipertestuale"/>
            <w:rFonts w:asciiTheme="minorHAnsi" w:eastAsiaTheme="majorEastAsia" w:hAnsiTheme="minorHAnsi" w:cstheme="minorHAnsi"/>
            <w:i/>
            <w:iCs/>
            <w:color w:val="000000" w:themeColor="text1"/>
            <w:u w:val="none"/>
          </w:rPr>
          <w:t>Cass. 10 aprile 2014, n. 8450</w:t>
        </w:r>
      </w:hyperlink>
      <w:r w:rsidR="00907F61" w:rsidRPr="007524A9">
        <w:rPr>
          <w:rFonts w:asciiTheme="minorHAnsi" w:hAnsiTheme="minorHAnsi" w:cstheme="minorHAnsi"/>
          <w:i/>
          <w:iCs/>
          <w:color w:val="000000" w:themeColor="text1"/>
        </w:rPr>
        <w:t xml:space="preserve">; </w:t>
      </w:r>
      <w:hyperlink r:id="rId15" w:history="1">
        <w:r w:rsidR="00907F61" w:rsidRPr="007524A9">
          <w:rPr>
            <w:rStyle w:val="Collegamentoipertestuale"/>
            <w:rFonts w:asciiTheme="minorHAnsi" w:eastAsiaTheme="majorEastAsia" w:hAnsiTheme="minorHAnsi" w:cstheme="minorHAnsi"/>
            <w:i/>
            <w:iCs/>
            <w:color w:val="000000" w:themeColor="text1"/>
            <w:u w:val="none"/>
          </w:rPr>
          <w:t>Cass. 4 luglio 2014, n. 15367</w:t>
        </w:r>
      </w:hyperlink>
      <w:r w:rsidR="00907F61" w:rsidRPr="007524A9">
        <w:rPr>
          <w:rFonts w:asciiTheme="minorHAnsi" w:hAnsiTheme="minorHAnsi" w:cstheme="minorHAnsi"/>
          <w:i/>
          <w:iCs/>
          <w:color w:val="000000" w:themeColor="text1"/>
        </w:rPr>
        <w:t xml:space="preserve">; </w:t>
      </w:r>
      <w:hyperlink r:id="rId16" w:history="1">
        <w:r w:rsidR="00907F61" w:rsidRPr="007524A9">
          <w:rPr>
            <w:rStyle w:val="Collegamentoipertestuale"/>
            <w:rFonts w:asciiTheme="minorHAnsi" w:eastAsiaTheme="majorEastAsia" w:hAnsiTheme="minorHAnsi" w:cstheme="minorHAnsi"/>
            <w:i/>
            <w:iCs/>
            <w:color w:val="000000" w:themeColor="text1"/>
            <w:u w:val="none"/>
          </w:rPr>
          <w:t>Cass. 28 novembre 2014, n. 25308</w:t>
        </w:r>
      </w:hyperlink>
      <w:r w:rsidR="00907F61" w:rsidRPr="007524A9">
        <w:rPr>
          <w:rFonts w:asciiTheme="minorHAnsi" w:hAnsiTheme="minorHAnsi" w:cstheme="minorHAnsi"/>
          <w:i/>
          <w:iCs/>
          <w:color w:val="000000" w:themeColor="text1"/>
        </w:rPr>
        <w:t xml:space="preserve">; </w:t>
      </w:r>
      <w:hyperlink r:id="rId17" w:history="1">
        <w:r w:rsidR="00907F61" w:rsidRPr="007524A9">
          <w:rPr>
            <w:rStyle w:val="Collegamentoipertestuale"/>
            <w:rFonts w:asciiTheme="minorHAnsi" w:eastAsiaTheme="majorEastAsia" w:hAnsiTheme="minorHAnsi" w:cstheme="minorHAnsi"/>
            <w:i/>
            <w:iCs/>
            <w:color w:val="000000" w:themeColor="text1"/>
            <w:u w:val="none"/>
          </w:rPr>
          <w:t>Cass. 5 agosto 2019, n. 20904</w:t>
        </w:r>
      </w:hyperlink>
      <w:r w:rsidR="00907F61" w:rsidRPr="007524A9">
        <w:rPr>
          <w:rFonts w:asciiTheme="minorHAnsi" w:hAnsiTheme="minorHAnsi" w:cstheme="minorHAnsi"/>
          <w:i/>
          <w:iCs/>
          <w:color w:val="000000" w:themeColor="text1"/>
        </w:rPr>
        <w:t>);</w:t>
      </w:r>
      <w:r w:rsidR="00907F61" w:rsidRPr="007524A9">
        <w:rPr>
          <w:rFonts w:asciiTheme="minorHAnsi" w:hAnsiTheme="minorHAnsi" w:cstheme="minorHAnsi"/>
        </w:rPr>
        <w:t xml:space="preserve"> </w:t>
      </w:r>
      <w:r w:rsidR="00907F61" w:rsidRPr="007524A9">
        <w:rPr>
          <w:rFonts w:asciiTheme="minorHAnsi" w:hAnsiTheme="minorHAnsi" w:cstheme="minorHAnsi"/>
          <w:i/>
          <w:iCs/>
          <w:color w:val="000000" w:themeColor="text1"/>
        </w:rPr>
        <w:t xml:space="preserve">la parte, quindi, non è dispensata dall'onere di indicare in modo specifico i fatti processuali alla base dell'errore denunciato e di trascrivere nel ricorso gli atti rilevanti, non essendo consentito il rinvio per </w:t>
      </w:r>
      <w:proofErr w:type="spellStart"/>
      <w:r w:rsidR="00907F61" w:rsidRPr="007524A9">
        <w:rPr>
          <w:rFonts w:asciiTheme="minorHAnsi" w:hAnsiTheme="minorHAnsi" w:cstheme="minorHAnsi"/>
          <w:i/>
          <w:iCs/>
          <w:color w:val="000000" w:themeColor="text1"/>
        </w:rPr>
        <w:t>relationem</w:t>
      </w:r>
      <w:proofErr w:type="spellEnd"/>
      <w:r w:rsidR="00907F61" w:rsidRPr="007524A9">
        <w:rPr>
          <w:rFonts w:asciiTheme="minorHAnsi" w:hAnsiTheme="minorHAnsi" w:cstheme="minorHAnsi"/>
          <w:i/>
          <w:iCs/>
          <w:color w:val="000000" w:themeColor="text1"/>
        </w:rPr>
        <w:t xml:space="preserve"> agli atti del giudizio di merito, perché la Corte di Cassazione, anche quando è giudice del fatto processuale, deve essere posta in condizione di valutare ex </w:t>
      </w:r>
      <w:proofErr w:type="spellStart"/>
      <w:r w:rsidR="00907F61" w:rsidRPr="007524A9">
        <w:rPr>
          <w:rFonts w:asciiTheme="minorHAnsi" w:hAnsiTheme="minorHAnsi" w:cstheme="minorHAnsi"/>
          <w:i/>
          <w:iCs/>
          <w:color w:val="000000" w:themeColor="text1"/>
        </w:rPr>
        <w:t>actis</w:t>
      </w:r>
      <w:proofErr w:type="spellEnd"/>
      <w:r w:rsidR="00907F61" w:rsidRPr="007524A9">
        <w:rPr>
          <w:rFonts w:asciiTheme="minorHAnsi" w:hAnsiTheme="minorHAnsi" w:cstheme="minorHAnsi"/>
          <w:i/>
          <w:iCs/>
          <w:color w:val="000000" w:themeColor="text1"/>
        </w:rPr>
        <w:t xml:space="preserve"> la fondatezza della censura e deve procedere solo ad una verifica degli atti stessi non già alla loro ricerca (v. </w:t>
      </w:r>
      <w:hyperlink r:id="rId18" w:history="1">
        <w:r w:rsidR="00907F61" w:rsidRPr="007524A9">
          <w:rPr>
            <w:rStyle w:val="Collegamentoipertestuale"/>
            <w:rFonts w:asciiTheme="minorHAnsi" w:eastAsiaTheme="majorEastAsia" w:hAnsiTheme="minorHAnsi" w:cstheme="minorHAnsi"/>
            <w:i/>
            <w:iCs/>
            <w:color w:val="000000" w:themeColor="text1"/>
            <w:u w:val="none"/>
          </w:rPr>
          <w:t>Cass. n. 15367/2014</w:t>
        </w:r>
      </w:hyperlink>
      <w:r w:rsidR="00907F61" w:rsidRPr="007524A9">
        <w:rPr>
          <w:rFonts w:asciiTheme="minorHAnsi" w:hAnsiTheme="minorHAnsi" w:cstheme="minorHAnsi"/>
          <w:i/>
          <w:iCs/>
          <w:color w:val="000000" w:themeColor="text1"/>
        </w:rPr>
        <w:t xml:space="preserve"> cit.; </w:t>
      </w:r>
      <w:hyperlink r:id="rId19" w:history="1">
        <w:r w:rsidR="00907F61" w:rsidRPr="007524A9">
          <w:rPr>
            <w:rStyle w:val="Collegamentoipertestuale"/>
            <w:rFonts w:asciiTheme="minorHAnsi" w:eastAsiaTheme="majorEastAsia" w:hAnsiTheme="minorHAnsi" w:cstheme="minorHAnsi"/>
            <w:i/>
            <w:iCs/>
            <w:color w:val="000000" w:themeColor="text1"/>
            <w:u w:val="none"/>
          </w:rPr>
          <w:t>Cass. 14 ottobre 2010, n. 21226</w:t>
        </w:r>
      </w:hyperlink>
      <w:r w:rsidR="00907F61" w:rsidRPr="007524A9">
        <w:rPr>
          <w:rFonts w:asciiTheme="minorHAnsi" w:hAnsiTheme="minorHAnsi" w:cstheme="minorHAnsi"/>
          <w:i/>
          <w:iCs/>
          <w:color w:val="000000" w:themeColor="text1"/>
        </w:rPr>
        <w:t>)</w:t>
      </w:r>
      <w:r w:rsidR="00907F61" w:rsidRPr="007524A9">
        <w:rPr>
          <w:rFonts w:asciiTheme="minorHAnsi" w:hAnsiTheme="minorHAnsi" w:cstheme="minorHAnsi"/>
        </w:rPr>
        <w:t xml:space="preserve"> [Cassazione Civile </w:t>
      </w:r>
      <w:proofErr w:type="spellStart"/>
      <w:r w:rsidR="00907F61" w:rsidRPr="007524A9">
        <w:rPr>
          <w:rFonts w:asciiTheme="minorHAnsi" w:hAnsiTheme="minorHAnsi" w:cstheme="minorHAnsi"/>
        </w:rPr>
        <w:t>ord</w:t>
      </w:r>
      <w:proofErr w:type="spellEnd"/>
      <w:r w:rsidR="00907F61" w:rsidRPr="007524A9">
        <w:rPr>
          <w:rFonts w:asciiTheme="minorHAnsi" w:hAnsiTheme="minorHAnsi" w:cstheme="minorHAnsi"/>
        </w:rPr>
        <w:t xml:space="preserve">. n. </w:t>
      </w:r>
      <w:r w:rsidR="00907F61" w:rsidRPr="007524A9">
        <w:rPr>
          <w:rFonts w:asciiTheme="minorHAnsi" w:hAnsiTheme="minorHAnsi" w:cstheme="minorHAnsi"/>
        </w:rPr>
        <w:lastRenderedPageBreak/>
        <w:t xml:space="preserve">26936/2022], ciò postula una violazione del principio di autosufficienza, secondo il quale </w:t>
      </w:r>
      <w:r w:rsidR="00907F61" w:rsidRPr="007524A9">
        <w:rPr>
          <w:rFonts w:asciiTheme="minorHAnsi" w:hAnsiTheme="minorHAnsi" w:cstheme="minorHAnsi"/>
          <w:color w:val="000000" w:themeColor="text1"/>
        </w:rPr>
        <w:t>il ricorso per Cassazione deve contenere tutti gli elementi necessari a consentire alla Corte di valutare la fondatezza delle censure, senza rinvii generici ad atti o documenti del giudizio di merito.</w:t>
      </w:r>
    </w:p>
    <w:p w14:paraId="555658F6" w14:textId="717A409B" w:rsidR="00E71E92" w:rsidRPr="007524A9" w:rsidRDefault="00E71E92" w:rsidP="00AB04DA">
      <w:pPr>
        <w:pStyle w:val="p1"/>
        <w:spacing w:before="0" w:beforeAutospacing="0" w:after="0" w:afterAutospacing="0" w:line="360" w:lineRule="auto"/>
        <w:jc w:val="both"/>
        <w:rPr>
          <w:rFonts w:asciiTheme="minorHAnsi" w:hAnsiTheme="minorHAnsi" w:cstheme="minorHAnsi"/>
          <w:i/>
          <w:iCs/>
        </w:rPr>
      </w:pPr>
      <w:r w:rsidRPr="007524A9">
        <w:rPr>
          <w:rFonts w:asciiTheme="minorHAnsi" w:hAnsiTheme="minorHAnsi" w:cstheme="minorHAnsi"/>
          <w:i/>
          <w:iCs/>
        </w:rPr>
        <w:t xml:space="preserve">Infatti, quando si impugna una motivazione per </w:t>
      </w:r>
      <w:proofErr w:type="spellStart"/>
      <w:r w:rsidRPr="007524A9">
        <w:rPr>
          <w:rFonts w:asciiTheme="minorHAnsi" w:hAnsiTheme="minorHAnsi" w:cstheme="minorHAnsi"/>
          <w:i/>
          <w:iCs/>
        </w:rPr>
        <w:t>relationem</w:t>
      </w:r>
      <w:proofErr w:type="spellEnd"/>
      <w:r w:rsidRPr="007524A9">
        <w:rPr>
          <w:rFonts w:asciiTheme="minorHAnsi" w:hAnsiTheme="minorHAnsi" w:cstheme="minorHAnsi"/>
          <w:i/>
          <w:iCs/>
        </w:rPr>
        <w:t xml:space="preserve"> enunciata dal giudice d'appello con l'indicazione della condivisione dell'affermazione del primo giudice che si è fatta propria, spetta al ricorrente in cassazione, come logica conseguenza dell'onere di specificazione del motivo e di adempimento dell'onere di cui all'</w:t>
      </w:r>
      <w:hyperlink r:id="rId20" w:history="1">
        <w:r w:rsidRPr="007524A9">
          <w:rPr>
            <w:rStyle w:val="Collegamentoipertestuale"/>
            <w:rFonts w:asciiTheme="minorHAnsi" w:eastAsiaTheme="majorEastAsia" w:hAnsiTheme="minorHAnsi" w:cstheme="minorHAnsi"/>
            <w:i/>
            <w:iCs/>
            <w:color w:val="000000" w:themeColor="text1"/>
            <w:u w:val="none"/>
          </w:rPr>
          <w:t>art. 366</w:t>
        </w:r>
      </w:hyperlink>
      <w:r w:rsidRPr="007524A9">
        <w:rPr>
          <w:rFonts w:asciiTheme="minorHAnsi" w:hAnsiTheme="minorHAnsi" w:cstheme="minorHAnsi"/>
          <w:i/>
          <w:iCs/>
          <w:color w:val="000000" w:themeColor="text1"/>
        </w:rPr>
        <w:t xml:space="preserve"> c</w:t>
      </w:r>
      <w:r w:rsidRPr="007524A9">
        <w:rPr>
          <w:rFonts w:asciiTheme="minorHAnsi" w:hAnsiTheme="minorHAnsi" w:cstheme="minorHAnsi"/>
          <w:i/>
          <w:iCs/>
        </w:rPr>
        <w:t>.p.c., n. 6</w:t>
      </w:r>
      <w:r w:rsidR="009A6FCE" w:rsidRPr="007524A9">
        <w:rPr>
          <w:rFonts w:asciiTheme="minorHAnsi" w:hAnsiTheme="minorHAnsi" w:cstheme="minorHAnsi"/>
          <w:i/>
          <w:iCs/>
        </w:rPr>
        <w:t>,</w:t>
      </w:r>
      <w:r w:rsidRPr="007524A9">
        <w:rPr>
          <w:rFonts w:asciiTheme="minorHAnsi" w:hAnsiTheme="minorHAnsi" w:cstheme="minorHAnsi"/>
          <w:i/>
          <w:iCs/>
        </w:rPr>
        <w:t xml:space="preserve"> non solo identificare il tenore della motivazione del primo giudice che ha giustificato l'affermazione condivisa dal giudice d'appello, ma anche indicare quali critiche erano state rivolte ad essa con l'atto di appello. </w:t>
      </w:r>
      <w:r w:rsidR="004F1828" w:rsidRPr="007524A9">
        <w:rPr>
          <w:rFonts w:asciiTheme="minorHAnsi" w:hAnsiTheme="minorHAnsi" w:cstheme="minorHAnsi"/>
          <w:i/>
          <w:iCs/>
        </w:rPr>
        <w:t>È</w:t>
      </w:r>
      <w:r w:rsidRPr="007524A9">
        <w:rPr>
          <w:rFonts w:asciiTheme="minorHAnsi" w:hAnsiTheme="minorHAnsi" w:cstheme="minorHAnsi"/>
          <w:i/>
          <w:iCs/>
        </w:rPr>
        <w:t xml:space="preserve"> palese che la ritualità della motivazione per </w:t>
      </w:r>
      <w:proofErr w:type="spellStart"/>
      <w:r w:rsidRPr="007524A9">
        <w:rPr>
          <w:rFonts w:asciiTheme="minorHAnsi" w:hAnsiTheme="minorHAnsi" w:cstheme="minorHAnsi"/>
          <w:i/>
          <w:iCs/>
        </w:rPr>
        <w:t>relationem</w:t>
      </w:r>
      <w:proofErr w:type="spellEnd"/>
      <w:r w:rsidRPr="007524A9">
        <w:rPr>
          <w:rFonts w:asciiTheme="minorHAnsi" w:hAnsiTheme="minorHAnsi" w:cstheme="minorHAnsi"/>
          <w:i/>
          <w:iCs/>
        </w:rPr>
        <w:t xml:space="preserve"> non si può apprezzare senza conoscere quel tenore e quelle critiche</w:t>
      </w:r>
      <w:r w:rsidR="001A3ED9" w:rsidRPr="007524A9">
        <w:rPr>
          <w:rFonts w:asciiTheme="minorHAnsi" w:hAnsiTheme="minorHAnsi" w:cstheme="minorHAnsi"/>
          <w:i/>
          <w:iCs/>
        </w:rPr>
        <w:t xml:space="preserve"> </w:t>
      </w:r>
      <w:r w:rsidR="001A3ED9" w:rsidRPr="007524A9">
        <w:rPr>
          <w:rFonts w:asciiTheme="minorHAnsi" w:hAnsiTheme="minorHAnsi" w:cstheme="minorHAnsi"/>
        </w:rPr>
        <w:t>[</w:t>
      </w:r>
      <w:r w:rsidRPr="007524A9">
        <w:rPr>
          <w:rFonts w:asciiTheme="minorHAnsi" w:hAnsiTheme="minorHAnsi" w:cstheme="minorHAnsi"/>
        </w:rPr>
        <w:t xml:space="preserve">Cassazione Sez. Unite </w:t>
      </w:r>
      <w:proofErr w:type="spellStart"/>
      <w:r w:rsidRPr="007524A9">
        <w:rPr>
          <w:rFonts w:asciiTheme="minorHAnsi" w:hAnsiTheme="minorHAnsi" w:cstheme="minorHAnsi"/>
        </w:rPr>
        <w:t>sent</w:t>
      </w:r>
      <w:proofErr w:type="spellEnd"/>
      <w:r w:rsidRPr="007524A9">
        <w:rPr>
          <w:rFonts w:asciiTheme="minorHAnsi" w:hAnsiTheme="minorHAnsi" w:cstheme="minorHAnsi"/>
        </w:rPr>
        <w:t>. n. 7074/2017].</w:t>
      </w:r>
    </w:p>
    <w:p w14:paraId="36395050" w14:textId="401D138B" w:rsidR="00B37463" w:rsidRPr="007524A9" w:rsidRDefault="00B33603" w:rsidP="009A659D">
      <w:pPr>
        <w:pStyle w:val="p1"/>
        <w:numPr>
          <w:ilvl w:val="0"/>
          <w:numId w:val="11"/>
        </w:numPr>
        <w:tabs>
          <w:tab w:val="left" w:pos="426"/>
        </w:tabs>
        <w:spacing w:before="0" w:beforeAutospacing="0" w:after="0" w:afterAutospacing="0" w:line="360" w:lineRule="auto"/>
        <w:ind w:left="0" w:firstLine="0"/>
        <w:jc w:val="both"/>
        <w:rPr>
          <w:rFonts w:asciiTheme="minorHAnsi" w:hAnsiTheme="minorHAnsi" w:cstheme="minorHAnsi"/>
        </w:rPr>
      </w:pPr>
      <w:r w:rsidRPr="007524A9">
        <w:rPr>
          <w:rFonts w:asciiTheme="minorHAnsi" w:hAnsiTheme="minorHAnsi" w:cstheme="minorHAnsi"/>
        </w:rPr>
        <w:t>Ma non solo.</w:t>
      </w:r>
    </w:p>
    <w:p w14:paraId="31144500" w14:textId="20D3B640" w:rsidR="001A3ED9" w:rsidRPr="007524A9" w:rsidRDefault="001A3ED9" w:rsidP="001A3ED9">
      <w:pPr>
        <w:pStyle w:val="p1"/>
        <w:spacing w:before="0" w:beforeAutospacing="0" w:after="0" w:afterAutospacing="0" w:line="360" w:lineRule="auto"/>
        <w:jc w:val="both"/>
        <w:rPr>
          <w:rFonts w:asciiTheme="minorHAnsi" w:hAnsiTheme="minorHAnsi" w:cstheme="minorHAnsi"/>
          <w:color w:val="000000" w:themeColor="text1"/>
        </w:rPr>
      </w:pPr>
      <w:r w:rsidRPr="007524A9">
        <w:rPr>
          <w:rFonts w:asciiTheme="minorHAnsi" w:hAnsiTheme="minorHAnsi" w:cstheme="minorHAnsi"/>
        </w:rPr>
        <w:t xml:space="preserve">Sul punto occorre richiamare quale caposaldo il principio enunciato dalle Sezioni Unite della Suprema Corte e ripreso per consolidata giurisprudenza, secondo il quale </w:t>
      </w:r>
      <w:r w:rsidRPr="007524A9">
        <w:rPr>
          <w:rFonts w:asciiTheme="minorHAnsi" w:hAnsiTheme="minorHAnsi" w:cstheme="minorHAnsi"/>
          <w:i/>
          <w:iCs/>
          <w:color w:val="000000" w:themeColor="text1"/>
        </w:rPr>
        <w:t xml:space="preserve">In primo luogo occorre ribadire che la motivazione per </w:t>
      </w:r>
      <w:proofErr w:type="spellStart"/>
      <w:r w:rsidRPr="007524A9">
        <w:rPr>
          <w:rFonts w:asciiTheme="minorHAnsi" w:hAnsiTheme="minorHAnsi" w:cstheme="minorHAnsi"/>
          <w:i/>
          <w:iCs/>
          <w:color w:val="000000" w:themeColor="text1"/>
        </w:rPr>
        <w:t>relationem</w:t>
      </w:r>
      <w:proofErr w:type="spellEnd"/>
      <w:r w:rsidRPr="007524A9">
        <w:rPr>
          <w:rFonts w:asciiTheme="minorHAnsi" w:hAnsiTheme="minorHAnsi" w:cstheme="minorHAnsi"/>
          <w:i/>
          <w:iCs/>
          <w:color w:val="000000" w:themeColor="text1"/>
        </w:rPr>
        <w:t xml:space="preserve"> non è una motivazione inesistente. La sentenza d'appello può essere motivata ‘per </w:t>
      </w:r>
      <w:proofErr w:type="spellStart"/>
      <w:r w:rsidRPr="007524A9">
        <w:rPr>
          <w:rFonts w:asciiTheme="minorHAnsi" w:hAnsiTheme="minorHAnsi" w:cstheme="minorHAnsi"/>
          <w:i/>
          <w:iCs/>
          <w:color w:val="000000" w:themeColor="text1"/>
        </w:rPr>
        <w:t>relationem</w:t>
      </w:r>
      <w:proofErr w:type="spellEnd"/>
      <w:r w:rsidRPr="007524A9">
        <w:rPr>
          <w:rFonts w:asciiTheme="minorHAnsi" w:hAnsiTheme="minorHAnsi" w:cstheme="minorHAnsi"/>
          <w:i/>
          <w:iCs/>
          <w:color w:val="000000" w:themeColor="text1"/>
        </w:rPr>
        <w:t>’, purché il giudice del gravame dia conto, sia pur sinteticamente, delle ragioni della conferma in relazione ai motivi di impugnazione ovvero della identità delle questioni prospettate in appello rispetto a quelle già esaminate in primo grado, sicché dalla lettura della parte motiva di entrambe le sentenze possa ricavarsi un percorso argomentativo esaustivo e coerente, mentre va cassata la decisione con cui la corte territoriale si sia limitata ad aderire alla pronunzia di primo grado in modo acritico senza alcuna valutazione di infondatezza dei motivi di gravame (</w:t>
      </w:r>
      <w:hyperlink r:id="rId21" w:history="1">
        <w:r w:rsidRPr="007524A9">
          <w:rPr>
            <w:rStyle w:val="Collegamentoipertestuale"/>
            <w:rFonts w:asciiTheme="minorHAnsi" w:eastAsiaTheme="majorEastAsia" w:hAnsiTheme="minorHAnsi" w:cstheme="minorHAnsi"/>
            <w:i/>
            <w:iCs/>
            <w:color w:val="000000" w:themeColor="text1"/>
            <w:u w:val="none"/>
          </w:rPr>
          <w:t xml:space="preserve">Cass. sez. lavoro </w:t>
        </w:r>
        <w:proofErr w:type="spellStart"/>
        <w:r w:rsidRPr="007524A9">
          <w:rPr>
            <w:rStyle w:val="Collegamentoipertestuale"/>
            <w:rFonts w:asciiTheme="minorHAnsi" w:eastAsiaTheme="majorEastAsia" w:hAnsiTheme="minorHAnsi" w:cstheme="minorHAnsi"/>
            <w:i/>
            <w:iCs/>
            <w:color w:val="000000" w:themeColor="text1"/>
            <w:u w:val="none"/>
          </w:rPr>
          <w:t>ord</w:t>
        </w:r>
        <w:proofErr w:type="spellEnd"/>
        <w:r w:rsidRPr="007524A9">
          <w:rPr>
            <w:rStyle w:val="Collegamentoipertestuale"/>
            <w:rFonts w:asciiTheme="minorHAnsi" w:eastAsiaTheme="majorEastAsia" w:hAnsiTheme="minorHAnsi" w:cstheme="minorHAnsi"/>
            <w:i/>
            <w:iCs/>
            <w:color w:val="000000" w:themeColor="text1"/>
            <w:u w:val="none"/>
          </w:rPr>
          <w:t>. n. 28139 del 5 novembre 2018</w:t>
        </w:r>
      </w:hyperlink>
      <w:r w:rsidRPr="007524A9">
        <w:rPr>
          <w:rFonts w:asciiTheme="minorHAnsi" w:hAnsiTheme="minorHAnsi" w:cstheme="minorHAnsi"/>
          <w:i/>
          <w:iCs/>
          <w:color w:val="000000" w:themeColor="text1"/>
        </w:rPr>
        <w:t xml:space="preserve">; Cass. sez. VI-L n. 21978 dell'11 settembre 2018; Cass. civ. sez. II n. 18754 del 23 settembre 2019). In tema di ricorso per cassazione, ove la sentenza di appello sia motivata per </w:t>
      </w:r>
      <w:proofErr w:type="spellStart"/>
      <w:r w:rsidRPr="007524A9">
        <w:rPr>
          <w:rFonts w:asciiTheme="minorHAnsi" w:hAnsiTheme="minorHAnsi" w:cstheme="minorHAnsi"/>
          <w:i/>
          <w:iCs/>
          <w:color w:val="000000" w:themeColor="text1"/>
        </w:rPr>
        <w:t>relationem</w:t>
      </w:r>
      <w:proofErr w:type="spellEnd"/>
      <w:r w:rsidRPr="007524A9">
        <w:rPr>
          <w:rFonts w:asciiTheme="minorHAnsi" w:hAnsiTheme="minorHAnsi" w:cstheme="minorHAnsi"/>
          <w:i/>
          <w:iCs/>
          <w:color w:val="000000" w:themeColor="text1"/>
        </w:rPr>
        <w:t xml:space="preserve"> alla pronuncia di primo grado, al fine ritenere assolto l'onere ex</w:t>
      </w:r>
      <w:r w:rsidRPr="007524A9">
        <w:rPr>
          <w:rStyle w:val="apple-converted-space"/>
          <w:rFonts w:asciiTheme="minorHAnsi" w:eastAsiaTheme="majorEastAsia" w:hAnsiTheme="minorHAnsi" w:cstheme="minorHAnsi"/>
          <w:i/>
          <w:iCs/>
          <w:color w:val="000000" w:themeColor="text1"/>
        </w:rPr>
        <w:t xml:space="preserve"> art. 366</w:t>
      </w:r>
      <w:r w:rsidRPr="007524A9">
        <w:rPr>
          <w:rFonts w:asciiTheme="minorHAnsi" w:hAnsiTheme="minorHAnsi" w:cstheme="minorHAnsi"/>
          <w:i/>
          <w:iCs/>
          <w:color w:val="000000" w:themeColor="text1"/>
        </w:rPr>
        <w:t xml:space="preserve"> c.p.c., n. 6, occorre che la censura identifichi il tenore della motivazione del primo giudice specificamente condivisa dal giudice di appello, nonché le critiche ad essa mosse con l'atto di gravame, che è necessario individuare per evidenziare che, con la resa motivazione, il giudice di secondo grado ha, in realtà, eluso i suoi doveri motivazionali </w:t>
      </w:r>
      <w:r w:rsidRPr="007524A9">
        <w:rPr>
          <w:rFonts w:asciiTheme="minorHAnsi" w:hAnsiTheme="minorHAnsi" w:cstheme="minorHAnsi"/>
          <w:color w:val="000000" w:themeColor="text1"/>
        </w:rPr>
        <w:t xml:space="preserve">[Cassazione Sez. Unite </w:t>
      </w:r>
      <w:proofErr w:type="spellStart"/>
      <w:r w:rsidRPr="007524A9">
        <w:rPr>
          <w:rFonts w:asciiTheme="minorHAnsi" w:hAnsiTheme="minorHAnsi" w:cstheme="minorHAnsi"/>
          <w:color w:val="000000" w:themeColor="text1"/>
        </w:rPr>
        <w:t>sent</w:t>
      </w:r>
      <w:proofErr w:type="spellEnd"/>
      <w:r w:rsidRPr="007524A9">
        <w:rPr>
          <w:rFonts w:asciiTheme="minorHAnsi" w:hAnsiTheme="minorHAnsi" w:cstheme="minorHAnsi"/>
          <w:color w:val="000000" w:themeColor="text1"/>
        </w:rPr>
        <w:t>. n. 7074/2017].</w:t>
      </w:r>
    </w:p>
    <w:p w14:paraId="34A8215A" w14:textId="750383B2" w:rsidR="001A3ED9" w:rsidRPr="007524A9" w:rsidRDefault="001A3ED9" w:rsidP="00AB04DA">
      <w:pPr>
        <w:pStyle w:val="p1"/>
        <w:spacing w:before="0" w:beforeAutospacing="0" w:after="0" w:afterAutospacing="0" w:line="360" w:lineRule="auto"/>
        <w:jc w:val="both"/>
        <w:rPr>
          <w:rFonts w:asciiTheme="minorHAnsi" w:hAnsiTheme="minorHAnsi" w:cstheme="minorHAnsi"/>
          <w:color w:val="000000" w:themeColor="text1"/>
        </w:rPr>
      </w:pPr>
      <w:r w:rsidRPr="007524A9">
        <w:rPr>
          <w:rFonts w:asciiTheme="minorHAnsi" w:hAnsiTheme="minorHAnsi" w:cstheme="minorHAnsi"/>
          <w:color w:val="000000" w:themeColor="text1"/>
        </w:rPr>
        <w:lastRenderedPageBreak/>
        <w:t xml:space="preserve">Già l’esame della sentenza </w:t>
      </w:r>
      <w:proofErr w:type="spellStart"/>
      <w:r w:rsidRPr="007524A9">
        <w:rPr>
          <w:rFonts w:asciiTheme="minorHAnsi" w:hAnsiTheme="minorHAnsi" w:cstheme="minorHAnsi"/>
          <w:i/>
          <w:iCs/>
          <w:color w:val="000000" w:themeColor="text1"/>
        </w:rPr>
        <w:t>ictu</w:t>
      </w:r>
      <w:proofErr w:type="spellEnd"/>
      <w:r w:rsidRPr="007524A9">
        <w:rPr>
          <w:rFonts w:asciiTheme="minorHAnsi" w:hAnsiTheme="minorHAnsi" w:cstheme="minorHAnsi"/>
          <w:i/>
          <w:iCs/>
          <w:color w:val="000000" w:themeColor="text1"/>
        </w:rPr>
        <w:t xml:space="preserve"> oculi</w:t>
      </w:r>
      <w:r w:rsidRPr="007524A9">
        <w:rPr>
          <w:rFonts w:asciiTheme="minorHAnsi" w:hAnsiTheme="minorHAnsi" w:cstheme="minorHAnsi"/>
          <w:color w:val="000000" w:themeColor="text1"/>
        </w:rPr>
        <w:t>, in adesione al principio appena richiamato, presenta evidenze che minano la fondatezza del motivo argomentato dalla controparte.</w:t>
      </w:r>
    </w:p>
    <w:p w14:paraId="7B77A567" w14:textId="64A14013" w:rsidR="00B33603" w:rsidRPr="007524A9" w:rsidRDefault="00566006" w:rsidP="0077431B">
      <w:pPr>
        <w:pStyle w:val="p1"/>
        <w:numPr>
          <w:ilvl w:val="0"/>
          <w:numId w:val="11"/>
        </w:numPr>
        <w:tabs>
          <w:tab w:val="left" w:pos="426"/>
        </w:tabs>
        <w:spacing w:before="0" w:beforeAutospacing="0" w:after="0" w:afterAutospacing="0" w:line="360" w:lineRule="auto"/>
        <w:ind w:left="0" w:firstLine="0"/>
        <w:jc w:val="both"/>
        <w:rPr>
          <w:rFonts w:asciiTheme="minorHAnsi" w:hAnsiTheme="minorHAnsi" w:cstheme="minorHAnsi"/>
        </w:rPr>
      </w:pPr>
      <w:r w:rsidRPr="007524A9">
        <w:rPr>
          <w:rFonts w:asciiTheme="minorHAnsi" w:hAnsiTheme="minorHAnsi" w:cstheme="minorHAnsi"/>
        </w:rPr>
        <w:t xml:space="preserve">Infatti a </w:t>
      </w:r>
      <w:r w:rsidR="00B33603" w:rsidRPr="007524A9">
        <w:rPr>
          <w:rFonts w:asciiTheme="minorHAnsi" w:hAnsiTheme="minorHAnsi" w:cstheme="minorHAnsi"/>
        </w:rPr>
        <w:t>ben vedere il motivo non solo è inammissibile in quanto carente di allegazione delle ragioni che avrebbero determinato la lesione e provocato il pregiudizio, ma esaminando il contenuto del provvedimento impugnato non se ne comprende la fondatezza, dato che, al contrario, risultano osservate le prescrizioni al principio del giusto processo invocate dall’appellante.</w:t>
      </w:r>
    </w:p>
    <w:p w14:paraId="7681077C" w14:textId="00973C3A" w:rsidR="00B33603" w:rsidRPr="007524A9" w:rsidRDefault="0077431B" w:rsidP="0077431B">
      <w:pPr>
        <w:pStyle w:val="p1"/>
        <w:tabs>
          <w:tab w:val="left" w:pos="426"/>
        </w:tabs>
        <w:spacing w:before="0" w:beforeAutospacing="0" w:after="0" w:afterAutospacing="0" w:line="360" w:lineRule="auto"/>
        <w:jc w:val="both"/>
        <w:rPr>
          <w:rFonts w:ascii="Calibri" w:hAnsi="Calibri" w:cs="Calibri"/>
          <w:i/>
          <w:iCs/>
        </w:rPr>
      </w:pPr>
      <w:r w:rsidRPr="007524A9">
        <w:rPr>
          <w:rFonts w:asciiTheme="minorHAnsi" w:hAnsiTheme="minorHAnsi" w:cstheme="minorHAnsi"/>
        </w:rPr>
        <w:t xml:space="preserve">I </w:t>
      </w:r>
      <w:r w:rsidR="00B33603" w:rsidRPr="007524A9">
        <w:rPr>
          <w:rFonts w:asciiTheme="minorHAnsi" w:hAnsiTheme="minorHAnsi" w:cstheme="minorHAnsi"/>
        </w:rPr>
        <w:t xml:space="preserve">Giudici di appello non si limitano a una mera </w:t>
      </w:r>
      <w:r w:rsidR="00BF33F8" w:rsidRPr="007524A9">
        <w:rPr>
          <w:rFonts w:asciiTheme="minorHAnsi" w:hAnsiTheme="minorHAnsi" w:cstheme="minorHAnsi"/>
        </w:rPr>
        <w:t xml:space="preserve">e laconica </w:t>
      </w:r>
      <w:r w:rsidR="00B33603" w:rsidRPr="007524A9">
        <w:rPr>
          <w:rFonts w:asciiTheme="minorHAnsi" w:hAnsiTheme="minorHAnsi" w:cstheme="minorHAnsi"/>
        </w:rPr>
        <w:t xml:space="preserve">condivisione </w:t>
      </w:r>
      <w:r w:rsidR="00B33603" w:rsidRPr="007524A9">
        <w:rPr>
          <w:rFonts w:asciiTheme="minorHAnsi" w:hAnsiTheme="minorHAnsi" w:cstheme="minorHAnsi"/>
          <w:i/>
          <w:iCs/>
        </w:rPr>
        <w:t xml:space="preserve">per </w:t>
      </w:r>
      <w:proofErr w:type="spellStart"/>
      <w:r w:rsidR="00B33603" w:rsidRPr="007524A9">
        <w:rPr>
          <w:rFonts w:asciiTheme="minorHAnsi" w:hAnsiTheme="minorHAnsi" w:cstheme="minorHAnsi"/>
          <w:i/>
          <w:iCs/>
        </w:rPr>
        <w:t>relationem</w:t>
      </w:r>
      <w:proofErr w:type="spellEnd"/>
      <w:r w:rsidR="00B33603" w:rsidRPr="007524A9">
        <w:rPr>
          <w:rFonts w:asciiTheme="minorHAnsi" w:hAnsiTheme="minorHAnsi" w:cstheme="minorHAnsi"/>
        </w:rPr>
        <w:t xml:space="preserve"> del giudizio di prime cure, ma anzi </w:t>
      </w:r>
      <w:r w:rsidR="00BF33F8" w:rsidRPr="007524A9">
        <w:rPr>
          <w:rFonts w:asciiTheme="minorHAnsi" w:hAnsiTheme="minorHAnsi" w:cstheme="minorHAnsi"/>
        </w:rPr>
        <w:t xml:space="preserve">- </w:t>
      </w:r>
      <w:r w:rsidR="00B33603" w:rsidRPr="007524A9">
        <w:rPr>
          <w:rFonts w:asciiTheme="minorHAnsi" w:hAnsiTheme="minorHAnsi" w:cstheme="minorHAnsi"/>
        </w:rPr>
        <w:t>esercitando</w:t>
      </w:r>
      <w:r w:rsidR="00BF33F8" w:rsidRPr="007524A9">
        <w:rPr>
          <w:rFonts w:asciiTheme="minorHAnsi" w:hAnsiTheme="minorHAnsi" w:cstheme="minorHAnsi"/>
        </w:rPr>
        <w:t xml:space="preserve"> una preventiva analisi dei canoni ermeneutici sottesi al principio di diritto che consente l’applicazione dell’accertamento induttivo -</w:t>
      </w:r>
      <w:r w:rsidR="00B33603" w:rsidRPr="007524A9">
        <w:rPr>
          <w:rFonts w:asciiTheme="minorHAnsi" w:hAnsiTheme="minorHAnsi" w:cstheme="minorHAnsi"/>
        </w:rPr>
        <w:t xml:space="preserve"> spiegano che “</w:t>
      </w:r>
      <w:r w:rsidR="00B33603" w:rsidRPr="007524A9">
        <w:rPr>
          <w:rFonts w:ascii="Calibri" w:hAnsi="Calibri" w:cs="Calibri"/>
          <w:i/>
          <w:iCs/>
        </w:rPr>
        <w:t xml:space="preserve">il ricorso a detto metodo accertativo (accertamento induttivo), che </w:t>
      </w:r>
      <w:r w:rsidR="00B33603" w:rsidRPr="007524A9">
        <w:rPr>
          <w:rFonts w:ascii="Calibri" w:hAnsi="Calibri" w:cs="Calibri"/>
          <w:b/>
          <w:bCs/>
          <w:i/>
          <w:iCs/>
        </w:rPr>
        <w:t>la legge limita a premesse rigorose discostandosi dalla proposta normativa generale dell'accertamento analitico dei redditi attraverso l'analisi delle componenti positive e negative dello stesso, nel caso di specie non avrebbe dovuto/potuto applicarsi</w:t>
      </w:r>
      <w:r w:rsidR="00BF33F8" w:rsidRPr="007524A9">
        <w:rPr>
          <w:rFonts w:ascii="Calibri" w:hAnsi="Calibri" w:cs="Calibri"/>
        </w:rPr>
        <w:t>”</w:t>
      </w:r>
      <w:r w:rsidR="00B33603" w:rsidRPr="007524A9">
        <w:rPr>
          <w:rFonts w:ascii="Calibri" w:hAnsi="Calibri" w:cs="Calibri"/>
          <w:i/>
          <w:iCs/>
        </w:rPr>
        <w:t>.</w:t>
      </w:r>
    </w:p>
    <w:p w14:paraId="62805A6E" w14:textId="205C481D" w:rsidR="00BF33F8" w:rsidRPr="007524A9" w:rsidRDefault="00BF33F8" w:rsidP="00AB04DA">
      <w:pPr>
        <w:pStyle w:val="p1"/>
        <w:spacing w:before="0" w:beforeAutospacing="0" w:after="0" w:afterAutospacing="0" w:line="360" w:lineRule="auto"/>
        <w:jc w:val="both"/>
        <w:rPr>
          <w:rFonts w:asciiTheme="minorHAnsi" w:hAnsiTheme="minorHAnsi" w:cstheme="minorHAnsi"/>
        </w:rPr>
      </w:pPr>
      <w:r w:rsidRPr="007524A9">
        <w:rPr>
          <w:rFonts w:ascii="Calibri" w:hAnsi="Calibri" w:cs="Calibri"/>
        </w:rPr>
        <w:t>Non di meno, premettono, “</w:t>
      </w:r>
      <w:r w:rsidRPr="007524A9">
        <w:rPr>
          <w:rFonts w:ascii="Calibri" w:hAnsi="Calibri" w:cs="Calibri"/>
          <w:i/>
          <w:iCs/>
        </w:rPr>
        <w:t>previa</w:t>
      </w:r>
      <w:r w:rsidRPr="007524A9">
        <w:rPr>
          <w:rFonts w:ascii="Calibri" w:hAnsi="Calibri" w:cs="Calibri"/>
        </w:rPr>
        <w:t xml:space="preserve"> </w:t>
      </w:r>
      <w:r w:rsidRPr="007524A9">
        <w:rPr>
          <w:rFonts w:asciiTheme="minorHAnsi" w:hAnsiTheme="minorHAnsi" w:cstheme="minorHAnsi"/>
          <w:i/>
          <w:iCs/>
        </w:rPr>
        <w:t>specifica ed adeguata considerazione delle allegazioni difensive, degli elementi di prova e dei motivi di appello</w:t>
      </w:r>
      <w:r w:rsidRPr="007524A9">
        <w:rPr>
          <w:rFonts w:asciiTheme="minorHAnsi" w:hAnsiTheme="minorHAnsi" w:cstheme="minorHAnsi"/>
        </w:rPr>
        <w:t>” che “</w:t>
      </w:r>
      <w:r w:rsidRPr="007524A9">
        <w:rPr>
          <w:rFonts w:asciiTheme="minorHAnsi" w:hAnsiTheme="minorHAnsi" w:cstheme="minorHAnsi"/>
          <w:i/>
          <w:iCs/>
        </w:rPr>
        <w:t xml:space="preserve">Con ricorso in appello ritualmente proposto dalla Agenzia delle entrate di Modena richiedente la riforma della sentenza n. 428 della Commissione Tributaria provinciale di Modena Sezione III, resa nella udienza del 22/9/2021 è depositata il 7/9/2021, su Avvisi di Accertamento in tema di IRES ed IRAP per l'anno 2015, </w:t>
      </w:r>
      <w:r w:rsidRPr="007524A9">
        <w:rPr>
          <w:rFonts w:asciiTheme="minorHAnsi" w:hAnsiTheme="minorHAnsi" w:cstheme="minorHAnsi"/>
          <w:b/>
          <w:bCs/>
          <w:i/>
          <w:iCs/>
        </w:rPr>
        <w:t>si richiede la riforma della sentenza impugnata, con salvezza degli atti accertativi, riproponendo</w:t>
      </w:r>
      <w:r w:rsidR="00163188" w:rsidRPr="007524A9">
        <w:rPr>
          <w:rFonts w:asciiTheme="minorHAnsi" w:hAnsiTheme="minorHAnsi" w:cstheme="minorHAnsi"/>
          <w:b/>
          <w:bCs/>
          <w:i/>
          <w:iCs/>
        </w:rPr>
        <w:t>,</w:t>
      </w:r>
      <w:r w:rsidRPr="007524A9">
        <w:rPr>
          <w:rFonts w:asciiTheme="minorHAnsi" w:hAnsiTheme="minorHAnsi" w:cstheme="minorHAnsi"/>
          <w:b/>
          <w:bCs/>
          <w:i/>
          <w:iCs/>
        </w:rPr>
        <w:t xml:space="preserve"> con le doglianze avverso il contenuto e l'argomentare la suddetta sentenza, le ragioni del ricorso introduttivo, principalmente riguardo alla utilizzabilità</w:t>
      </w:r>
      <w:r w:rsidR="00163188" w:rsidRPr="007524A9">
        <w:rPr>
          <w:rFonts w:asciiTheme="minorHAnsi" w:hAnsiTheme="minorHAnsi" w:cstheme="minorHAnsi"/>
          <w:b/>
          <w:bCs/>
          <w:i/>
          <w:iCs/>
        </w:rPr>
        <w:t>,</w:t>
      </w:r>
      <w:r w:rsidRPr="007524A9">
        <w:rPr>
          <w:rFonts w:asciiTheme="minorHAnsi" w:hAnsiTheme="minorHAnsi" w:cstheme="minorHAnsi"/>
          <w:b/>
          <w:bCs/>
          <w:i/>
          <w:iCs/>
        </w:rPr>
        <w:t xml:space="preserve"> date le premesse del caso di specie, del ricorso all'accertamento induttivo del reddito nei confronti della </w:t>
      </w:r>
      <w:r w:rsidR="00163188" w:rsidRPr="007524A9">
        <w:rPr>
          <w:rFonts w:asciiTheme="minorHAnsi" w:hAnsiTheme="minorHAnsi" w:cstheme="minorHAnsi"/>
          <w:b/>
          <w:bCs/>
          <w:i/>
          <w:iCs/>
        </w:rPr>
        <w:t>S</w:t>
      </w:r>
      <w:r w:rsidRPr="007524A9">
        <w:rPr>
          <w:rFonts w:asciiTheme="minorHAnsi" w:hAnsiTheme="minorHAnsi" w:cstheme="minorHAnsi"/>
          <w:b/>
          <w:bCs/>
          <w:i/>
          <w:iCs/>
        </w:rPr>
        <w:t xml:space="preserve">pa </w:t>
      </w:r>
      <w:proofErr w:type="spellStart"/>
      <w:r w:rsidR="00163188" w:rsidRPr="007524A9">
        <w:rPr>
          <w:rFonts w:asciiTheme="minorHAnsi" w:hAnsiTheme="minorHAnsi" w:cstheme="minorHAnsi"/>
          <w:b/>
          <w:bCs/>
          <w:i/>
          <w:iCs/>
        </w:rPr>
        <w:t>M</w:t>
      </w:r>
      <w:r w:rsidRPr="007524A9">
        <w:rPr>
          <w:rFonts w:asciiTheme="minorHAnsi" w:hAnsiTheme="minorHAnsi" w:cstheme="minorHAnsi"/>
          <w:b/>
          <w:bCs/>
          <w:i/>
          <w:iCs/>
        </w:rPr>
        <w:t>etalsider</w:t>
      </w:r>
      <w:proofErr w:type="spellEnd"/>
      <w:r w:rsidRPr="007524A9">
        <w:rPr>
          <w:rFonts w:asciiTheme="minorHAnsi" w:hAnsiTheme="minorHAnsi" w:cstheme="minorHAnsi"/>
          <w:b/>
          <w:bCs/>
          <w:i/>
          <w:iCs/>
        </w:rPr>
        <w:t>, ex art</w:t>
      </w:r>
      <w:r w:rsidR="00163188" w:rsidRPr="007524A9">
        <w:rPr>
          <w:rFonts w:asciiTheme="minorHAnsi" w:hAnsiTheme="minorHAnsi" w:cstheme="minorHAnsi"/>
          <w:b/>
          <w:bCs/>
          <w:i/>
          <w:iCs/>
        </w:rPr>
        <w:t>.</w:t>
      </w:r>
      <w:r w:rsidRPr="007524A9">
        <w:rPr>
          <w:rFonts w:asciiTheme="minorHAnsi" w:hAnsiTheme="minorHAnsi" w:cstheme="minorHAnsi"/>
          <w:b/>
          <w:bCs/>
          <w:i/>
          <w:iCs/>
        </w:rPr>
        <w:t xml:space="preserve"> 39,</w:t>
      </w:r>
      <w:r w:rsidR="00163188" w:rsidRPr="007524A9">
        <w:rPr>
          <w:rFonts w:asciiTheme="minorHAnsi" w:hAnsiTheme="minorHAnsi" w:cstheme="minorHAnsi"/>
          <w:b/>
          <w:bCs/>
          <w:i/>
          <w:iCs/>
        </w:rPr>
        <w:t xml:space="preserve"> </w:t>
      </w:r>
      <w:r w:rsidRPr="007524A9">
        <w:rPr>
          <w:rFonts w:asciiTheme="minorHAnsi" w:hAnsiTheme="minorHAnsi" w:cstheme="minorHAnsi"/>
          <w:b/>
          <w:bCs/>
          <w:i/>
          <w:iCs/>
        </w:rPr>
        <w:t xml:space="preserve">1 comma, la lettera </w:t>
      </w:r>
      <w:r w:rsidR="00163188" w:rsidRPr="007524A9">
        <w:rPr>
          <w:rFonts w:asciiTheme="minorHAnsi" w:hAnsiTheme="minorHAnsi" w:cstheme="minorHAnsi"/>
          <w:b/>
          <w:bCs/>
          <w:i/>
          <w:iCs/>
        </w:rPr>
        <w:t>d)</w:t>
      </w:r>
      <w:r w:rsidRPr="007524A9">
        <w:rPr>
          <w:rFonts w:asciiTheme="minorHAnsi" w:hAnsiTheme="minorHAnsi" w:cstheme="minorHAnsi"/>
          <w:b/>
          <w:bCs/>
          <w:i/>
          <w:iCs/>
        </w:rPr>
        <w:t xml:space="preserve"> del DPR </w:t>
      </w:r>
      <w:r w:rsidR="00163188" w:rsidRPr="007524A9">
        <w:rPr>
          <w:rFonts w:asciiTheme="minorHAnsi" w:hAnsiTheme="minorHAnsi" w:cstheme="minorHAnsi"/>
          <w:b/>
          <w:bCs/>
          <w:i/>
          <w:iCs/>
        </w:rPr>
        <w:t xml:space="preserve">n. </w:t>
      </w:r>
      <w:r w:rsidRPr="007524A9">
        <w:rPr>
          <w:rFonts w:asciiTheme="minorHAnsi" w:hAnsiTheme="minorHAnsi" w:cstheme="minorHAnsi"/>
          <w:b/>
          <w:bCs/>
          <w:i/>
          <w:iCs/>
        </w:rPr>
        <w:t>600</w:t>
      </w:r>
      <w:r w:rsidR="00163188" w:rsidRPr="007524A9">
        <w:rPr>
          <w:rFonts w:asciiTheme="minorHAnsi" w:hAnsiTheme="minorHAnsi" w:cstheme="minorHAnsi"/>
          <w:b/>
          <w:bCs/>
          <w:i/>
          <w:iCs/>
        </w:rPr>
        <w:t>/</w:t>
      </w:r>
      <w:r w:rsidRPr="007524A9">
        <w:rPr>
          <w:rFonts w:asciiTheme="minorHAnsi" w:hAnsiTheme="minorHAnsi" w:cstheme="minorHAnsi"/>
          <w:b/>
          <w:bCs/>
          <w:i/>
          <w:iCs/>
        </w:rPr>
        <w:t>1973 in tema di accertamento delle imposte</w:t>
      </w:r>
      <w:r w:rsidR="00163188" w:rsidRPr="007524A9">
        <w:rPr>
          <w:rFonts w:ascii="Calibri" w:hAnsi="Calibri" w:cs="Calibri"/>
        </w:rPr>
        <w:t>”, dando, quindi, contezza alle allegazioni difensive dell’appellante.</w:t>
      </w:r>
    </w:p>
    <w:p w14:paraId="2616D693" w14:textId="77777777" w:rsidR="001E5879" w:rsidRPr="007524A9" w:rsidRDefault="00163188" w:rsidP="00AB04DA">
      <w:pPr>
        <w:pStyle w:val="p1"/>
        <w:spacing w:before="0" w:beforeAutospacing="0" w:after="0" w:afterAutospacing="0" w:line="360" w:lineRule="auto"/>
        <w:jc w:val="both"/>
        <w:rPr>
          <w:rFonts w:ascii="Calibri" w:hAnsi="Calibri" w:cs="Calibri"/>
          <w:i/>
          <w:iCs/>
        </w:rPr>
      </w:pPr>
      <w:r w:rsidRPr="007524A9">
        <w:rPr>
          <w:rFonts w:asciiTheme="minorHAnsi" w:hAnsiTheme="minorHAnsi" w:cstheme="minorHAnsi"/>
        </w:rPr>
        <w:t>Inoltre la stessa Corte dettaglia</w:t>
      </w:r>
      <w:r w:rsidR="001A3ED9" w:rsidRPr="007524A9">
        <w:rPr>
          <w:rFonts w:asciiTheme="minorHAnsi" w:hAnsiTheme="minorHAnsi" w:cstheme="minorHAnsi"/>
        </w:rPr>
        <w:t>,</w:t>
      </w:r>
      <w:r w:rsidRPr="007524A9">
        <w:rPr>
          <w:rFonts w:asciiTheme="minorHAnsi" w:hAnsiTheme="minorHAnsi" w:cstheme="minorHAnsi"/>
        </w:rPr>
        <w:t xml:space="preserve"> </w:t>
      </w:r>
      <w:r w:rsidR="00ED4452" w:rsidRPr="007524A9">
        <w:rPr>
          <w:rFonts w:asciiTheme="minorHAnsi" w:hAnsiTheme="minorHAnsi" w:cstheme="minorHAnsi"/>
        </w:rPr>
        <w:t>per stesso richiamo di controparte</w:t>
      </w:r>
      <w:r w:rsidR="001A3ED9" w:rsidRPr="007524A9">
        <w:rPr>
          <w:rFonts w:asciiTheme="minorHAnsi" w:hAnsiTheme="minorHAnsi" w:cstheme="minorHAnsi"/>
        </w:rPr>
        <w:t>,</w:t>
      </w:r>
      <w:r w:rsidR="00ED4452" w:rsidRPr="007524A9">
        <w:rPr>
          <w:rFonts w:asciiTheme="minorHAnsi" w:hAnsiTheme="minorHAnsi" w:cstheme="minorHAnsi"/>
        </w:rPr>
        <w:t xml:space="preserve"> la valutazione di infondatezza dei motivi di gravame, condividendo l’esame e precisando che “</w:t>
      </w:r>
      <w:r w:rsidR="00B33603" w:rsidRPr="007524A9">
        <w:rPr>
          <w:rFonts w:ascii="Calibri" w:hAnsi="Calibri" w:cs="Calibri"/>
          <w:b/>
          <w:bCs/>
          <w:i/>
          <w:iCs/>
        </w:rPr>
        <w:t>Gli annotati i movimenti contabili su cui si è appuntata l'attività accertativa sono una ristrettissima minoranza rispetto al complesso delle annotazioni redatte nell'esercizio accertato (in numero di 24 sulle appuntate 16.500 operazioni)</w:t>
      </w:r>
      <w:r w:rsidR="00B33603" w:rsidRPr="007524A9">
        <w:rPr>
          <w:rFonts w:ascii="Calibri" w:hAnsi="Calibri" w:cs="Calibri"/>
          <w:i/>
          <w:iCs/>
        </w:rPr>
        <w:t xml:space="preserve">. </w:t>
      </w:r>
    </w:p>
    <w:p w14:paraId="0DEF2EEB" w14:textId="77777777" w:rsidR="001E5879" w:rsidRPr="007524A9" w:rsidRDefault="00B33603" w:rsidP="00AB04DA">
      <w:pPr>
        <w:pStyle w:val="p1"/>
        <w:spacing w:before="0" w:beforeAutospacing="0" w:after="0" w:afterAutospacing="0" w:line="360" w:lineRule="auto"/>
        <w:jc w:val="both"/>
        <w:rPr>
          <w:rFonts w:ascii="Calibri" w:hAnsi="Calibri" w:cs="Calibri"/>
          <w:i/>
          <w:iCs/>
        </w:rPr>
      </w:pPr>
      <w:r w:rsidRPr="007524A9">
        <w:rPr>
          <w:rFonts w:ascii="Calibri" w:hAnsi="Calibri" w:cs="Calibri"/>
          <w:i/>
          <w:iCs/>
        </w:rPr>
        <w:lastRenderedPageBreak/>
        <w:t xml:space="preserve">Il canone consolidato dei Giudici di diritto richiede, per dare accesso all'accertamento induttivo, che le irregolarità formali riscontrate siano gravi, ripetute e numerose, ciò che non è </w:t>
      </w:r>
      <w:proofErr w:type="spellStart"/>
      <w:r w:rsidRPr="007524A9">
        <w:rPr>
          <w:rFonts w:ascii="Calibri" w:hAnsi="Calibri" w:cs="Calibri"/>
          <w:i/>
          <w:iCs/>
        </w:rPr>
        <w:t>ictu</w:t>
      </w:r>
      <w:proofErr w:type="spellEnd"/>
      <w:r w:rsidRPr="007524A9">
        <w:rPr>
          <w:rFonts w:ascii="Calibri" w:hAnsi="Calibri" w:cs="Calibri"/>
          <w:i/>
          <w:iCs/>
        </w:rPr>
        <w:t xml:space="preserve"> oculi nel caso di specie. </w:t>
      </w:r>
    </w:p>
    <w:p w14:paraId="7BA9FD4B" w14:textId="55328398" w:rsidR="00B33603" w:rsidRPr="007524A9" w:rsidRDefault="00B33603" w:rsidP="00AB04DA">
      <w:pPr>
        <w:pStyle w:val="p1"/>
        <w:spacing w:before="0" w:beforeAutospacing="0" w:after="0" w:afterAutospacing="0" w:line="360" w:lineRule="auto"/>
        <w:jc w:val="both"/>
        <w:rPr>
          <w:rFonts w:asciiTheme="minorHAnsi" w:hAnsiTheme="minorHAnsi" w:cstheme="minorHAnsi"/>
        </w:rPr>
      </w:pPr>
      <w:r w:rsidRPr="007524A9">
        <w:rPr>
          <w:rFonts w:ascii="Calibri" w:hAnsi="Calibri" w:cs="Calibri"/>
          <w:b/>
          <w:bCs/>
          <w:i/>
          <w:iCs/>
        </w:rPr>
        <w:t>Analizzando poi talune di dette scritture, quelle riferite alle rimanenze di materiali ferrosi, (ciò che a rigore non sarebbe stato necessario, preliminare ed assorbente essendo i rilievi poc'anzi esposti sulla limitatezza dei rilievi formali contestati rispetto ai movimenti complessivi), il primo Collegio concorda sulla considerazione difensiva per cui detto ammontare non sarebbe possibile ipotizzando l'arrivo intra UE di contenitori ferrosi, vietato da norme comunitarie, né lo sarebbe ipotizzando il trasporto come proveniente da Arabia Saudita o dagli USA, lo stesso non essendo suffragato da alcun positivo riscontro doganale in tal senso, non versato in atti</w:t>
      </w:r>
      <w:r w:rsidR="00ED4452" w:rsidRPr="007524A9">
        <w:rPr>
          <w:rFonts w:ascii="Calibri" w:hAnsi="Calibri" w:cs="Calibri"/>
        </w:rPr>
        <w:t>”,</w:t>
      </w:r>
      <w:r w:rsidR="006634E6" w:rsidRPr="007524A9">
        <w:rPr>
          <w:rFonts w:ascii="Calibri" w:hAnsi="Calibri" w:cs="Calibri"/>
        </w:rPr>
        <w:t xml:space="preserve"> </w:t>
      </w:r>
      <w:r w:rsidR="00ED4452" w:rsidRPr="007524A9">
        <w:rPr>
          <w:rFonts w:ascii="Calibri" w:hAnsi="Calibri" w:cs="Calibri"/>
        </w:rPr>
        <w:t>[</w:t>
      </w:r>
      <w:proofErr w:type="spellStart"/>
      <w:r w:rsidR="00ED4452" w:rsidRPr="007524A9">
        <w:rPr>
          <w:rFonts w:ascii="Calibri" w:hAnsi="Calibri" w:cs="Calibri"/>
        </w:rPr>
        <w:t>cfr</w:t>
      </w:r>
      <w:proofErr w:type="spellEnd"/>
      <w:r w:rsidR="00ED4452" w:rsidRPr="007524A9">
        <w:rPr>
          <w:rFonts w:ascii="Calibri" w:hAnsi="Calibri" w:cs="Calibri"/>
        </w:rPr>
        <w:t xml:space="preserve"> Doc. 2 Cassazione pag. 2, enfasi aggiunta].</w:t>
      </w:r>
    </w:p>
    <w:p w14:paraId="2393E8B2" w14:textId="135FDC70" w:rsidR="0038477E" w:rsidRPr="007524A9" w:rsidRDefault="0038477E" w:rsidP="00AB04DA">
      <w:pPr>
        <w:pStyle w:val="p1"/>
        <w:spacing w:before="0" w:beforeAutospacing="0" w:after="0" w:afterAutospacing="0" w:line="360" w:lineRule="auto"/>
        <w:jc w:val="both"/>
        <w:rPr>
          <w:rFonts w:ascii="Calibri" w:hAnsi="Calibri" w:cs="Calibri"/>
        </w:rPr>
      </w:pPr>
      <w:r w:rsidRPr="007524A9">
        <w:rPr>
          <w:rFonts w:asciiTheme="minorHAnsi" w:hAnsiTheme="minorHAnsi" w:cstheme="minorHAnsi"/>
        </w:rPr>
        <w:t xml:space="preserve">Non vi è dunque alcun fondamento per ritenere che il Giudice </w:t>
      </w:r>
      <w:r w:rsidR="001A3ED9" w:rsidRPr="007524A9">
        <w:rPr>
          <w:rFonts w:asciiTheme="minorHAnsi" w:hAnsiTheme="minorHAnsi" w:cstheme="minorHAnsi"/>
        </w:rPr>
        <w:t>di secondo grado non abbia motivato il suo provvedimento</w:t>
      </w:r>
      <w:r w:rsidRPr="007524A9">
        <w:rPr>
          <w:rFonts w:asciiTheme="minorHAnsi" w:hAnsiTheme="minorHAnsi" w:cstheme="minorHAnsi"/>
        </w:rPr>
        <w:t>.</w:t>
      </w:r>
    </w:p>
    <w:p w14:paraId="3C6F3D01" w14:textId="53E8DD24" w:rsidR="0077431B" w:rsidRPr="007524A9" w:rsidRDefault="0038477E" w:rsidP="0077431B">
      <w:pPr>
        <w:numPr>
          <w:ilvl w:val="0"/>
          <w:numId w:val="4"/>
        </w:numPr>
        <w:tabs>
          <w:tab w:val="left" w:pos="426"/>
        </w:tabs>
        <w:spacing w:before="240" w:line="360" w:lineRule="auto"/>
        <w:ind w:left="426" w:right="-215" w:hanging="426"/>
        <w:jc w:val="both"/>
        <w:rPr>
          <w:rFonts w:ascii="Calibri" w:hAnsi="Calibri" w:cs="Calibri"/>
          <w:b/>
        </w:rPr>
      </w:pPr>
      <w:r w:rsidRPr="007524A9">
        <w:rPr>
          <w:rFonts w:ascii="Calibri" w:hAnsi="Calibri" w:cs="Calibri"/>
          <w:b/>
          <w:bCs/>
        </w:rPr>
        <w:t>SECONDO MOTIVO</w:t>
      </w:r>
    </w:p>
    <w:p w14:paraId="12842BC1" w14:textId="358DF1F7" w:rsidR="0077431B" w:rsidRPr="007524A9" w:rsidRDefault="0077431B" w:rsidP="0077431B">
      <w:pPr>
        <w:pStyle w:val="Paragrafoelenco"/>
        <w:numPr>
          <w:ilvl w:val="0"/>
          <w:numId w:val="10"/>
        </w:numPr>
        <w:tabs>
          <w:tab w:val="left" w:pos="426"/>
        </w:tabs>
        <w:spacing w:line="360" w:lineRule="auto"/>
        <w:ind w:right="-215"/>
        <w:jc w:val="both"/>
        <w:rPr>
          <w:rFonts w:ascii="Calibri" w:hAnsi="Calibri" w:cs="Calibri"/>
          <w:b/>
        </w:rPr>
      </w:pPr>
      <w:r w:rsidRPr="007524A9">
        <w:rPr>
          <w:rFonts w:ascii="Calibri" w:hAnsi="Calibri" w:cs="Calibri"/>
          <w:b/>
          <w:bCs/>
          <w:i/>
          <w:iCs/>
        </w:rPr>
        <w:t>Violazione dell’art. 39, comma 1, lett. d) del d.p.r. 29.9.1973 n. 600; falsa applicazione dell’art. 39, comma 2, stesso d.p.r. in relazione all’art. 360, comma 1, n. 3 c.p.c.</w:t>
      </w:r>
    </w:p>
    <w:p w14:paraId="01EC5175" w14:textId="1C8155EA" w:rsidR="0077431B" w:rsidRPr="007524A9" w:rsidRDefault="00AB5FA2" w:rsidP="00473C68">
      <w:pPr>
        <w:pStyle w:val="p1"/>
        <w:numPr>
          <w:ilvl w:val="0"/>
          <w:numId w:val="12"/>
        </w:numPr>
        <w:tabs>
          <w:tab w:val="left" w:pos="426"/>
        </w:tabs>
        <w:spacing w:before="0" w:beforeAutospacing="0" w:after="0" w:afterAutospacing="0" w:line="360" w:lineRule="auto"/>
        <w:ind w:left="0" w:firstLine="0"/>
        <w:jc w:val="both"/>
        <w:rPr>
          <w:rFonts w:asciiTheme="minorHAnsi" w:hAnsiTheme="minorHAnsi" w:cstheme="minorHAnsi"/>
        </w:rPr>
      </w:pPr>
      <w:r w:rsidRPr="007524A9">
        <w:rPr>
          <w:rFonts w:asciiTheme="minorHAnsi" w:hAnsiTheme="minorHAnsi" w:cstheme="minorHAnsi"/>
        </w:rPr>
        <w:t>Anche il secondo Motivo si reputa inammissibile oltre che infondato.</w:t>
      </w:r>
      <w:r w:rsidR="00473C68" w:rsidRPr="007524A9">
        <w:rPr>
          <w:rFonts w:asciiTheme="minorHAnsi" w:hAnsiTheme="minorHAnsi" w:cstheme="minorHAnsi"/>
        </w:rPr>
        <w:t xml:space="preserve">, in quanto da una parte si </w:t>
      </w:r>
      <w:r w:rsidR="00473C68" w:rsidRPr="007524A9">
        <w:rPr>
          <w:rFonts w:ascii="Calibri" w:hAnsi="Calibri"/>
        </w:rPr>
        <w:t xml:space="preserve">tenta di recuperare il riesame nel merito dell’accertamento, dedicando un’ampia rassegna a illustrare le differenze oggetto di esame nel corso della verifica, con la finalità di compulsare verso un’attività valutativa che invece risulta inammissibile nel giudizio di legittimità, e da un’altra </w:t>
      </w:r>
      <w:r w:rsidR="00984D45" w:rsidRPr="007524A9">
        <w:rPr>
          <w:rFonts w:ascii="Calibri" w:hAnsi="Calibri"/>
        </w:rPr>
        <w:t>si cerca di avvalorare una ricostruzione utile all’applicazione del metodo dell’accertamento induttivo senza confutare le evidenze documentali e probatorie già emerse nel giudizio di merito.</w:t>
      </w:r>
    </w:p>
    <w:p w14:paraId="5B56D636" w14:textId="170F9D93" w:rsidR="0077431B" w:rsidRPr="007524A9" w:rsidRDefault="00AB5FA2" w:rsidP="00AB04DA">
      <w:pPr>
        <w:pStyle w:val="p1"/>
        <w:spacing w:before="0" w:beforeAutospacing="0" w:after="0" w:afterAutospacing="0" w:line="360" w:lineRule="auto"/>
        <w:jc w:val="both"/>
        <w:rPr>
          <w:rFonts w:asciiTheme="minorHAnsi" w:hAnsiTheme="minorHAnsi" w:cstheme="minorHAnsi"/>
        </w:rPr>
      </w:pPr>
      <w:r w:rsidRPr="007524A9">
        <w:rPr>
          <w:rFonts w:asciiTheme="minorHAnsi" w:hAnsiTheme="minorHAnsi" w:cstheme="minorHAnsi"/>
        </w:rPr>
        <w:t>Controparte assume che la Corte di secondo grado non avrebbe fatto corretta applicazione del principio che consente all’Amministrazione finanziaria in sede di attività ispettiva e poi di accertamento di applicare il metodo analitico-induttivo</w:t>
      </w:r>
      <w:r w:rsidR="00AD01A5" w:rsidRPr="007524A9">
        <w:rPr>
          <w:rFonts w:asciiTheme="minorHAnsi" w:hAnsiTheme="minorHAnsi" w:cstheme="minorHAnsi"/>
          <w:i/>
          <w:iCs/>
        </w:rPr>
        <w:t xml:space="preserve"> ex </w:t>
      </w:r>
      <w:r w:rsidR="00AD01A5" w:rsidRPr="007524A9">
        <w:rPr>
          <w:rFonts w:asciiTheme="minorHAnsi" w:hAnsiTheme="minorHAnsi" w:cstheme="minorHAnsi"/>
        </w:rPr>
        <w:t>art. 39, co. 1 lett.a d) del DPR n. 600/1973</w:t>
      </w:r>
      <w:r w:rsidRPr="007524A9">
        <w:rPr>
          <w:rFonts w:asciiTheme="minorHAnsi" w:hAnsiTheme="minorHAnsi" w:cstheme="minorHAnsi"/>
        </w:rPr>
        <w:t>, affermando che “</w:t>
      </w:r>
      <w:r w:rsidRPr="007524A9">
        <w:rPr>
          <w:rFonts w:asciiTheme="minorHAnsi" w:hAnsiTheme="minorHAnsi" w:cstheme="minorHAnsi"/>
          <w:i/>
          <w:iCs/>
        </w:rPr>
        <w:t xml:space="preserve">Per effetto di tale radicale errore di prospettiva, il giudice di secondo grado ha basato la decisione sul numero delle irregolarità formali riscontrate dall'ufficio, omettendo di confrontarsi con la valenza indiziaria di tale irregolarità virgola in violazione dell'altrettanto pacifico principio </w:t>
      </w:r>
      <w:r w:rsidR="008B3CE3" w:rsidRPr="007524A9">
        <w:rPr>
          <w:rFonts w:asciiTheme="minorHAnsi" w:hAnsiTheme="minorHAnsi" w:cstheme="minorHAnsi"/>
          <w:i/>
          <w:iCs/>
          <w:color w:val="000000"/>
        </w:rPr>
        <w:t xml:space="preserve">(ribadito dalla Corte di legittimità adita </w:t>
      </w:r>
      <w:r w:rsidR="008B3CE3" w:rsidRPr="007524A9">
        <w:rPr>
          <w:rFonts w:asciiTheme="minorHAnsi" w:hAnsiTheme="minorHAnsi" w:cstheme="minorHAnsi"/>
          <w:i/>
          <w:iCs/>
          <w:color w:val="000000"/>
        </w:rPr>
        <w:lastRenderedPageBreak/>
        <w:t xml:space="preserve">nell’ordinanza 28.1.2022 n. 2593) secondo cui: «in tema di accertamento tributario relativo sia all'imposizione diretta che all'IVA, la legge - rispettivamente Decreto del Presidente della Repubblica n. 600 del 1973, articolo 39, comma 1, (richiamato dal successivo articolo 40 per quanto riguarda la rettifica delle dichiarazioni di soggetti diversi dalle persone fisiche) e Decreto del Presidente della Repubblica n. 633 del 1972, articolo 54 dispone che l'inesistenza di passività dichiarate, nel primo caso, o le false indicazioni, nel secondo, possono essere desunte anche sulla base di presunzioni semplici, </w:t>
      </w:r>
      <w:r w:rsidR="008B3CE3" w:rsidRPr="007524A9">
        <w:rPr>
          <w:rFonts w:asciiTheme="minorHAnsi" w:hAnsiTheme="minorHAnsi" w:cstheme="minorHAnsi"/>
          <w:b/>
          <w:bCs/>
          <w:i/>
          <w:iCs/>
          <w:color w:val="000000"/>
        </w:rPr>
        <w:t>purché gravi, precise e concordanti</w:t>
      </w:r>
      <w:r w:rsidR="008B3CE3" w:rsidRPr="007524A9">
        <w:rPr>
          <w:rFonts w:asciiTheme="minorHAnsi" w:hAnsiTheme="minorHAnsi" w:cstheme="minorHAnsi"/>
          <w:i/>
          <w:iCs/>
          <w:color w:val="000000"/>
        </w:rPr>
        <w:t xml:space="preserve">, senza necessità che l'Ufficio fornisca prove "certe". Pertanto, il giudice tributario di merito, investito della controversia sulla legittimità e fondatezza dell'atto impositivo, è tenuto a valutare, singolarmente e complessivamente, gli elementi presuntivi forniti dall'Amministrazione, dando atto in motivazione dei risultati del proprio giudizio e solo in un secondo momento, ove ritenga tali </w:t>
      </w:r>
      <w:r w:rsidR="008B3CE3" w:rsidRPr="007524A9">
        <w:rPr>
          <w:rFonts w:asciiTheme="minorHAnsi" w:hAnsiTheme="minorHAnsi" w:cstheme="minorHAnsi"/>
          <w:b/>
          <w:bCs/>
          <w:i/>
          <w:iCs/>
          <w:color w:val="000000"/>
        </w:rPr>
        <w:t>elementi dotati dei caratteri di gravità, precisione e concordanza, deve dare ingresso alla valutazione della prova contraria offerta dal contribuente</w:t>
      </w:r>
      <w:r w:rsidR="008B3CE3" w:rsidRPr="007524A9">
        <w:rPr>
          <w:rFonts w:asciiTheme="minorHAnsi" w:hAnsiTheme="minorHAnsi" w:cstheme="minorHAnsi"/>
          <w:i/>
          <w:iCs/>
          <w:color w:val="000000"/>
        </w:rPr>
        <w:t xml:space="preserve">, che ne è onerato ai sensi degli articoli 2727 e ss. c.c. e articolo 2697 c.c., comma 2" (Cass. n. 14237 del 07/06/2017; Cass. n. 9784 del 23/04/2010)», </w:t>
      </w:r>
      <w:r w:rsidR="008B3CE3" w:rsidRPr="007524A9">
        <w:rPr>
          <w:rFonts w:asciiTheme="minorHAnsi" w:hAnsiTheme="minorHAnsi" w:cstheme="minorHAnsi"/>
          <w:color w:val="000000"/>
        </w:rPr>
        <w:t xml:space="preserve">richiamando poi </w:t>
      </w:r>
      <w:r w:rsidR="008B3CE3" w:rsidRPr="007524A9">
        <w:rPr>
          <w:rFonts w:asciiTheme="minorHAnsi" w:hAnsiTheme="minorHAnsi" w:cstheme="minorHAnsi"/>
        </w:rPr>
        <w:t xml:space="preserve">le ricostruzioni contabili su presunte differenze tra giacenze fisiche e contabili di zinco in pani, supposti errori nelle registrazioni dei movimenti di magazzino sia dei rottami (utilizzati nelle fusioni RZV e FERR), che dello zinco (SHG), ancora su ipotizzati errori nella qualificazione/quantificazione delle rimanenze e anche nelle giacenze iniziali e finali degli imballi, dello zinco in pani, oltre credute incongruenze in tema di schede di produzione e cespiti, il tutto per un valore complessivo </w:t>
      </w:r>
      <w:r w:rsidR="005D0B5B" w:rsidRPr="007524A9">
        <w:rPr>
          <w:rFonts w:asciiTheme="minorHAnsi" w:hAnsiTheme="minorHAnsi" w:cstheme="minorHAnsi"/>
        </w:rPr>
        <w:t xml:space="preserve">a favore dell’erario </w:t>
      </w:r>
      <w:r w:rsidR="008B3CE3" w:rsidRPr="007524A9">
        <w:rPr>
          <w:rFonts w:asciiTheme="minorHAnsi" w:hAnsiTheme="minorHAnsi" w:cstheme="minorHAnsi"/>
        </w:rPr>
        <w:t xml:space="preserve">di </w:t>
      </w:r>
      <w:r w:rsidR="005D0B5B" w:rsidRPr="007524A9">
        <w:rPr>
          <w:rFonts w:asciiTheme="minorHAnsi" w:hAnsiTheme="minorHAnsi" w:cstheme="minorHAnsi"/>
        </w:rPr>
        <w:t xml:space="preserve">soli </w:t>
      </w:r>
      <w:r w:rsidR="008B3CE3" w:rsidRPr="007524A9">
        <w:rPr>
          <w:rFonts w:asciiTheme="minorHAnsi" w:hAnsiTheme="minorHAnsi" w:cstheme="minorHAnsi"/>
        </w:rPr>
        <w:t>euro 8.499,85.</w:t>
      </w:r>
    </w:p>
    <w:p w14:paraId="46E88FBE" w14:textId="5F5F316A" w:rsidR="008B3CE3" w:rsidRPr="007524A9" w:rsidRDefault="00773D85" w:rsidP="00EE564A">
      <w:pPr>
        <w:pStyle w:val="p1"/>
        <w:numPr>
          <w:ilvl w:val="0"/>
          <w:numId w:val="12"/>
        </w:numPr>
        <w:tabs>
          <w:tab w:val="left" w:pos="426"/>
        </w:tabs>
        <w:spacing w:before="0" w:beforeAutospacing="0" w:after="0" w:afterAutospacing="0" w:line="360" w:lineRule="auto"/>
        <w:ind w:left="0" w:firstLine="0"/>
        <w:jc w:val="both"/>
        <w:rPr>
          <w:rFonts w:asciiTheme="minorHAnsi" w:hAnsiTheme="minorHAnsi" w:cstheme="minorHAnsi"/>
        </w:rPr>
      </w:pPr>
      <w:r w:rsidRPr="007524A9">
        <w:rPr>
          <w:rFonts w:asciiTheme="minorHAnsi" w:hAnsiTheme="minorHAnsi" w:cstheme="minorHAnsi"/>
        </w:rPr>
        <w:t xml:space="preserve">Immediatamente si precisa che quanto oggetto delle attività ispettive evidenzia </w:t>
      </w:r>
      <w:r w:rsidRPr="007524A9">
        <w:rPr>
          <w:rFonts w:ascii="Calibri" w:hAnsi="Calibri"/>
        </w:rPr>
        <w:t>differenze fra sched</w:t>
      </w:r>
      <w:r w:rsidR="00EE564A" w:rsidRPr="007524A9">
        <w:rPr>
          <w:rFonts w:ascii="Calibri" w:hAnsi="Calibri"/>
        </w:rPr>
        <w:t xml:space="preserve">e </w:t>
      </w:r>
      <w:r w:rsidRPr="007524A9">
        <w:rPr>
          <w:rFonts w:ascii="Calibri" w:hAnsi="Calibri"/>
        </w:rPr>
        <w:t xml:space="preserve">di magazzino e dettaglio delle rimanenze per quantità e valori risibili che non indicano incongruenze gravi precise e concordanti, ma semplicemente piccole e normali discrepanze di una società che </w:t>
      </w:r>
      <w:r w:rsidR="00EE564A" w:rsidRPr="007524A9">
        <w:rPr>
          <w:rFonts w:ascii="Calibri" w:hAnsi="Calibri"/>
        </w:rPr>
        <w:t xml:space="preserve">ha </w:t>
      </w:r>
      <w:r w:rsidRPr="007524A9">
        <w:rPr>
          <w:rFonts w:ascii="Calibri" w:hAnsi="Calibri"/>
        </w:rPr>
        <w:t>fattura</w:t>
      </w:r>
      <w:r w:rsidR="00EE564A" w:rsidRPr="007524A9">
        <w:rPr>
          <w:rFonts w:ascii="Calibri" w:hAnsi="Calibri"/>
        </w:rPr>
        <w:t>to</w:t>
      </w:r>
      <w:r w:rsidRPr="007524A9">
        <w:rPr>
          <w:rFonts w:ascii="Calibri" w:hAnsi="Calibri"/>
        </w:rPr>
        <w:t xml:space="preserve"> nell’esercizio 2015 quasi </w:t>
      </w:r>
      <w:r w:rsidR="00EE564A" w:rsidRPr="007524A9">
        <w:rPr>
          <w:rFonts w:ascii="Calibri" w:hAnsi="Calibri"/>
        </w:rPr>
        <w:t xml:space="preserve">93 </w:t>
      </w:r>
      <w:r w:rsidRPr="007524A9">
        <w:rPr>
          <w:rFonts w:ascii="Calibri" w:hAnsi="Calibri"/>
        </w:rPr>
        <w:t xml:space="preserve">milioni di euro, </w:t>
      </w:r>
      <w:r w:rsidR="00EE564A" w:rsidRPr="007524A9">
        <w:rPr>
          <w:rFonts w:ascii="Calibri" w:hAnsi="Calibri"/>
        </w:rPr>
        <w:t>più di</w:t>
      </w:r>
      <w:r w:rsidRPr="007524A9">
        <w:rPr>
          <w:rFonts w:ascii="Calibri" w:hAnsi="Calibri"/>
        </w:rPr>
        <w:t xml:space="preserve"> 40 dipendenti e rimanenze esposte a bilancio per un ammontare complessivo pari a </w:t>
      </w:r>
      <w:r w:rsidR="00EE564A" w:rsidRPr="007524A9">
        <w:rPr>
          <w:rFonts w:ascii="Calibri" w:hAnsi="Calibri"/>
        </w:rPr>
        <w:t xml:space="preserve">euro </w:t>
      </w:r>
      <w:r w:rsidRPr="007524A9">
        <w:rPr>
          <w:rFonts w:ascii="Calibri" w:hAnsi="Calibri"/>
        </w:rPr>
        <w:t>11.249.429</w:t>
      </w:r>
      <w:r w:rsidR="00EE564A" w:rsidRPr="007524A9">
        <w:rPr>
          <w:rFonts w:ascii="Calibri" w:hAnsi="Calibri"/>
        </w:rPr>
        <w:t xml:space="preserve"> </w:t>
      </w:r>
      <w:r w:rsidRPr="007524A9">
        <w:rPr>
          <w:rFonts w:ascii="Calibri" w:hAnsi="Calibri"/>
        </w:rPr>
        <w:t>senza contare le oltre 50 schede contabili di magazzino per un complessivo di 269 pagine di operazioni (16.500 annue) e una complessa contabilità da magazzino tipica di una società di produzione, articolata nelle varie fasi di lavorazione, che regolarmente vengono rilevate,  anche a fine anno con l’inventario fisico finale.</w:t>
      </w:r>
    </w:p>
    <w:p w14:paraId="6F03B3F3" w14:textId="0CEB219E" w:rsidR="00473C68" w:rsidRPr="007524A9" w:rsidRDefault="00473C68" w:rsidP="00473C68">
      <w:pPr>
        <w:pStyle w:val="p1"/>
        <w:numPr>
          <w:ilvl w:val="0"/>
          <w:numId w:val="12"/>
        </w:numPr>
        <w:tabs>
          <w:tab w:val="left" w:pos="426"/>
        </w:tabs>
        <w:spacing w:before="0" w:beforeAutospacing="0" w:after="0" w:afterAutospacing="0" w:line="360" w:lineRule="auto"/>
        <w:ind w:left="0" w:firstLine="0"/>
        <w:jc w:val="both"/>
        <w:rPr>
          <w:rFonts w:ascii="Calibri" w:hAnsi="Calibri"/>
        </w:rPr>
      </w:pPr>
      <w:r w:rsidRPr="007524A9">
        <w:rPr>
          <w:rFonts w:ascii="Calibri" w:hAnsi="Calibri"/>
        </w:rPr>
        <w:t>Si osserva che controparte nel suo atto tenta di recuperare il riesame nel merito dell’accertamento, dedicando un’ampia rassegn</w:t>
      </w:r>
      <w:r w:rsidR="000863D6" w:rsidRPr="007524A9">
        <w:rPr>
          <w:rFonts w:ascii="Calibri" w:hAnsi="Calibri"/>
        </w:rPr>
        <w:t>a da pag. 11 a pag. 14, dove</w:t>
      </w:r>
      <w:r w:rsidRPr="007524A9">
        <w:rPr>
          <w:rFonts w:ascii="Calibri" w:hAnsi="Calibri"/>
        </w:rPr>
        <w:t xml:space="preserve"> illustra le </w:t>
      </w:r>
      <w:r w:rsidRPr="007524A9">
        <w:rPr>
          <w:rFonts w:ascii="Calibri" w:hAnsi="Calibri"/>
        </w:rPr>
        <w:lastRenderedPageBreak/>
        <w:t xml:space="preserve">differenze oggetto di esame nel corso della verifica, con la finalità di compulsare verso un’attività valutativa che invece risulta inammissibile nel giudizio di legittimità, poiché </w:t>
      </w:r>
      <w:r w:rsidRPr="007524A9">
        <w:rPr>
          <w:rFonts w:asciiTheme="minorHAnsi" w:hAnsiTheme="minorHAnsi" w:cstheme="minorHAnsi"/>
          <w:i/>
          <w:iCs/>
          <w:color w:val="000000" w:themeColor="text1"/>
        </w:rPr>
        <w:t xml:space="preserve">la deduzione di un vizio di motivazione della sentenza impugnata con ricorso per cassazione conferisce infatti al giudice di legittimità non già il potere di riesaminare il merito dell'intera vicenda processuale sottoposta al suo vaglio, bensì la mera facoltà di controllo, sotto il profilo della correttezza giuridica e della coerenza logico-formale, delle argomentazioni svolte dal giudice del merito, cui in via esclusiva spetta il compito di individuare le fonti del proprio convincimento, di assumere e valutare le prove, di controllarne l'attendibilità e la concludenza, di scegliere, tra le complessive risultanze del processo, quelle ritenute maggiormente idonee a dimostrare la veridicità dei fatti ad esse sottesi, di dare (salvo i casi tassativamente previsti dalla legge) prevalenza all'uno o all'altro dei mezzi di prova acquisiti (v. </w:t>
      </w:r>
      <w:hyperlink r:id="rId22" w:history="1">
        <w:r w:rsidRPr="007524A9">
          <w:rPr>
            <w:rFonts w:asciiTheme="minorHAnsi" w:hAnsiTheme="minorHAnsi" w:cstheme="minorHAnsi"/>
            <w:i/>
            <w:iCs/>
            <w:color w:val="000000" w:themeColor="text1"/>
          </w:rPr>
          <w:t>Cass., IV, n. 8718/2005</w:t>
        </w:r>
      </w:hyperlink>
      <w:r w:rsidRPr="007524A9">
        <w:rPr>
          <w:rFonts w:asciiTheme="minorHAnsi" w:hAnsiTheme="minorHAnsi" w:cstheme="minorHAnsi"/>
          <w:i/>
          <w:iCs/>
          <w:color w:val="000000" w:themeColor="text1"/>
        </w:rPr>
        <w:t xml:space="preserve">, </w:t>
      </w:r>
      <w:hyperlink r:id="rId23" w:history="1">
        <w:r w:rsidRPr="007524A9">
          <w:rPr>
            <w:rFonts w:asciiTheme="minorHAnsi" w:hAnsiTheme="minorHAnsi" w:cstheme="minorHAnsi"/>
            <w:i/>
            <w:iCs/>
            <w:color w:val="000000" w:themeColor="text1"/>
          </w:rPr>
          <w:t>n. 4842/2006</w:t>
        </w:r>
      </w:hyperlink>
      <w:r w:rsidRPr="007524A9">
        <w:rPr>
          <w:rFonts w:asciiTheme="minorHAnsi" w:hAnsiTheme="minorHAnsi" w:cstheme="minorHAnsi"/>
          <w:i/>
          <w:iCs/>
          <w:color w:val="000000" w:themeColor="text1"/>
        </w:rPr>
        <w:t xml:space="preserve">, Cass. V, n. 5583/2011) </w:t>
      </w:r>
      <w:r w:rsidRPr="007524A9">
        <w:rPr>
          <w:rFonts w:asciiTheme="minorHAnsi" w:hAnsiTheme="minorHAnsi" w:cstheme="minorHAnsi"/>
          <w:color w:val="000000" w:themeColor="text1"/>
        </w:rPr>
        <w:t xml:space="preserve">[Cassazione Civile </w:t>
      </w:r>
      <w:proofErr w:type="spellStart"/>
      <w:r w:rsidRPr="007524A9">
        <w:rPr>
          <w:rFonts w:asciiTheme="minorHAnsi" w:hAnsiTheme="minorHAnsi" w:cstheme="minorHAnsi"/>
          <w:color w:val="000000" w:themeColor="text1"/>
        </w:rPr>
        <w:t>ord</w:t>
      </w:r>
      <w:proofErr w:type="spellEnd"/>
      <w:r w:rsidRPr="007524A9">
        <w:rPr>
          <w:rFonts w:asciiTheme="minorHAnsi" w:hAnsiTheme="minorHAnsi" w:cstheme="minorHAnsi"/>
          <w:color w:val="000000" w:themeColor="text1"/>
        </w:rPr>
        <w:t>. n. 9515/2024]</w:t>
      </w:r>
      <w:r w:rsidR="003D0B9E" w:rsidRPr="007524A9">
        <w:rPr>
          <w:rFonts w:asciiTheme="minorHAnsi" w:hAnsiTheme="minorHAnsi" w:cstheme="minorHAnsi"/>
          <w:color w:val="000000" w:themeColor="text1"/>
        </w:rPr>
        <w:t xml:space="preserve">, e, d’altra parte costituirebbe verso il Giudice </w:t>
      </w:r>
      <w:r w:rsidR="003D0B9E" w:rsidRPr="007524A9">
        <w:rPr>
          <w:rFonts w:asciiTheme="minorHAnsi" w:hAnsiTheme="minorHAnsi" w:cstheme="minorHAnsi"/>
          <w:i/>
          <w:iCs/>
          <w:color w:val="000000" w:themeColor="text1"/>
        </w:rPr>
        <w:t>un'inammissibile istanza di revisione delle valutazioni e del convincimento di quest'ultimo tesa all'ottenimento di una nuova pronuncia sul fatto, certamente estranea alla natura ed ai fini del giudizio di legittimità (</w:t>
      </w:r>
      <w:hyperlink r:id="rId24" w:history="1">
        <w:r w:rsidR="003D0B9E" w:rsidRPr="007524A9">
          <w:rPr>
            <w:rStyle w:val="Collegamentoipertestuale"/>
            <w:rFonts w:asciiTheme="minorHAnsi" w:eastAsiaTheme="majorEastAsia" w:hAnsiTheme="minorHAnsi" w:cstheme="minorHAnsi"/>
            <w:i/>
            <w:iCs/>
            <w:color w:val="000000" w:themeColor="text1"/>
            <w:u w:val="none"/>
          </w:rPr>
          <w:t>Cass., S.U., 27 dicembre 2019, n. 34476</w:t>
        </w:r>
      </w:hyperlink>
      <w:r w:rsidR="003D0B9E" w:rsidRPr="007524A9">
        <w:rPr>
          <w:rFonts w:asciiTheme="minorHAnsi" w:hAnsiTheme="minorHAnsi" w:cstheme="minorHAnsi"/>
          <w:i/>
          <w:iCs/>
          <w:color w:val="000000" w:themeColor="text1"/>
        </w:rPr>
        <w:t>;</w:t>
      </w:r>
      <w:r w:rsidR="003D0B9E" w:rsidRPr="007524A9">
        <w:rPr>
          <w:rStyle w:val="apple-converted-space"/>
          <w:rFonts w:asciiTheme="minorHAnsi" w:eastAsiaTheme="majorEastAsia" w:hAnsiTheme="minorHAnsi" w:cstheme="minorHAnsi"/>
          <w:i/>
          <w:iCs/>
          <w:color w:val="000000" w:themeColor="text1"/>
        </w:rPr>
        <w:t xml:space="preserve"> </w:t>
      </w:r>
      <w:hyperlink r:id="rId25" w:history="1">
        <w:r w:rsidR="003D0B9E" w:rsidRPr="007524A9">
          <w:rPr>
            <w:rStyle w:val="Collegamentoipertestuale"/>
            <w:rFonts w:asciiTheme="minorHAnsi" w:eastAsiaTheme="majorEastAsia" w:hAnsiTheme="minorHAnsi" w:cstheme="minorHAnsi"/>
            <w:i/>
            <w:iCs/>
            <w:color w:val="000000" w:themeColor="text1"/>
            <w:u w:val="none"/>
          </w:rPr>
          <w:t>Cass., S.U., 25 ottobre 2013, n. 24148</w:t>
        </w:r>
      </w:hyperlink>
      <w:r w:rsidR="003D0B9E" w:rsidRPr="007524A9">
        <w:rPr>
          <w:rFonts w:asciiTheme="minorHAnsi" w:hAnsiTheme="minorHAnsi" w:cstheme="minorHAnsi"/>
          <w:i/>
          <w:iCs/>
          <w:color w:val="000000" w:themeColor="text1"/>
        </w:rPr>
        <w:t>; da ultimo,</w:t>
      </w:r>
      <w:r w:rsidR="003D0B9E" w:rsidRPr="007524A9">
        <w:rPr>
          <w:rStyle w:val="apple-converted-space"/>
          <w:rFonts w:asciiTheme="minorHAnsi" w:eastAsiaTheme="majorEastAsia" w:hAnsiTheme="minorHAnsi" w:cstheme="minorHAnsi"/>
          <w:i/>
          <w:iCs/>
          <w:color w:val="000000" w:themeColor="text1"/>
        </w:rPr>
        <w:t xml:space="preserve"> </w:t>
      </w:r>
      <w:hyperlink r:id="rId26" w:history="1">
        <w:r w:rsidR="003D0B9E" w:rsidRPr="007524A9">
          <w:rPr>
            <w:rStyle w:val="Collegamentoipertestuale"/>
            <w:rFonts w:asciiTheme="minorHAnsi" w:eastAsiaTheme="majorEastAsia" w:hAnsiTheme="minorHAnsi" w:cstheme="minorHAnsi"/>
            <w:i/>
            <w:iCs/>
            <w:color w:val="000000" w:themeColor="text1"/>
            <w:u w:val="none"/>
          </w:rPr>
          <w:t>Cass. 22 novembre 2023, n. 32505</w:t>
        </w:r>
      </w:hyperlink>
      <w:r w:rsidR="003D0B9E" w:rsidRPr="007524A9">
        <w:rPr>
          <w:rFonts w:asciiTheme="minorHAnsi" w:hAnsiTheme="minorHAnsi" w:cstheme="minorHAnsi"/>
          <w:i/>
          <w:iCs/>
          <w:color w:val="000000" w:themeColor="text1"/>
        </w:rPr>
        <w:t>)</w:t>
      </w:r>
      <w:r w:rsidR="00C81EA3" w:rsidRPr="007524A9">
        <w:rPr>
          <w:rFonts w:asciiTheme="minorHAnsi" w:hAnsiTheme="minorHAnsi" w:cstheme="minorHAnsi"/>
          <w:i/>
          <w:iCs/>
          <w:color w:val="000000" w:themeColor="text1"/>
        </w:rPr>
        <w:t xml:space="preserve"> </w:t>
      </w:r>
      <w:r w:rsidR="00C81EA3" w:rsidRPr="007524A9">
        <w:rPr>
          <w:rFonts w:asciiTheme="minorHAnsi" w:hAnsiTheme="minorHAnsi" w:cstheme="minorHAnsi"/>
          <w:color w:val="000000" w:themeColor="text1"/>
        </w:rPr>
        <w:t xml:space="preserve">[Cassazione Civile </w:t>
      </w:r>
      <w:proofErr w:type="spellStart"/>
      <w:r w:rsidR="00C81EA3" w:rsidRPr="007524A9">
        <w:rPr>
          <w:rFonts w:asciiTheme="minorHAnsi" w:hAnsiTheme="minorHAnsi" w:cstheme="minorHAnsi"/>
          <w:color w:val="000000" w:themeColor="text1"/>
        </w:rPr>
        <w:t>sent</w:t>
      </w:r>
      <w:proofErr w:type="spellEnd"/>
      <w:r w:rsidR="00C81EA3" w:rsidRPr="007524A9">
        <w:rPr>
          <w:rFonts w:asciiTheme="minorHAnsi" w:hAnsiTheme="minorHAnsi" w:cstheme="minorHAnsi"/>
          <w:color w:val="000000" w:themeColor="text1"/>
        </w:rPr>
        <w:t>. n. 8740/2024].</w:t>
      </w:r>
    </w:p>
    <w:p w14:paraId="7C1B6DBB" w14:textId="77777777" w:rsidR="00473C68" w:rsidRPr="007524A9" w:rsidRDefault="00473C68" w:rsidP="00473C68">
      <w:pPr>
        <w:pStyle w:val="p1"/>
        <w:numPr>
          <w:ilvl w:val="0"/>
          <w:numId w:val="12"/>
        </w:numPr>
        <w:tabs>
          <w:tab w:val="left" w:pos="426"/>
        </w:tabs>
        <w:spacing w:before="0" w:beforeAutospacing="0" w:after="0" w:afterAutospacing="0" w:line="360" w:lineRule="auto"/>
        <w:ind w:left="0" w:firstLine="0"/>
        <w:jc w:val="both"/>
        <w:rPr>
          <w:rFonts w:ascii="Calibri" w:hAnsi="Calibri"/>
          <w:i/>
          <w:iCs/>
        </w:rPr>
      </w:pPr>
      <w:r w:rsidRPr="007524A9">
        <w:rPr>
          <w:rFonts w:ascii="Calibri" w:hAnsi="Calibri"/>
        </w:rPr>
        <w:t>Tale esame, invero, ha già passato il vaglio di due gradi di giudizio, che nel merito hanno rispettivamente sentenziato che “</w:t>
      </w:r>
      <w:r w:rsidRPr="007524A9">
        <w:rPr>
          <w:rFonts w:ascii="Calibri" w:hAnsi="Calibri"/>
          <w:i/>
          <w:iCs/>
        </w:rPr>
        <w:t xml:space="preserve">Si muove dal rilievo preliminare per cui sono state censurate dall'amministrazione resistente 24 operazioni di magazzino su un totale di oltre 16.500 operazioni registrate in contabilità nel corso del 2015, ciò che induce a dubitare della natura complessivamente inattendibile della contabilità di impresa. </w:t>
      </w:r>
    </w:p>
    <w:p w14:paraId="434D93E6" w14:textId="77777777" w:rsidR="00473C68" w:rsidRPr="007524A9" w:rsidRDefault="00473C68" w:rsidP="00473C68">
      <w:pPr>
        <w:pStyle w:val="p1"/>
        <w:tabs>
          <w:tab w:val="left" w:pos="426"/>
        </w:tabs>
        <w:spacing w:before="0" w:beforeAutospacing="0" w:after="0" w:afterAutospacing="0" w:line="360" w:lineRule="auto"/>
        <w:ind w:right="-2"/>
        <w:jc w:val="both"/>
        <w:rPr>
          <w:rFonts w:ascii="Calibri" w:hAnsi="Calibri"/>
          <w:i/>
          <w:iCs/>
        </w:rPr>
      </w:pPr>
      <w:r w:rsidRPr="007524A9">
        <w:rPr>
          <w:rFonts w:ascii="Calibri" w:hAnsi="Calibri"/>
          <w:i/>
          <w:iCs/>
        </w:rPr>
        <w:t xml:space="preserve">Ciò premesso, si rileva come l'accertamento postuli una presenza in magazzino di materiali metallici sensibilmente superiore rispetto a quanto registrato in contabilità, principalmente sulla base dell'attribuzione ai materiali ferrosi registrati, della natura di fusti in ferro, ciascuno dei quali a propria volta contenente materiale da lavorare. </w:t>
      </w:r>
    </w:p>
    <w:p w14:paraId="122FA6DD" w14:textId="77777777" w:rsidR="00473C68" w:rsidRPr="007524A9" w:rsidRDefault="00473C68" w:rsidP="00473C68">
      <w:pPr>
        <w:pStyle w:val="p1"/>
        <w:spacing w:before="0" w:beforeAutospacing="0" w:after="0" w:afterAutospacing="0" w:line="360" w:lineRule="auto"/>
        <w:jc w:val="both"/>
        <w:rPr>
          <w:rFonts w:ascii="Calibri" w:hAnsi="Calibri" w:cs="Calibri"/>
          <w:i/>
          <w:iCs/>
        </w:rPr>
      </w:pPr>
      <w:r w:rsidRPr="007524A9">
        <w:rPr>
          <w:rFonts w:ascii="Calibri" w:hAnsi="Calibri"/>
          <w:i/>
          <w:iCs/>
        </w:rPr>
        <w:t xml:space="preserve">In tale assetto, non appare adeguatamente contrastata la allegazione difensiva di parte ricorrente secondo la quale tali fusti potrebbero giungere solamente da paesi extra UE - nella fattispecie Arabia Saudita o USA, unici paesi fornitori extra UE della società - in quanto il trasporto di detti contenitori ferrosi è vietato nella Unione europea. Ciò comporta necessariamente che tali fusti di ferro potrebbero giungere solamente via nave con container che hanno un peso massimo di trasporto di 25 tonnellate cadauno. Sarebbe dunque necessario </w:t>
      </w:r>
      <w:r w:rsidRPr="007524A9">
        <w:rPr>
          <w:rFonts w:ascii="Calibri" w:hAnsi="Calibri"/>
          <w:i/>
          <w:iCs/>
        </w:rPr>
        <w:lastRenderedPageBreak/>
        <w:t>dividere i maggiori quantitativi ricostruiti per 1.487 tonnellate per il peso di massimo di capienza di un container pari a 25 tonnellate: il risultato comporterebbe la esistenza di 60 container che necessariamente sarebbero giunti via nave dall’Arabia Saudita o dagli USA, nel difetto di riscontro probatorio alcuno in punto transito doganale, modalità di pagamento modalità di trasporto via terra dal porto di sbarco fino alla sede della società ricorrente</w:t>
      </w:r>
      <w:r w:rsidRPr="007524A9">
        <w:rPr>
          <w:rFonts w:ascii="Calibri" w:hAnsi="Calibri"/>
        </w:rPr>
        <w:t>” [</w:t>
      </w:r>
      <w:proofErr w:type="spellStart"/>
      <w:r w:rsidRPr="007524A9">
        <w:rPr>
          <w:rFonts w:ascii="Calibri" w:hAnsi="Calibri"/>
        </w:rPr>
        <w:t>cfr</w:t>
      </w:r>
      <w:proofErr w:type="spellEnd"/>
      <w:r w:rsidRPr="007524A9">
        <w:rPr>
          <w:rFonts w:ascii="Calibri" w:hAnsi="Calibri"/>
        </w:rPr>
        <w:t xml:space="preserve"> Doc. 3 Cassazione pag. 6 e 7], e ancora che “</w:t>
      </w:r>
      <w:r w:rsidRPr="007524A9">
        <w:rPr>
          <w:rFonts w:ascii="Calibri" w:hAnsi="Calibri" w:cs="Calibri"/>
          <w:i/>
          <w:iCs/>
        </w:rPr>
        <w:t xml:space="preserve">Gli annotati i movimenti contabili su cui si è appuntata l'attività accertativa sono una ristrettissima minoranza rispetto al complesso delle annotazioni redatte nell'esercizio accertato (in numero di 24 sulle appuntate 16.500 operazioni). </w:t>
      </w:r>
    </w:p>
    <w:p w14:paraId="49212AA0" w14:textId="77777777" w:rsidR="00473C68" w:rsidRPr="007524A9" w:rsidRDefault="00473C68" w:rsidP="00473C68">
      <w:pPr>
        <w:pStyle w:val="p1"/>
        <w:spacing w:before="0" w:beforeAutospacing="0" w:after="0" w:afterAutospacing="0" w:line="360" w:lineRule="auto"/>
        <w:jc w:val="both"/>
        <w:rPr>
          <w:rFonts w:ascii="Calibri" w:hAnsi="Calibri" w:cs="Calibri"/>
          <w:i/>
          <w:iCs/>
        </w:rPr>
      </w:pPr>
      <w:r w:rsidRPr="007524A9">
        <w:rPr>
          <w:rFonts w:ascii="Calibri" w:hAnsi="Calibri" w:cs="Calibri"/>
          <w:i/>
          <w:iCs/>
        </w:rPr>
        <w:t xml:space="preserve">Il canone consolidato dei Giudici di diritto richiede, per dare accesso all'accertamento induttivo, che le irregolarità formali riscontrate siano gravi, ripetute e numerose, ciò che non è </w:t>
      </w:r>
      <w:proofErr w:type="spellStart"/>
      <w:r w:rsidRPr="007524A9">
        <w:rPr>
          <w:rFonts w:ascii="Calibri" w:hAnsi="Calibri" w:cs="Calibri"/>
          <w:i/>
          <w:iCs/>
        </w:rPr>
        <w:t>ictu</w:t>
      </w:r>
      <w:proofErr w:type="spellEnd"/>
      <w:r w:rsidRPr="007524A9">
        <w:rPr>
          <w:rFonts w:ascii="Calibri" w:hAnsi="Calibri" w:cs="Calibri"/>
          <w:i/>
          <w:iCs/>
        </w:rPr>
        <w:t xml:space="preserve"> oculi nel caso di specie. </w:t>
      </w:r>
    </w:p>
    <w:p w14:paraId="186D1AC3" w14:textId="77777777" w:rsidR="00473C68" w:rsidRPr="007524A9" w:rsidRDefault="00473C68" w:rsidP="00473C68">
      <w:pPr>
        <w:pStyle w:val="p1"/>
        <w:tabs>
          <w:tab w:val="left" w:pos="426"/>
        </w:tabs>
        <w:spacing w:before="0" w:beforeAutospacing="0" w:after="0" w:afterAutospacing="0" w:line="360" w:lineRule="auto"/>
        <w:ind w:right="-2"/>
        <w:jc w:val="both"/>
        <w:rPr>
          <w:rFonts w:asciiTheme="minorHAnsi" w:hAnsiTheme="minorHAnsi" w:cstheme="minorHAnsi"/>
        </w:rPr>
      </w:pPr>
      <w:r w:rsidRPr="007524A9">
        <w:rPr>
          <w:rFonts w:ascii="Calibri" w:hAnsi="Calibri" w:cs="Calibri"/>
          <w:i/>
          <w:iCs/>
        </w:rPr>
        <w:t>Analizzando poi talune di dette scritture, quelle riferite alle rimanenze di materiali ferrosi, (ciò che a rigore non sarebbe stato necessario, preliminare ed assorbente essendo i rilievi poc'anzi esposti sulla limitatezza dei rilievi formali contestati rispetto ai movimenti complessivi), il primo Collegio concorda sulla considerazione difensiva per cui detto ammontare non sarebbe possibile ipotizzando l'arrivo intra UE di contenitori ferrosi, vietato da norme comunitarie, né lo sarebbe ipotizzando il trasporto come proveniente da Arabia Saudita o dagli USA, lo stesso non essendo suffragato da alcun positivo riscontro doganale in tal senso, non versato in atti</w:t>
      </w:r>
      <w:r w:rsidRPr="007524A9">
        <w:rPr>
          <w:rFonts w:ascii="Calibri" w:hAnsi="Calibri" w:cs="Calibri"/>
        </w:rPr>
        <w:t>”, [</w:t>
      </w:r>
      <w:proofErr w:type="spellStart"/>
      <w:r w:rsidRPr="007524A9">
        <w:rPr>
          <w:rFonts w:ascii="Calibri" w:hAnsi="Calibri" w:cs="Calibri"/>
        </w:rPr>
        <w:t>cfr</w:t>
      </w:r>
      <w:proofErr w:type="spellEnd"/>
      <w:r w:rsidRPr="007524A9">
        <w:rPr>
          <w:rFonts w:ascii="Calibri" w:hAnsi="Calibri" w:cs="Calibri"/>
        </w:rPr>
        <w:t xml:space="preserve"> Doc. 2 Cassazione pag. 2].</w:t>
      </w:r>
    </w:p>
    <w:p w14:paraId="2CA86E21" w14:textId="77777777" w:rsidR="00473C68" w:rsidRPr="007524A9" w:rsidRDefault="00473C68" w:rsidP="00473C68">
      <w:pPr>
        <w:pStyle w:val="p1"/>
        <w:tabs>
          <w:tab w:val="left" w:pos="426"/>
        </w:tabs>
        <w:spacing w:before="0" w:beforeAutospacing="0" w:after="0" w:afterAutospacing="0" w:line="360" w:lineRule="auto"/>
        <w:jc w:val="both"/>
        <w:rPr>
          <w:rFonts w:ascii="Calibri" w:hAnsi="Calibri"/>
        </w:rPr>
      </w:pPr>
      <w:r w:rsidRPr="007524A9">
        <w:rPr>
          <w:rFonts w:ascii="Calibri" w:hAnsi="Calibri"/>
        </w:rPr>
        <w:t xml:space="preserve">Deve, quindi, convenirsi che l’esercizio di tale esame sia stato oggetto di debita attenzione da parte delle Corti di merito, individuando che l’Ufficio nel corso delle attività ispettive e di accertamento abbia rilevato nr. 24 operazioni che presentano anomalie su oltre 16.500 che sono alla base della contabilità di magazzino della società contribuente. </w:t>
      </w:r>
    </w:p>
    <w:p w14:paraId="09FEB754" w14:textId="33A1536D" w:rsidR="00473C68" w:rsidRPr="007524A9" w:rsidRDefault="00473C68" w:rsidP="00473C68">
      <w:pPr>
        <w:pStyle w:val="p1"/>
        <w:tabs>
          <w:tab w:val="left" w:pos="426"/>
        </w:tabs>
        <w:spacing w:before="0" w:beforeAutospacing="0" w:after="0" w:afterAutospacing="0" w:line="360" w:lineRule="auto"/>
        <w:jc w:val="both"/>
        <w:rPr>
          <w:rFonts w:asciiTheme="minorHAnsi" w:hAnsiTheme="minorHAnsi" w:cstheme="minorHAnsi"/>
        </w:rPr>
      </w:pPr>
      <w:r w:rsidRPr="007524A9">
        <w:rPr>
          <w:rFonts w:ascii="Calibri" w:hAnsi="Calibri"/>
        </w:rPr>
        <w:t xml:space="preserve">Si tratta in definitiva di un dato veramente insignificante ai fini della legittimazione all’applicazione di un accertamento induttivo, in quanto nel 2015 rappresentano la risibile percentuale dello 0,145% del totale, e se si considera il valore </w:t>
      </w:r>
      <w:r w:rsidRPr="007524A9">
        <w:rPr>
          <w:rFonts w:asciiTheme="minorHAnsi" w:hAnsiTheme="minorHAnsi" w:cstheme="minorHAnsi"/>
        </w:rPr>
        <w:t>delle incongruenze in tema di schede di produzione e cespiti a favore dell’erario di soli euro 8.499,85 raffrontato al volume d’affari di circa euro 93.000.000,00 risulta che l’incidenza è pari allo 0,009%.</w:t>
      </w:r>
    </w:p>
    <w:p w14:paraId="2132EAAA" w14:textId="50AC9BD6" w:rsidR="00473C68" w:rsidRPr="007524A9" w:rsidRDefault="00473C68" w:rsidP="00473C68">
      <w:pPr>
        <w:pStyle w:val="p1"/>
        <w:tabs>
          <w:tab w:val="left" w:pos="426"/>
        </w:tabs>
        <w:spacing w:before="0" w:beforeAutospacing="0" w:after="0" w:afterAutospacing="0" w:line="360" w:lineRule="auto"/>
        <w:jc w:val="both"/>
        <w:rPr>
          <w:rFonts w:ascii="Calibri" w:hAnsi="Calibri"/>
        </w:rPr>
      </w:pPr>
      <w:r w:rsidRPr="007524A9">
        <w:rPr>
          <w:rFonts w:asciiTheme="minorHAnsi" w:hAnsiTheme="minorHAnsi" w:cstheme="minorHAnsi"/>
        </w:rPr>
        <w:t>Si tratta, in buona sostanza di irrisori scostamenti riconducibili a differenze inventariali che emergono dal confronto tra le risultanze materiali e la contabilità di magazzino</w:t>
      </w:r>
    </w:p>
    <w:p w14:paraId="0AF6A9D1" w14:textId="5F156E4D" w:rsidR="0077431B" w:rsidRPr="007524A9" w:rsidRDefault="00473C68" w:rsidP="00CA3E4B">
      <w:pPr>
        <w:pStyle w:val="p1"/>
        <w:numPr>
          <w:ilvl w:val="0"/>
          <w:numId w:val="12"/>
        </w:numPr>
        <w:tabs>
          <w:tab w:val="left" w:pos="426"/>
        </w:tabs>
        <w:spacing w:before="0" w:beforeAutospacing="0" w:after="0" w:afterAutospacing="0" w:line="360" w:lineRule="auto"/>
        <w:ind w:left="0" w:firstLine="0"/>
        <w:jc w:val="both"/>
        <w:rPr>
          <w:rFonts w:ascii="Calibri" w:hAnsi="Calibri"/>
        </w:rPr>
      </w:pPr>
      <w:r w:rsidRPr="007524A9">
        <w:rPr>
          <w:rFonts w:ascii="Calibri" w:hAnsi="Calibri"/>
        </w:rPr>
        <w:lastRenderedPageBreak/>
        <w:t>Peraltro l</w:t>
      </w:r>
      <w:r w:rsidR="00EE564A" w:rsidRPr="007524A9">
        <w:rPr>
          <w:rFonts w:ascii="Calibri" w:hAnsi="Calibri"/>
        </w:rPr>
        <w:t>a Corte di Cassazione, già con la sentenza n. 439 dell’11.01.2018 ha ricordato che è illegittima la rettifica dei ricavi per differenze inventariali se per la mole dei volumi trattati dal contribuente potrebbe essersi verificato un errore umano nella quantificazione.</w:t>
      </w:r>
    </w:p>
    <w:p w14:paraId="3A25C1B4" w14:textId="77777777" w:rsidR="00EE564A" w:rsidRPr="007524A9" w:rsidRDefault="00EE564A" w:rsidP="00CA3E4B">
      <w:pPr>
        <w:pStyle w:val="p1"/>
        <w:spacing w:before="0" w:beforeAutospacing="0" w:after="0" w:afterAutospacing="0" w:line="360" w:lineRule="auto"/>
        <w:jc w:val="both"/>
        <w:rPr>
          <w:rFonts w:ascii="Calibri" w:hAnsi="Calibri"/>
        </w:rPr>
      </w:pPr>
      <w:r w:rsidRPr="007524A9">
        <w:rPr>
          <w:rFonts w:ascii="Calibri" w:hAnsi="Calibri"/>
        </w:rPr>
        <w:t xml:space="preserve">Le differenze inventariali minime rispetto ai volumi trattati possono al più derivare da meri “errori umani” di quantificazione. </w:t>
      </w:r>
    </w:p>
    <w:p w14:paraId="751B2BED" w14:textId="10C5400A" w:rsidR="00537F8B" w:rsidRPr="007524A9" w:rsidRDefault="00EE564A" w:rsidP="00EE564A">
      <w:pPr>
        <w:pStyle w:val="p1"/>
        <w:spacing w:before="0" w:beforeAutospacing="0" w:after="0" w:afterAutospacing="0" w:line="360" w:lineRule="auto"/>
        <w:jc w:val="both"/>
        <w:rPr>
          <w:rFonts w:ascii="Calibri" w:hAnsi="Calibri"/>
        </w:rPr>
      </w:pPr>
      <w:r w:rsidRPr="007524A9">
        <w:rPr>
          <w:rFonts w:ascii="Calibri" w:hAnsi="Calibri"/>
        </w:rPr>
        <w:t>Tanto più che l’Ufficio, nella propria rideterminazione, non aveva compensato le differenze negative e positive limitandosi ad applicare la presunzione solo sui valori negativi.</w:t>
      </w:r>
    </w:p>
    <w:p w14:paraId="37DF4FF0" w14:textId="447D4C9A" w:rsidR="00BE6F99" w:rsidRPr="007524A9" w:rsidRDefault="00BE6F99" w:rsidP="00BE6F99">
      <w:pPr>
        <w:spacing w:line="360" w:lineRule="auto"/>
        <w:ind w:right="-82"/>
        <w:jc w:val="both"/>
        <w:rPr>
          <w:rFonts w:ascii="Calibri" w:hAnsi="Calibri"/>
        </w:rPr>
      </w:pPr>
      <w:proofErr w:type="gramStart"/>
      <w:r w:rsidRPr="007524A9">
        <w:rPr>
          <w:rFonts w:ascii="Calibri" w:hAnsi="Calibri"/>
        </w:rPr>
        <w:t>Infatti</w:t>
      </w:r>
      <w:proofErr w:type="gramEnd"/>
      <w:r w:rsidRPr="007524A9">
        <w:rPr>
          <w:rFonts w:ascii="Calibri" w:hAnsi="Calibri"/>
        </w:rPr>
        <w:t xml:space="preserve"> l’appellante omette di evidenziare </w:t>
      </w:r>
      <w:proofErr w:type="gramStart"/>
      <w:r w:rsidRPr="007524A9">
        <w:rPr>
          <w:rFonts w:ascii="Calibri" w:hAnsi="Calibri"/>
        </w:rPr>
        <w:t>le numerosissime incongruenza</w:t>
      </w:r>
      <w:proofErr w:type="gramEnd"/>
      <w:r w:rsidRPr="007524A9">
        <w:rPr>
          <w:rFonts w:ascii="Calibri" w:hAnsi="Calibri"/>
        </w:rPr>
        <w:t xml:space="preserve"> sulle errate modalità sia di logica che di calcolo utilizzate per il raggiungimento del preteso risultato finale in termini di maggiore produzione a favore della società.</w:t>
      </w:r>
    </w:p>
    <w:p w14:paraId="73F7A37D" w14:textId="7A366BB0" w:rsidR="00EE564A" w:rsidRPr="007524A9" w:rsidRDefault="00EE564A" w:rsidP="00EE564A">
      <w:pPr>
        <w:pStyle w:val="p1"/>
        <w:spacing w:before="0" w:beforeAutospacing="0" w:after="0" w:afterAutospacing="0" w:line="360" w:lineRule="auto"/>
        <w:jc w:val="both"/>
        <w:rPr>
          <w:rFonts w:ascii="Calibri" w:hAnsi="Calibri"/>
        </w:rPr>
      </w:pPr>
      <w:r w:rsidRPr="007524A9">
        <w:rPr>
          <w:rFonts w:ascii="Calibri" w:hAnsi="Calibri"/>
        </w:rPr>
        <w:t>I</w:t>
      </w:r>
      <w:r w:rsidR="00537F8B" w:rsidRPr="007524A9">
        <w:rPr>
          <w:rFonts w:ascii="Calibri" w:hAnsi="Calibri"/>
        </w:rPr>
        <w:t xml:space="preserve"> </w:t>
      </w:r>
      <w:r w:rsidRPr="007524A9">
        <w:rPr>
          <w:rFonts w:ascii="Calibri" w:hAnsi="Calibri"/>
        </w:rPr>
        <w:t>Giudici di legittimità</w:t>
      </w:r>
      <w:r w:rsidR="00537F8B" w:rsidRPr="007524A9">
        <w:rPr>
          <w:rFonts w:ascii="Calibri" w:hAnsi="Calibri"/>
          <w:sz w:val="22"/>
          <w:szCs w:val="22"/>
        </w:rPr>
        <w:t xml:space="preserve"> </w:t>
      </w:r>
      <w:r w:rsidR="00537F8B" w:rsidRPr="007524A9">
        <w:rPr>
          <w:rFonts w:ascii="Calibri" w:hAnsi="Calibri"/>
        </w:rPr>
        <w:t xml:space="preserve">ricordano che </w:t>
      </w:r>
      <w:r w:rsidR="00537F8B" w:rsidRPr="007524A9">
        <w:rPr>
          <w:rFonts w:ascii="Calibri" w:hAnsi="Calibri"/>
          <w:i/>
          <w:iCs/>
        </w:rPr>
        <w:t>Questa Corte ha infatti chiarito come in caso di “differenze inventariali”, ovvero differenze registrabili tra le quantità di merci giacenti in magazzino e quelle desumibili dalle scritture di carico e scarico, operano le presunzioni di cessione e di acquisto dei beni in evasione di imposta, di cui all’art. 4 del d.P.R. 10 novembre 1997, n. 441, annoverabili tra le presunzioni legali cosiddette “miste”, che consentono, entro i limiti di oggetto e di mezzi di prova stabiliti a fini antielusivi, la dimostrazione contraria da parte del contribuente, il quale sarà tenuto a provare, con le modalità tassativamente indicate dagli artt. 1 e 2 del d.P.R. n. 441 del 1997, che la contrazione registratasi nella consistenza del magazzino è frutto dell’impiego produttivo dei beni – sono stati impiegati per la produzione, perduti o distrutti…” – e non di cessioni o acquisizioni non contabilizzate” (Cass. n. 10915 del 2015, n. 18645 del 2016). L’errore compiuto dal giudice di merito sta nel non aver riconosciuto, a monte, alcuna rilevanza alle presunzioni contrarie, costituite dalla trascurabilità, ovvero dalla modestia dei valori, e dall’errore umano, e riconducibili all’art. 1, commi 1 e 2, lettera a), del d.P.R. n. 441 del 1997</w:t>
      </w:r>
      <w:r w:rsidR="00537F8B" w:rsidRPr="007524A9">
        <w:rPr>
          <w:rFonts w:ascii="Calibri" w:hAnsi="Calibri"/>
        </w:rPr>
        <w:t>”.</w:t>
      </w:r>
    </w:p>
    <w:p w14:paraId="490EFF6C" w14:textId="5F699C30" w:rsidR="00784422" w:rsidRPr="007524A9" w:rsidRDefault="00537F8B" w:rsidP="00784422">
      <w:pPr>
        <w:spacing w:line="360" w:lineRule="auto"/>
        <w:jc w:val="both"/>
        <w:rPr>
          <w:rFonts w:ascii="Calibri" w:hAnsi="Calibri"/>
        </w:rPr>
      </w:pPr>
      <w:r w:rsidRPr="007524A9">
        <w:rPr>
          <w:rFonts w:ascii="Calibri" w:hAnsi="Calibri"/>
        </w:rPr>
        <w:t xml:space="preserve">La Corte ha infatti chiarito </w:t>
      </w:r>
      <w:r w:rsidRPr="007524A9">
        <w:rPr>
          <w:rFonts w:ascii="Calibri" w:hAnsi="Calibri"/>
          <w:i/>
          <w:iCs/>
        </w:rPr>
        <w:t xml:space="preserve">come in caso di “differenze inventariali”, ovvero differenze registrabili tra le quantità di merci giacenti in magazzino e quelle desumibili dalle scritture di carico e scarico, operano le presunzioni di cessione e di acquisto dei beni in evasione di imposta, di cui all’art. 4 del d.P.R. 10 novembre 1997, n. 441, annoverabili tra le presunzioni legali cosiddette “miste”, che consentono, entro i limiti di oggetto e di mezzi di prova stabiliti a fini antielusivi, la dimostrazione contraria da parte del contribuente, il quale sarà tenuto a provare, con le modalità tassativamente indicate dagli artt. 1 e 2 del D.P.R. n. 441 del 1997, che la contrazione registratasi nella consistenza del magazzino è frutto dell’impiego produttivo dei </w:t>
      </w:r>
      <w:r w:rsidRPr="007524A9">
        <w:rPr>
          <w:rFonts w:ascii="Calibri" w:hAnsi="Calibri"/>
          <w:i/>
          <w:iCs/>
        </w:rPr>
        <w:lastRenderedPageBreak/>
        <w:t>beni – sono stati impiegati per la produzione, perduti o distrutti</w:t>
      </w:r>
      <w:r w:rsidR="00D10D1B" w:rsidRPr="007524A9">
        <w:rPr>
          <w:rFonts w:ascii="Calibri" w:hAnsi="Calibri"/>
          <w:i/>
          <w:iCs/>
        </w:rPr>
        <w:t xml:space="preserve"> </w:t>
      </w:r>
      <w:r w:rsidRPr="007524A9">
        <w:rPr>
          <w:rFonts w:ascii="Calibri" w:hAnsi="Calibri"/>
          <w:i/>
          <w:iCs/>
        </w:rPr>
        <w:t xml:space="preserve">– e non di cessioni o acquisizioni non contabilizzate </w:t>
      </w:r>
      <w:r w:rsidR="00F85E08" w:rsidRPr="007524A9">
        <w:rPr>
          <w:rFonts w:ascii="Calibri" w:hAnsi="Calibri"/>
        </w:rPr>
        <w:t xml:space="preserve">[Cassazione </w:t>
      </w:r>
      <w:r w:rsidRPr="007524A9">
        <w:rPr>
          <w:rFonts w:ascii="Calibri" w:hAnsi="Calibri"/>
        </w:rPr>
        <w:t>C</w:t>
      </w:r>
      <w:r w:rsidR="00F85E08" w:rsidRPr="007524A9">
        <w:rPr>
          <w:rFonts w:ascii="Calibri" w:hAnsi="Calibri"/>
        </w:rPr>
        <w:t xml:space="preserve">ivile </w:t>
      </w:r>
      <w:proofErr w:type="spellStart"/>
      <w:r w:rsidR="00F85E08" w:rsidRPr="007524A9">
        <w:rPr>
          <w:rFonts w:ascii="Calibri" w:hAnsi="Calibri"/>
        </w:rPr>
        <w:t>sent</w:t>
      </w:r>
      <w:proofErr w:type="spellEnd"/>
      <w:r w:rsidR="00F85E08" w:rsidRPr="007524A9">
        <w:rPr>
          <w:rFonts w:ascii="Calibri" w:hAnsi="Calibri"/>
        </w:rPr>
        <w:t>.</w:t>
      </w:r>
      <w:r w:rsidRPr="007524A9">
        <w:rPr>
          <w:rFonts w:ascii="Calibri" w:hAnsi="Calibri"/>
        </w:rPr>
        <w:t xml:space="preserve"> n. </w:t>
      </w:r>
      <w:r w:rsidR="00D10D1B" w:rsidRPr="007524A9">
        <w:rPr>
          <w:rFonts w:ascii="Calibri" w:hAnsi="Calibri"/>
        </w:rPr>
        <w:t>27549/2018, n</w:t>
      </w:r>
      <w:r w:rsidR="00784422" w:rsidRPr="007524A9">
        <w:rPr>
          <w:rFonts w:ascii="Calibri" w:hAnsi="Calibri"/>
        </w:rPr>
        <w:t>.</w:t>
      </w:r>
      <w:r w:rsidR="00D10D1B" w:rsidRPr="007524A9">
        <w:rPr>
          <w:rFonts w:ascii="Calibri" w:hAnsi="Calibri"/>
        </w:rPr>
        <w:t xml:space="preserve"> 61/85/2017, n. 18645/2016 </w:t>
      </w:r>
      <w:r w:rsidRPr="007524A9">
        <w:rPr>
          <w:rFonts w:ascii="Calibri" w:hAnsi="Calibri"/>
        </w:rPr>
        <w:t>1</w:t>
      </w:r>
      <w:r w:rsidR="00D10D1B" w:rsidRPr="007524A9">
        <w:rPr>
          <w:rFonts w:ascii="Calibri" w:hAnsi="Calibri"/>
        </w:rPr>
        <w:t xml:space="preserve">e n. </w:t>
      </w:r>
      <w:r w:rsidRPr="007524A9">
        <w:rPr>
          <w:rFonts w:ascii="Calibri" w:hAnsi="Calibri"/>
        </w:rPr>
        <w:t>0915</w:t>
      </w:r>
      <w:r w:rsidR="00F85E08" w:rsidRPr="007524A9">
        <w:rPr>
          <w:rFonts w:ascii="Calibri" w:hAnsi="Calibri"/>
        </w:rPr>
        <w:t>/</w:t>
      </w:r>
      <w:r w:rsidRPr="007524A9">
        <w:rPr>
          <w:rFonts w:ascii="Calibri" w:hAnsi="Calibri"/>
        </w:rPr>
        <w:t>2015</w:t>
      </w:r>
      <w:r w:rsidR="00D10D1B" w:rsidRPr="007524A9">
        <w:rPr>
          <w:rFonts w:ascii="Calibri" w:hAnsi="Calibri"/>
        </w:rPr>
        <w:t>]</w:t>
      </w:r>
      <w:r w:rsidRPr="007524A9">
        <w:rPr>
          <w:rFonts w:ascii="Calibri" w:hAnsi="Calibri"/>
        </w:rPr>
        <w:t>.</w:t>
      </w:r>
    </w:p>
    <w:p w14:paraId="51673628" w14:textId="3DBF0ABA" w:rsidR="0077431B" w:rsidRPr="007524A9" w:rsidRDefault="00FA0D3A" w:rsidP="00537F8B">
      <w:pPr>
        <w:pStyle w:val="p1"/>
        <w:numPr>
          <w:ilvl w:val="0"/>
          <w:numId w:val="12"/>
        </w:numPr>
        <w:tabs>
          <w:tab w:val="left" w:pos="426"/>
        </w:tabs>
        <w:spacing w:before="0" w:beforeAutospacing="0" w:after="0" w:afterAutospacing="0" w:line="360" w:lineRule="auto"/>
        <w:ind w:left="0" w:firstLine="0"/>
        <w:jc w:val="both"/>
        <w:rPr>
          <w:rFonts w:ascii="Calibri" w:hAnsi="Calibri"/>
        </w:rPr>
      </w:pPr>
      <w:r w:rsidRPr="007524A9">
        <w:rPr>
          <w:rFonts w:ascii="Calibri" w:hAnsi="Calibri"/>
        </w:rPr>
        <w:t xml:space="preserve">D’altra parte la stessa Amministrazione finanziaria </w:t>
      </w:r>
      <w:r w:rsidRPr="007524A9">
        <w:rPr>
          <w:rFonts w:ascii="Calibri" w:hAnsi="Calibri"/>
          <w:bCs/>
        </w:rPr>
        <w:t xml:space="preserve">già nel 2006 in tema di problematiche inerenti alle differenze inventariali rilevate presso gli operatori tenuti alla contabilità di magazzino, aveva puntualizzato che </w:t>
      </w:r>
      <w:r w:rsidRPr="007524A9">
        <w:rPr>
          <w:rFonts w:ascii="Calibri" w:hAnsi="Calibri"/>
          <w:bCs/>
          <w:i/>
          <w:iCs/>
        </w:rPr>
        <w:t>le differenze inventariali non necessariamente sono riconducibili a fenomeni di evasione di imposta, ma si generano anche in modo fisiologico in relazione alla ordinaria dinamica gestionale di un magazzino</w:t>
      </w:r>
      <w:r w:rsidRPr="007524A9">
        <w:rPr>
          <w:rFonts w:ascii="Calibri" w:hAnsi="Calibri"/>
          <w:bCs/>
        </w:rPr>
        <w:t xml:space="preserve"> e, pertanto, </w:t>
      </w:r>
      <w:r w:rsidR="00CA3E4B" w:rsidRPr="007524A9">
        <w:rPr>
          <w:rFonts w:ascii="Calibri" w:hAnsi="Calibri"/>
          <w:bCs/>
          <w:i/>
          <w:iCs/>
        </w:rPr>
        <w:t>s</w:t>
      </w:r>
      <w:r w:rsidRPr="007524A9">
        <w:rPr>
          <w:rFonts w:ascii="Calibri" w:hAnsi="Calibri"/>
          <w:bCs/>
          <w:i/>
          <w:iCs/>
        </w:rPr>
        <w:t xml:space="preserve">arà cura del verificatore non limitarsi alla ripresa tassazione sic et </w:t>
      </w:r>
      <w:proofErr w:type="spellStart"/>
      <w:r w:rsidRPr="007524A9">
        <w:rPr>
          <w:rFonts w:ascii="Calibri" w:hAnsi="Calibri"/>
          <w:bCs/>
          <w:i/>
          <w:iCs/>
        </w:rPr>
        <w:t>sempliciter</w:t>
      </w:r>
      <w:proofErr w:type="spellEnd"/>
      <w:r w:rsidRPr="007524A9">
        <w:rPr>
          <w:rFonts w:ascii="Calibri" w:hAnsi="Calibri"/>
          <w:bCs/>
          <w:i/>
          <w:iCs/>
        </w:rPr>
        <w:t xml:space="preserve"> degli importi corrispondenti al valore delle predette differenze, ma esaminare il processo di formazione delle stesse e la loro natura fisiologica o patologica in relazione all'attività in concreto svolta dall'impresa e in relazione agli elementi ed alle informazioni eventualmente forniti dal contribuente </w:t>
      </w:r>
      <w:r w:rsidR="00CA3E4B" w:rsidRPr="007524A9">
        <w:rPr>
          <w:rFonts w:ascii="Calibri" w:hAnsi="Calibri"/>
          <w:bCs/>
        </w:rPr>
        <w:t>[</w:t>
      </w:r>
      <w:proofErr w:type="spellStart"/>
      <w:r w:rsidR="00CA3E4B" w:rsidRPr="007524A9">
        <w:rPr>
          <w:rFonts w:ascii="Calibri" w:hAnsi="Calibri"/>
          <w:bCs/>
        </w:rPr>
        <w:t>cfr</w:t>
      </w:r>
      <w:proofErr w:type="spellEnd"/>
      <w:r w:rsidR="00CA3E4B" w:rsidRPr="007524A9">
        <w:rPr>
          <w:rFonts w:ascii="Calibri" w:hAnsi="Calibri"/>
          <w:bCs/>
        </w:rPr>
        <w:t xml:space="preserve"> C</w:t>
      </w:r>
      <w:r w:rsidRPr="007524A9">
        <w:rPr>
          <w:rFonts w:ascii="Calibri" w:hAnsi="Calibri"/>
          <w:bCs/>
        </w:rPr>
        <w:t xml:space="preserve">ircolare </w:t>
      </w:r>
      <w:r w:rsidR="00CA3E4B" w:rsidRPr="007524A9">
        <w:rPr>
          <w:rFonts w:ascii="Calibri" w:hAnsi="Calibri"/>
          <w:bCs/>
        </w:rPr>
        <w:t>n. 31E del 02.10.2006 dell’</w:t>
      </w:r>
      <w:r w:rsidRPr="007524A9">
        <w:rPr>
          <w:rFonts w:ascii="Calibri" w:hAnsi="Calibri"/>
          <w:bCs/>
        </w:rPr>
        <w:t>Agenzia delle Entrate</w:t>
      </w:r>
      <w:r w:rsidR="00CA3E4B" w:rsidRPr="007524A9">
        <w:rPr>
          <w:rFonts w:ascii="Calibri" w:hAnsi="Calibri"/>
          <w:bCs/>
        </w:rPr>
        <w:t>]</w:t>
      </w:r>
      <w:r w:rsidRPr="007524A9">
        <w:rPr>
          <w:rFonts w:ascii="Calibri" w:hAnsi="Calibri"/>
          <w:bCs/>
        </w:rPr>
        <w:t>.</w:t>
      </w:r>
    </w:p>
    <w:p w14:paraId="116FAA9A" w14:textId="2B7663EB" w:rsidR="000863D6" w:rsidRPr="007524A9" w:rsidRDefault="000863D6" w:rsidP="00537F8B">
      <w:pPr>
        <w:pStyle w:val="p1"/>
        <w:numPr>
          <w:ilvl w:val="0"/>
          <w:numId w:val="12"/>
        </w:numPr>
        <w:tabs>
          <w:tab w:val="left" w:pos="426"/>
        </w:tabs>
        <w:spacing w:before="0" w:beforeAutospacing="0" w:after="0" w:afterAutospacing="0" w:line="360" w:lineRule="auto"/>
        <w:ind w:left="0" w:firstLine="0"/>
        <w:jc w:val="both"/>
        <w:rPr>
          <w:rFonts w:ascii="Calibri" w:hAnsi="Calibri"/>
        </w:rPr>
      </w:pPr>
      <w:r w:rsidRPr="007524A9">
        <w:rPr>
          <w:rFonts w:ascii="Calibri" w:hAnsi="Calibri"/>
          <w:bCs/>
        </w:rPr>
        <w:t xml:space="preserve">In chiosa al motivo controparte azzarda </w:t>
      </w:r>
      <w:r w:rsidR="001C73E6" w:rsidRPr="007524A9">
        <w:rPr>
          <w:rFonts w:ascii="Calibri" w:hAnsi="Calibri"/>
          <w:bCs/>
        </w:rPr>
        <w:t xml:space="preserve">in una stringata riga e mezza </w:t>
      </w:r>
      <w:r w:rsidRPr="007524A9">
        <w:rPr>
          <w:rFonts w:ascii="Calibri" w:hAnsi="Calibri"/>
          <w:bCs/>
        </w:rPr>
        <w:t xml:space="preserve">la considerazione che </w:t>
      </w:r>
      <w:proofErr w:type="gramStart"/>
      <w:r w:rsidRPr="007524A9">
        <w:rPr>
          <w:rFonts w:ascii="Calibri" w:hAnsi="Calibri"/>
          <w:bCs/>
        </w:rPr>
        <w:t>sarebbe ”</w:t>
      </w:r>
      <w:r w:rsidRPr="007524A9">
        <w:rPr>
          <w:rFonts w:ascii="Calibri" w:hAnsi="Calibri"/>
          <w:bCs/>
          <w:i/>
          <w:iCs/>
        </w:rPr>
        <w:t>emersa</w:t>
      </w:r>
      <w:proofErr w:type="gramEnd"/>
      <w:r w:rsidRPr="007524A9">
        <w:rPr>
          <w:rFonts w:ascii="Calibri" w:hAnsi="Calibri"/>
          <w:bCs/>
          <w:i/>
          <w:iCs/>
        </w:rPr>
        <w:t xml:space="preserve"> la condotta antieconomica della società intimata (pag. 10 del ricorso in appello</w:t>
      </w:r>
      <w:r w:rsidRPr="007524A9">
        <w:rPr>
          <w:rFonts w:ascii="Calibri" w:hAnsi="Calibri"/>
          <w:bCs/>
        </w:rPr>
        <w:t>” senza altro aggiungere o documentare.</w:t>
      </w:r>
    </w:p>
    <w:p w14:paraId="72C4A969" w14:textId="52C6843C" w:rsidR="000863D6" w:rsidRPr="007524A9" w:rsidRDefault="000863D6" w:rsidP="000863D6">
      <w:pPr>
        <w:pStyle w:val="p1"/>
        <w:tabs>
          <w:tab w:val="left" w:pos="426"/>
        </w:tabs>
        <w:spacing w:before="0" w:beforeAutospacing="0" w:after="0" w:afterAutospacing="0" w:line="360" w:lineRule="auto"/>
        <w:jc w:val="both"/>
        <w:rPr>
          <w:rFonts w:ascii="Calibri" w:hAnsi="Calibri"/>
          <w:bCs/>
        </w:rPr>
      </w:pPr>
      <w:r w:rsidRPr="007524A9">
        <w:rPr>
          <w:rFonts w:ascii="Calibri" w:hAnsi="Calibri"/>
          <w:bCs/>
        </w:rPr>
        <w:t>È di piena evidenza la lacunosità di quanto asserito, in violazione del principio di autosufficienza sul punto</w:t>
      </w:r>
      <w:r w:rsidR="001C73E6" w:rsidRPr="007524A9">
        <w:rPr>
          <w:rFonts w:ascii="Calibri" w:hAnsi="Calibri"/>
          <w:bCs/>
        </w:rPr>
        <w:t>, rilevabile senza altrimenti tediare l’Ecc.ma Corte, e peraltro limitandosi a eccepire l’infondatezza dell’assunto, in quanto palesemente sconfessato dalle risultanze economiche e patrimoniali della società già richiamate, e che si riassumono per l’esercizio 2015 in esame in:</w:t>
      </w:r>
    </w:p>
    <w:p w14:paraId="05838BA7" w14:textId="77777777" w:rsidR="001C73E6" w:rsidRPr="007524A9" w:rsidRDefault="001C73E6" w:rsidP="001C73E6">
      <w:pPr>
        <w:pStyle w:val="Paragrafoelenco"/>
        <w:numPr>
          <w:ilvl w:val="0"/>
          <w:numId w:val="8"/>
        </w:numPr>
        <w:spacing w:line="360" w:lineRule="auto"/>
        <w:ind w:left="426" w:right="-82" w:hanging="426"/>
        <w:jc w:val="both"/>
        <w:rPr>
          <w:rFonts w:ascii="Calibri" w:hAnsi="Calibri"/>
        </w:rPr>
      </w:pPr>
      <w:r w:rsidRPr="007524A9">
        <w:rPr>
          <w:rFonts w:ascii="Calibri" w:hAnsi="Calibri"/>
        </w:rPr>
        <w:t xml:space="preserve">capitale sociale di euro 300.000,00 </w:t>
      </w:r>
    </w:p>
    <w:p w14:paraId="22914330" w14:textId="77777777" w:rsidR="001C73E6" w:rsidRPr="007524A9" w:rsidRDefault="001C73E6" w:rsidP="001C73E6">
      <w:pPr>
        <w:pStyle w:val="Paragrafoelenco"/>
        <w:numPr>
          <w:ilvl w:val="0"/>
          <w:numId w:val="8"/>
        </w:numPr>
        <w:spacing w:line="360" w:lineRule="auto"/>
        <w:ind w:left="426" w:right="-82" w:hanging="426"/>
        <w:jc w:val="both"/>
        <w:rPr>
          <w:rFonts w:ascii="Calibri" w:hAnsi="Calibri"/>
        </w:rPr>
      </w:pPr>
      <w:r w:rsidRPr="007524A9">
        <w:rPr>
          <w:rFonts w:ascii="Calibri" w:hAnsi="Calibri"/>
        </w:rPr>
        <w:t>riserve per euro 3.249.220,00</w:t>
      </w:r>
    </w:p>
    <w:p w14:paraId="39CB40C9" w14:textId="77777777" w:rsidR="001C73E6" w:rsidRPr="007524A9" w:rsidRDefault="001C73E6" w:rsidP="001C73E6">
      <w:pPr>
        <w:pStyle w:val="Paragrafoelenco"/>
        <w:numPr>
          <w:ilvl w:val="0"/>
          <w:numId w:val="8"/>
        </w:numPr>
        <w:spacing w:line="360" w:lineRule="auto"/>
        <w:ind w:left="426" w:right="-82" w:hanging="426"/>
        <w:jc w:val="both"/>
        <w:rPr>
          <w:rFonts w:ascii="Calibri" w:hAnsi="Calibri"/>
        </w:rPr>
      </w:pPr>
      <w:r w:rsidRPr="007524A9">
        <w:rPr>
          <w:rFonts w:ascii="Calibri" w:hAnsi="Calibri"/>
        </w:rPr>
        <w:t>utile per euro 297.830,00</w:t>
      </w:r>
    </w:p>
    <w:p w14:paraId="45812946" w14:textId="77777777" w:rsidR="001C73E6" w:rsidRPr="007524A9" w:rsidRDefault="001C73E6" w:rsidP="001C73E6">
      <w:pPr>
        <w:pStyle w:val="Paragrafoelenco"/>
        <w:numPr>
          <w:ilvl w:val="0"/>
          <w:numId w:val="8"/>
        </w:numPr>
        <w:spacing w:line="360" w:lineRule="auto"/>
        <w:ind w:left="426" w:right="-82" w:hanging="426"/>
        <w:jc w:val="both"/>
        <w:rPr>
          <w:rFonts w:ascii="Calibri" w:hAnsi="Calibri"/>
        </w:rPr>
      </w:pPr>
      <w:r w:rsidRPr="007524A9">
        <w:rPr>
          <w:rFonts w:ascii="Calibri" w:hAnsi="Calibri"/>
        </w:rPr>
        <w:t>patrimonio netto per euro 3.847.050,00</w:t>
      </w:r>
    </w:p>
    <w:p w14:paraId="3E24CF2A" w14:textId="637308C9" w:rsidR="00773D85" w:rsidRPr="007524A9" w:rsidRDefault="001C73E6" w:rsidP="001C73E6">
      <w:pPr>
        <w:pStyle w:val="Paragrafoelenco"/>
        <w:numPr>
          <w:ilvl w:val="0"/>
          <w:numId w:val="8"/>
        </w:numPr>
        <w:spacing w:line="360" w:lineRule="auto"/>
        <w:ind w:left="426" w:right="-82" w:hanging="426"/>
        <w:jc w:val="both"/>
        <w:rPr>
          <w:rFonts w:ascii="Calibri" w:hAnsi="Calibri"/>
        </w:rPr>
      </w:pPr>
      <w:r w:rsidRPr="007524A9">
        <w:rPr>
          <w:rFonts w:ascii="Calibri" w:hAnsi="Calibri"/>
        </w:rPr>
        <w:t>volume d’affari di euro 92.890.579,00.</w:t>
      </w:r>
    </w:p>
    <w:p w14:paraId="50C024A7" w14:textId="738E9C10" w:rsidR="000863D6" w:rsidRPr="007524A9" w:rsidRDefault="000863D6" w:rsidP="00243884">
      <w:pPr>
        <w:numPr>
          <w:ilvl w:val="0"/>
          <w:numId w:val="4"/>
        </w:numPr>
        <w:tabs>
          <w:tab w:val="left" w:pos="426"/>
        </w:tabs>
        <w:spacing w:before="240" w:line="360" w:lineRule="auto"/>
        <w:ind w:left="426" w:right="-215" w:hanging="426"/>
        <w:jc w:val="both"/>
        <w:rPr>
          <w:rFonts w:ascii="Calibri" w:hAnsi="Calibri" w:cs="Calibri"/>
          <w:b/>
        </w:rPr>
      </w:pPr>
      <w:r w:rsidRPr="007524A9">
        <w:rPr>
          <w:rFonts w:ascii="Calibri" w:hAnsi="Calibri" w:cs="Calibri"/>
          <w:b/>
          <w:bCs/>
        </w:rPr>
        <w:t>TERZO MOTIVO</w:t>
      </w:r>
    </w:p>
    <w:p w14:paraId="764AF15B" w14:textId="14A82413" w:rsidR="000863D6" w:rsidRPr="007524A9" w:rsidRDefault="000863D6" w:rsidP="00243884">
      <w:pPr>
        <w:pStyle w:val="Paragrafoelenco"/>
        <w:numPr>
          <w:ilvl w:val="0"/>
          <w:numId w:val="10"/>
        </w:numPr>
        <w:tabs>
          <w:tab w:val="left" w:pos="426"/>
        </w:tabs>
        <w:spacing w:line="360" w:lineRule="auto"/>
        <w:ind w:right="-215"/>
        <w:jc w:val="both"/>
        <w:rPr>
          <w:rFonts w:ascii="Calibri" w:hAnsi="Calibri" w:cs="Calibri"/>
          <w:b/>
        </w:rPr>
      </w:pPr>
      <w:r w:rsidRPr="007524A9">
        <w:rPr>
          <w:rFonts w:ascii="Calibri" w:hAnsi="Calibri" w:cs="Calibri"/>
          <w:b/>
          <w:bCs/>
          <w:i/>
          <w:iCs/>
        </w:rPr>
        <w:t>Violazione del principio di corrispondenza tra il chiesto e pronunciato di cui all’art. 112 c.p. in relazione all’art. 360, comma 1, n. 4 c.p.c.</w:t>
      </w:r>
      <w:r w:rsidR="00261E92" w:rsidRPr="007524A9">
        <w:rPr>
          <w:rFonts w:ascii="Calibri" w:hAnsi="Calibri" w:cs="Calibri"/>
          <w:b/>
          <w:bCs/>
          <w:i/>
          <w:iCs/>
        </w:rPr>
        <w:t xml:space="preserve"> </w:t>
      </w:r>
      <w:r w:rsidR="001F4037" w:rsidRPr="007524A9">
        <w:rPr>
          <w:rFonts w:ascii="Calibri" w:hAnsi="Calibri" w:cs="Calibri"/>
          <w:b/>
          <w:bCs/>
          <w:i/>
          <w:iCs/>
        </w:rPr>
        <w:t xml:space="preserve"> </w:t>
      </w:r>
    </w:p>
    <w:p w14:paraId="252C662F" w14:textId="1ADABC3F" w:rsidR="00773D85" w:rsidRPr="007524A9" w:rsidRDefault="00817601" w:rsidP="00944777">
      <w:pPr>
        <w:pStyle w:val="Paragrafoelenco"/>
        <w:numPr>
          <w:ilvl w:val="0"/>
          <w:numId w:val="14"/>
        </w:numPr>
        <w:shd w:val="clear" w:color="auto" w:fill="FFFFFF"/>
        <w:tabs>
          <w:tab w:val="left" w:pos="426"/>
        </w:tabs>
        <w:spacing w:line="360" w:lineRule="auto"/>
        <w:ind w:left="0" w:firstLine="0"/>
        <w:jc w:val="both"/>
        <w:rPr>
          <w:rFonts w:ascii="Calibri" w:hAnsi="Calibri"/>
          <w:sz w:val="22"/>
          <w:szCs w:val="22"/>
        </w:rPr>
      </w:pPr>
      <w:r w:rsidRPr="007524A9">
        <w:rPr>
          <w:rFonts w:asciiTheme="minorHAnsi" w:hAnsiTheme="minorHAnsi" w:cstheme="minorHAnsi"/>
        </w:rPr>
        <w:t xml:space="preserve">Anche questo è un Motivo inammissibile, poiché redatto nel tentativo di “aggirare” il limite </w:t>
      </w:r>
      <w:r w:rsidR="00F01655" w:rsidRPr="007524A9">
        <w:rPr>
          <w:rFonts w:asciiTheme="minorHAnsi" w:hAnsiTheme="minorHAnsi" w:cstheme="minorHAnsi"/>
        </w:rPr>
        <w:t xml:space="preserve">nel </w:t>
      </w:r>
      <w:r w:rsidRPr="007524A9">
        <w:rPr>
          <w:rFonts w:asciiTheme="minorHAnsi" w:hAnsiTheme="minorHAnsi" w:cstheme="minorHAnsi"/>
        </w:rPr>
        <w:t xml:space="preserve">ricorso </w:t>
      </w:r>
      <w:r w:rsidR="00F01655" w:rsidRPr="007524A9">
        <w:rPr>
          <w:rFonts w:asciiTheme="minorHAnsi" w:hAnsiTheme="minorHAnsi" w:cstheme="minorHAnsi"/>
        </w:rPr>
        <w:t>per Cassazione</w:t>
      </w:r>
      <w:r w:rsidR="00035D5C" w:rsidRPr="007524A9">
        <w:rPr>
          <w:rFonts w:asciiTheme="minorHAnsi" w:hAnsiTheme="minorHAnsi" w:cstheme="minorHAnsi"/>
        </w:rPr>
        <w:t xml:space="preserve"> nel caso rilevi il principio della cd. “doppia conforme”</w:t>
      </w:r>
      <w:r w:rsidRPr="007524A9">
        <w:rPr>
          <w:rFonts w:asciiTheme="minorHAnsi" w:hAnsiTheme="minorHAnsi" w:cstheme="minorHAnsi"/>
        </w:rPr>
        <w:t>.</w:t>
      </w:r>
    </w:p>
    <w:p w14:paraId="24F8E614" w14:textId="553EC058" w:rsidR="00047B57" w:rsidRPr="007524A9" w:rsidRDefault="00047B57" w:rsidP="00AB04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heme="minorHAnsi" w:hAnsiTheme="minorHAnsi" w:cstheme="minorHAnsi"/>
        </w:rPr>
      </w:pPr>
      <w:r w:rsidRPr="007524A9">
        <w:rPr>
          <w:rFonts w:asciiTheme="minorHAnsi" w:hAnsiTheme="minorHAnsi" w:cstheme="minorHAnsi"/>
        </w:rPr>
        <w:lastRenderedPageBreak/>
        <w:t>Si contesta che i rilievi di riferimento non fossero connessi all’applicazione del metodo analitico-induttivo per il quale l’Ufficio ha fatto ricorso ai fini dell’accertamento</w:t>
      </w:r>
      <w:r w:rsidR="00F01655" w:rsidRPr="007524A9">
        <w:rPr>
          <w:rFonts w:asciiTheme="minorHAnsi" w:hAnsiTheme="minorHAnsi" w:cstheme="minorHAnsi"/>
        </w:rPr>
        <w:t xml:space="preserve">, e anzi </w:t>
      </w:r>
      <w:r w:rsidR="00243884" w:rsidRPr="007524A9">
        <w:rPr>
          <w:rFonts w:asciiTheme="minorHAnsi" w:hAnsiTheme="minorHAnsi" w:cstheme="minorHAnsi"/>
        </w:rPr>
        <w:t xml:space="preserve">si </w:t>
      </w:r>
      <w:r w:rsidR="00F01655" w:rsidRPr="007524A9">
        <w:rPr>
          <w:rFonts w:asciiTheme="minorHAnsi" w:hAnsiTheme="minorHAnsi" w:cstheme="minorHAnsi"/>
        </w:rPr>
        <w:t xml:space="preserve">ritiene </w:t>
      </w:r>
      <w:r w:rsidR="00243884" w:rsidRPr="007524A9">
        <w:rPr>
          <w:rFonts w:asciiTheme="minorHAnsi" w:hAnsiTheme="minorHAnsi" w:cstheme="minorHAnsi"/>
        </w:rPr>
        <w:t>che controparte stessa nel suo atto si contraddic</w:t>
      </w:r>
      <w:r w:rsidR="00F01655" w:rsidRPr="007524A9">
        <w:rPr>
          <w:rFonts w:asciiTheme="minorHAnsi" w:hAnsiTheme="minorHAnsi" w:cstheme="minorHAnsi"/>
        </w:rPr>
        <w:t>a</w:t>
      </w:r>
      <w:r w:rsidR="00243884" w:rsidRPr="007524A9">
        <w:rPr>
          <w:rFonts w:asciiTheme="minorHAnsi" w:hAnsiTheme="minorHAnsi" w:cstheme="minorHAnsi"/>
        </w:rPr>
        <w:t xml:space="preserve"> </w:t>
      </w:r>
      <w:r w:rsidR="00F01655" w:rsidRPr="007524A9">
        <w:rPr>
          <w:rFonts w:asciiTheme="minorHAnsi" w:hAnsiTheme="minorHAnsi" w:cstheme="minorHAnsi"/>
        </w:rPr>
        <w:t xml:space="preserve">prima </w:t>
      </w:r>
      <w:r w:rsidR="00243884" w:rsidRPr="007524A9">
        <w:rPr>
          <w:rFonts w:asciiTheme="minorHAnsi" w:hAnsiTheme="minorHAnsi" w:cstheme="minorHAnsi"/>
        </w:rPr>
        <w:t>affermando che i rilevi “</w:t>
      </w:r>
      <w:r w:rsidR="00243884" w:rsidRPr="007524A9">
        <w:rPr>
          <w:rFonts w:asciiTheme="minorHAnsi" w:hAnsiTheme="minorHAnsi" w:cstheme="minorHAnsi"/>
          <w:i/>
          <w:iCs/>
        </w:rPr>
        <w:t>nulla avevano a che vedere con il ricorso all’art. 39 comma 1 lett. d)</w:t>
      </w:r>
      <w:r w:rsidR="00243884" w:rsidRPr="007524A9">
        <w:rPr>
          <w:rFonts w:asciiTheme="minorHAnsi" w:hAnsiTheme="minorHAnsi" w:cstheme="minorHAnsi"/>
        </w:rPr>
        <w:t>” ma subito di seguito aggiunge</w:t>
      </w:r>
      <w:r w:rsidR="00F01655" w:rsidRPr="007524A9">
        <w:rPr>
          <w:rFonts w:asciiTheme="minorHAnsi" w:hAnsiTheme="minorHAnsi" w:cstheme="minorHAnsi"/>
        </w:rPr>
        <w:t>ndo</w:t>
      </w:r>
      <w:r w:rsidR="00243884" w:rsidRPr="007524A9">
        <w:rPr>
          <w:rFonts w:asciiTheme="minorHAnsi" w:hAnsiTheme="minorHAnsi" w:cstheme="minorHAnsi"/>
        </w:rPr>
        <w:t xml:space="preserve"> che per gli stessi rilievi “</w:t>
      </w:r>
      <w:r w:rsidR="00243884" w:rsidRPr="007524A9">
        <w:rPr>
          <w:rFonts w:asciiTheme="minorHAnsi" w:hAnsiTheme="minorHAnsi" w:cstheme="minorHAnsi"/>
          <w:i/>
          <w:iCs/>
        </w:rPr>
        <w:t>si tratta di errate contabilizzazioni di magazzino</w:t>
      </w:r>
      <w:r w:rsidR="00243884" w:rsidRPr="007524A9">
        <w:rPr>
          <w:rFonts w:asciiTheme="minorHAnsi" w:hAnsiTheme="minorHAnsi" w:cstheme="minorHAnsi"/>
        </w:rPr>
        <w:t xml:space="preserve">”. </w:t>
      </w:r>
    </w:p>
    <w:p w14:paraId="596FC80A" w14:textId="4AA5D8C0" w:rsidR="00944777" w:rsidRPr="007524A9" w:rsidRDefault="00F01655" w:rsidP="00944777">
      <w:pPr>
        <w:pStyle w:val="Paragrafoelenco"/>
        <w:numPr>
          <w:ilvl w:val="0"/>
          <w:numId w:val="14"/>
        </w:numPr>
        <w:shd w:val="clear" w:color="auto" w:fill="FFFFFF"/>
        <w:tabs>
          <w:tab w:val="left" w:pos="426"/>
        </w:tabs>
        <w:spacing w:line="360" w:lineRule="auto"/>
        <w:ind w:left="0" w:firstLine="0"/>
        <w:jc w:val="both"/>
        <w:rPr>
          <w:rFonts w:asciiTheme="minorHAnsi" w:hAnsiTheme="minorHAnsi" w:cstheme="minorHAnsi"/>
        </w:rPr>
      </w:pPr>
      <w:r w:rsidRPr="007524A9">
        <w:rPr>
          <w:rFonts w:asciiTheme="minorHAnsi" w:hAnsiTheme="minorHAnsi" w:cstheme="minorHAnsi"/>
        </w:rPr>
        <w:t>L’oggetto</w:t>
      </w:r>
      <w:r w:rsidR="00944777" w:rsidRPr="007524A9">
        <w:rPr>
          <w:rFonts w:asciiTheme="minorHAnsi" w:hAnsiTheme="minorHAnsi" w:cstheme="minorHAnsi"/>
        </w:rPr>
        <w:t xml:space="preserve"> tratta di presunte differenze tra giacenze fisiche e contabili di zinco in pani, di supposti errori nelle registrazioni dei movimenti di magazzino sia dei rottami (utilizzati nelle fusioni RZV e FERR), che dello zinco (SHG), ancora su ipotizzati errori nella qualificazione/quantificazione delle rimanenze e anche nelle giacenze iniziali e finali degli imballi, dello zinco in pani, oltre credute incongruenze in tema di schede di produzione e cespiti, il tutto per un valore complessivo a favore dell’erario di soli euro 8.499,85 che hanno indotto l’Ufficio all’applicazione per l’accertamento del metodo analitico-induttivo di cui all’art. 39, co. 1 lett.</w:t>
      </w:r>
      <w:r w:rsidR="004E3A76" w:rsidRPr="007524A9">
        <w:rPr>
          <w:rFonts w:asciiTheme="minorHAnsi" w:hAnsiTheme="minorHAnsi" w:cstheme="minorHAnsi"/>
        </w:rPr>
        <w:t xml:space="preserve"> </w:t>
      </w:r>
      <w:r w:rsidR="00944777" w:rsidRPr="007524A9">
        <w:rPr>
          <w:rFonts w:asciiTheme="minorHAnsi" w:hAnsiTheme="minorHAnsi" w:cstheme="minorHAnsi"/>
        </w:rPr>
        <w:t>d) del DPR n. 600/1973</w:t>
      </w:r>
      <w:r w:rsidRPr="007524A9">
        <w:rPr>
          <w:rFonts w:asciiTheme="minorHAnsi" w:hAnsiTheme="minorHAnsi" w:cstheme="minorHAnsi"/>
        </w:rPr>
        <w:t xml:space="preserve"> ritenendo </w:t>
      </w:r>
      <w:r w:rsidR="00670ECA" w:rsidRPr="007524A9">
        <w:rPr>
          <w:rFonts w:asciiTheme="minorHAnsi" w:hAnsiTheme="minorHAnsi" w:cstheme="minorHAnsi"/>
        </w:rPr>
        <w:t>sussistenti</w:t>
      </w:r>
      <w:r w:rsidRPr="007524A9">
        <w:rPr>
          <w:rFonts w:asciiTheme="minorHAnsi" w:hAnsiTheme="minorHAnsi" w:cstheme="minorHAnsi"/>
        </w:rPr>
        <w:t xml:space="preserve"> </w:t>
      </w:r>
      <w:r w:rsidR="00670ECA" w:rsidRPr="007524A9">
        <w:rPr>
          <w:rFonts w:asciiTheme="minorHAnsi" w:hAnsiTheme="minorHAnsi" w:cstheme="minorHAnsi"/>
        </w:rPr>
        <w:t>incompletezze e inesattezze nelle scritture contabili</w:t>
      </w:r>
      <w:r w:rsidR="00944777" w:rsidRPr="007524A9">
        <w:rPr>
          <w:rFonts w:asciiTheme="minorHAnsi" w:hAnsiTheme="minorHAnsi" w:cstheme="minorHAnsi"/>
        </w:rPr>
        <w:t>.</w:t>
      </w:r>
    </w:p>
    <w:p w14:paraId="721CA74D" w14:textId="1DABA113" w:rsidR="00243884" w:rsidRPr="007524A9" w:rsidRDefault="00243884" w:rsidP="00670ECA">
      <w:pPr>
        <w:pStyle w:val="Paragrafoelenco"/>
        <w:numPr>
          <w:ilvl w:val="0"/>
          <w:numId w:val="14"/>
        </w:numPr>
        <w:shd w:val="clear" w:color="auto" w:fill="FFFFFF"/>
        <w:tabs>
          <w:tab w:val="left" w:pos="426"/>
        </w:tabs>
        <w:spacing w:line="360" w:lineRule="auto"/>
        <w:ind w:left="0" w:firstLine="0"/>
        <w:jc w:val="both"/>
        <w:rPr>
          <w:rFonts w:asciiTheme="minorHAnsi" w:hAnsiTheme="minorHAnsi" w:cstheme="minorHAnsi"/>
        </w:rPr>
      </w:pPr>
      <w:r w:rsidRPr="007524A9">
        <w:rPr>
          <w:rFonts w:asciiTheme="minorHAnsi" w:hAnsiTheme="minorHAnsi" w:cstheme="minorHAnsi"/>
        </w:rPr>
        <w:t xml:space="preserve">Orbene, si è già avuto modo di esporre esaurientemente </w:t>
      </w:r>
      <w:r w:rsidR="00AD01A5" w:rsidRPr="007524A9">
        <w:rPr>
          <w:rFonts w:asciiTheme="minorHAnsi" w:hAnsiTheme="minorHAnsi" w:cstheme="minorHAnsi"/>
        </w:rPr>
        <w:t xml:space="preserve">sia </w:t>
      </w:r>
      <w:r w:rsidR="004E3A76" w:rsidRPr="007524A9">
        <w:rPr>
          <w:rFonts w:asciiTheme="minorHAnsi" w:hAnsiTheme="minorHAnsi" w:cstheme="minorHAnsi"/>
        </w:rPr>
        <w:t>ne</w:t>
      </w:r>
      <w:r w:rsidR="00AD01A5" w:rsidRPr="007524A9">
        <w:rPr>
          <w:rFonts w:asciiTheme="minorHAnsi" w:hAnsiTheme="minorHAnsi" w:cstheme="minorHAnsi"/>
        </w:rPr>
        <w:t xml:space="preserve">ll’opposizione al primo Motivo per le presunte differenze tra giacenze fisiche e contabili, </w:t>
      </w:r>
      <w:r w:rsidR="00944777" w:rsidRPr="007524A9">
        <w:rPr>
          <w:rFonts w:asciiTheme="minorHAnsi" w:hAnsiTheme="minorHAnsi" w:cstheme="minorHAnsi"/>
        </w:rPr>
        <w:t xml:space="preserve">e sia in opposizione al secondo Motivo in </w:t>
      </w:r>
      <w:r w:rsidRPr="007524A9">
        <w:rPr>
          <w:rFonts w:asciiTheme="minorHAnsi" w:hAnsiTheme="minorHAnsi" w:cstheme="minorHAnsi"/>
        </w:rPr>
        <w:t>riferi</w:t>
      </w:r>
      <w:r w:rsidR="00944777" w:rsidRPr="007524A9">
        <w:rPr>
          <w:rFonts w:asciiTheme="minorHAnsi" w:hAnsiTheme="minorHAnsi" w:cstheme="minorHAnsi"/>
        </w:rPr>
        <w:t>mento</w:t>
      </w:r>
      <w:r w:rsidRPr="007524A9">
        <w:rPr>
          <w:rFonts w:asciiTheme="minorHAnsi" w:hAnsiTheme="minorHAnsi" w:cstheme="minorHAnsi"/>
        </w:rPr>
        <w:t xml:space="preserve"> alle differenze </w:t>
      </w:r>
      <w:r w:rsidR="00944777" w:rsidRPr="007524A9">
        <w:rPr>
          <w:rFonts w:asciiTheme="minorHAnsi" w:hAnsiTheme="minorHAnsi" w:cstheme="minorHAnsi"/>
        </w:rPr>
        <w:t xml:space="preserve">inventariali scaturite dalla medesime risultanze </w:t>
      </w:r>
      <w:r w:rsidR="004E3A76" w:rsidRPr="007524A9">
        <w:rPr>
          <w:rFonts w:ascii="Calibri" w:hAnsi="Calibri"/>
        </w:rPr>
        <w:t>fra schede di magazzino e dettaglio delle rimanenze per quantità e valori</w:t>
      </w:r>
      <w:r w:rsidR="004E3A76" w:rsidRPr="007524A9">
        <w:rPr>
          <w:rFonts w:asciiTheme="minorHAnsi" w:hAnsiTheme="minorHAnsi" w:cstheme="minorHAnsi"/>
        </w:rPr>
        <w:t xml:space="preserve"> </w:t>
      </w:r>
      <w:r w:rsidR="00670ECA" w:rsidRPr="007524A9">
        <w:rPr>
          <w:rFonts w:asciiTheme="minorHAnsi" w:hAnsiTheme="minorHAnsi" w:cstheme="minorHAnsi"/>
        </w:rPr>
        <w:t xml:space="preserve">- </w:t>
      </w:r>
      <w:r w:rsidR="004E3A76" w:rsidRPr="007524A9">
        <w:rPr>
          <w:rFonts w:asciiTheme="minorHAnsi" w:hAnsiTheme="minorHAnsi" w:cstheme="minorHAnsi"/>
        </w:rPr>
        <w:t xml:space="preserve">che </w:t>
      </w:r>
      <w:r w:rsidR="00670ECA" w:rsidRPr="007524A9">
        <w:rPr>
          <w:rFonts w:asciiTheme="minorHAnsi" w:hAnsiTheme="minorHAnsi" w:cstheme="minorHAnsi"/>
        </w:rPr>
        <w:t>in</w:t>
      </w:r>
      <w:r w:rsidR="004E3A76" w:rsidRPr="007524A9">
        <w:rPr>
          <w:rFonts w:asciiTheme="minorHAnsi" w:hAnsiTheme="minorHAnsi" w:cstheme="minorHAnsi"/>
        </w:rPr>
        <w:t xml:space="preserve"> </w:t>
      </w:r>
      <w:r w:rsidR="00670ECA" w:rsidRPr="007524A9">
        <w:rPr>
          <w:rFonts w:asciiTheme="minorHAnsi" w:hAnsiTheme="minorHAnsi" w:cstheme="minorHAnsi"/>
        </w:rPr>
        <w:t xml:space="preserve">entrambe le circostanze </w:t>
      </w:r>
      <w:r w:rsidR="004E3A76" w:rsidRPr="007524A9">
        <w:rPr>
          <w:rFonts w:asciiTheme="minorHAnsi" w:hAnsiTheme="minorHAnsi" w:cstheme="minorHAnsi"/>
        </w:rPr>
        <w:t>hanno indotto l’Ufficio all’applicazione dell’accertamento con metodo analitico-induttivo, per cui si reputa che la doglianza avversaria non verta tanto su una violazione al principio di corrispondenza tra il chiesto e il pronunciato, quanto sull’omesso esame di un fatto storico, decisivo per il giudizio che è stato oggetto di discussione tra le parti.</w:t>
      </w:r>
    </w:p>
    <w:p w14:paraId="6EA30CF5" w14:textId="1F2D6E81" w:rsidR="004E3A76" w:rsidRPr="007524A9" w:rsidRDefault="004E3A76" w:rsidP="00AB04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heme="minorHAnsi" w:hAnsiTheme="minorHAnsi" w:cstheme="minorHAnsi"/>
        </w:rPr>
      </w:pPr>
      <w:r w:rsidRPr="007524A9">
        <w:rPr>
          <w:rFonts w:asciiTheme="minorHAnsi" w:hAnsiTheme="minorHAnsi" w:cstheme="minorHAnsi"/>
        </w:rPr>
        <w:t>Secondo tale prospettazione l’appellante avrebbe dovuto fare riferimento non all’art. 360, co. 1 n. 4, Cod. proc. civ. bensì alla previsione di cui al n. 5</w:t>
      </w:r>
      <w:r w:rsidR="00670ECA" w:rsidRPr="007524A9">
        <w:rPr>
          <w:rFonts w:asciiTheme="minorHAnsi" w:hAnsiTheme="minorHAnsi" w:cstheme="minorHAnsi"/>
        </w:rPr>
        <w:t>.</w:t>
      </w:r>
    </w:p>
    <w:p w14:paraId="50A8406E" w14:textId="278A9C54" w:rsidR="00670ECA" w:rsidRPr="007524A9" w:rsidRDefault="00670ECA" w:rsidP="00670ECA">
      <w:pPr>
        <w:pStyle w:val="Paragrafoelenco"/>
        <w:numPr>
          <w:ilvl w:val="0"/>
          <w:numId w:val="14"/>
        </w:numPr>
        <w:shd w:val="clear" w:color="auto" w:fill="FFFFFF"/>
        <w:tabs>
          <w:tab w:val="left" w:pos="426"/>
        </w:tabs>
        <w:spacing w:line="360" w:lineRule="auto"/>
        <w:ind w:left="0" w:firstLine="0"/>
        <w:jc w:val="both"/>
        <w:rPr>
          <w:rFonts w:asciiTheme="minorHAnsi" w:hAnsiTheme="minorHAnsi" w:cstheme="minorHAnsi"/>
        </w:rPr>
      </w:pPr>
      <w:r w:rsidRPr="007524A9">
        <w:rPr>
          <w:rFonts w:asciiTheme="minorHAnsi" w:hAnsiTheme="minorHAnsi" w:cstheme="minorHAnsi"/>
        </w:rPr>
        <w:t xml:space="preserve">Tuttavia </w:t>
      </w:r>
      <w:r w:rsidR="00E56672" w:rsidRPr="007524A9">
        <w:rPr>
          <w:rFonts w:asciiTheme="minorHAnsi" w:hAnsiTheme="minorHAnsi" w:cstheme="minorHAnsi"/>
        </w:rPr>
        <w:t>il dispositivo della norma che disciplina le sentenze impugnabili e i motivi di ricorso esclude al comma 4 la possibilità di impugnazione avanti</w:t>
      </w:r>
      <w:r w:rsidRPr="007524A9">
        <w:rPr>
          <w:rFonts w:asciiTheme="minorHAnsi" w:hAnsiTheme="minorHAnsi" w:cstheme="minorHAnsi"/>
        </w:rPr>
        <w:t xml:space="preserve"> alla Corte di Cassazione per omesso esame di un fatto decisivo contro una sentenza del giudice di appello se quest'ultimo ha confermato, per le stesse ragioni, la soluzione che il giudice di primo grado ha dato alla questione di fatto.</w:t>
      </w:r>
    </w:p>
    <w:p w14:paraId="4A22A35C" w14:textId="7649227F" w:rsidR="00670ECA" w:rsidRPr="007524A9" w:rsidRDefault="00670ECA" w:rsidP="00AB04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heme="minorHAnsi" w:hAnsiTheme="minorHAnsi" w:cstheme="minorHAnsi"/>
        </w:rPr>
      </w:pPr>
      <w:r w:rsidRPr="007524A9">
        <w:rPr>
          <w:rFonts w:asciiTheme="minorHAnsi" w:hAnsiTheme="minorHAnsi" w:cstheme="minorHAnsi"/>
        </w:rPr>
        <w:t xml:space="preserve">Si ha il caso della cd. doppia conforme quando la pronuncia di appello conferma la decisione di primo grado, per le medesime ragioni inerenti e medesimi fatti che sono stati posti alla base della decisione impugnata, il ricorso per Cassazione può essere proposto solo per i motivi di </w:t>
      </w:r>
      <w:r w:rsidRPr="007524A9">
        <w:rPr>
          <w:rFonts w:asciiTheme="minorHAnsi" w:hAnsiTheme="minorHAnsi" w:cstheme="minorHAnsi"/>
        </w:rPr>
        <w:lastRenderedPageBreak/>
        <w:t xml:space="preserve">cui all'articolo 360, co 1 </w:t>
      </w:r>
      <w:proofErr w:type="spellStart"/>
      <w:r w:rsidRPr="007524A9">
        <w:rPr>
          <w:rFonts w:asciiTheme="minorHAnsi" w:hAnsiTheme="minorHAnsi" w:cstheme="minorHAnsi"/>
        </w:rPr>
        <w:t>nn</w:t>
      </w:r>
      <w:proofErr w:type="spellEnd"/>
      <w:r w:rsidRPr="007524A9">
        <w:rPr>
          <w:rFonts w:asciiTheme="minorHAnsi" w:hAnsiTheme="minorHAnsi" w:cstheme="minorHAnsi"/>
        </w:rPr>
        <w:t>. 1, 2, 3 e 4, Cod. proc. civ., ad eccezione delle cause per le quali è prevista la partecipazione obbligatoria del PM.</w:t>
      </w:r>
    </w:p>
    <w:p w14:paraId="4EDD9AE0" w14:textId="6890351A" w:rsidR="004468D9" w:rsidRPr="007524A9" w:rsidRDefault="004468D9" w:rsidP="00BE6F99">
      <w:pPr>
        <w:pStyle w:val="Paragrafoelenco"/>
        <w:numPr>
          <w:ilvl w:val="0"/>
          <w:numId w:val="14"/>
        </w:numPr>
        <w:shd w:val="clear" w:color="auto" w:fill="FFFFFF"/>
        <w:tabs>
          <w:tab w:val="left" w:pos="426"/>
        </w:tabs>
        <w:spacing w:line="360" w:lineRule="auto"/>
        <w:ind w:left="0" w:firstLine="0"/>
        <w:jc w:val="both"/>
        <w:rPr>
          <w:rFonts w:asciiTheme="minorHAnsi" w:hAnsiTheme="minorHAnsi" w:cstheme="minorHAnsi"/>
          <w:i/>
          <w:iCs/>
          <w:color w:val="000000" w:themeColor="text1"/>
        </w:rPr>
      </w:pPr>
      <w:r w:rsidRPr="007524A9">
        <w:rPr>
          <w:rFonts w:asciiTheme="minorHAnsi" w:hAnsiTheme="minorHAnsi" w:cstheme="minorHAnsi"/>
        </w:rPr>
        <w:t xml:space="preserve">Recentemente l’Ecc.ma Corte si è pronunciata affermando che </w:t>
      </w:r>
      <w:r w:rsidRPr="007524A9">
        <w:rPr>
          <w:rFonts w:asciiTheme="minorHAnsi" w:hAnsiTheme="minorHAnsi" w:cstheme="minorHAnsi"/>
          <w:i/>
          <w:iCs/>
          <w:color w:val="000000" w:themeColor="text1"/>
        </w:rPr>
        <w:t xml:space="preserve">Il motivo è inammissibile in relazione all'omesso esame di fatto decisivo, in costanza del principio della cd. doppia conforme ex </w:t>
      </w:r>
      <w:hyperlink r:id="rId27" w:history="1">
        <w:r w:rsidRPr="007524A9">
          <w:rPr>
            <w:rFonts w:asciiTheme="minorHAnsi" w:hAnsiTheme="minorHAnsi" w:cstheme="minorHAnsi"/>
            <w:i/>
            <w:iCs/>
            <w:color w:val="000000" w:themeColor="text1"/>
          </w:rPr>
          <w:t>art. 348 ter</w:t>
        </w:r>
      </w:hyperlink>
      <w:r w:rsidRPr="007524A9">
        <w:rPr>
          <w:rFonts w:asciiTheme="minorHAnsi" w:hAnsiTheme="minorHAnsi" w:cstheme="minorHAnsi"/>
          <w:i/>
          <w:iCs/>
          <w:color w:val="000000" w:themeColor="text1"/>
        </w:rPr>
        <w:t xml:space="preserve"> cod. proc. civ. e non avendo la parte attuale ricorrente specificato in ricorso le ragioni di fatto poste rispettivamente a fondamento della decisione di primo grado e di secondo grado, così dimostrando che esse sono tra loro diverse (Cass. 20 marzo 2024, n. 7442; Cass., 20 settembre 2023, n. 26934; Cass., 28 febbraio 2023, n. 5947; Cass., 9 marzo 2022, n. 7724; Cass., 26 gennaio 2021, n. 1562; Cass., 11 maggio 2018, n. 11439); inoltre, la giurisprudenza di questa Corte è ormai consolidata nell'affermare che il novellato testo dell'</w:t>
      </w:r>
      <w:hyperlink r:id="rId28" w:history="1">
        <w:r w:rsidRPr="007524A9">
          <w:rPr>
            <w:rFonts w:asciiTheme="minorHAnsi" w:hAnsiTheme="minorHAnsi" w:cstheme="minorHAnsi"/>
            <w:i/>
            <w:iCs/>
            <w:color w:val="000000" w:themeColor="text1"/>
          </w:rPr>
          <w:t>art. 360</w:t>
        </w:r>
      </w:hyperlink>
      <w:r w:rsidRPr="007524A9">
        <w:rPr>
          <w:rFonts w:asciiTheme="minorHAnsi" w:hAnsiTheme="minorHAnsi" w:cstheme="minorHAnsi"/>
          <w:i/>
          <w:iCs/>
          <w:color w:val="000000" w:themeColor="text1"/>
        </w:rPr>
        <w:t>, primo comma, n. 5, cod. proc. civ. ha introdotto nell'ordinamento un vizio specifico che concerne l'omesso esame di un fatto storico, principale o secondario, la cui esistenza risulti dal testo della sentenza o dagli atti processuali, che, oltre ad avere carattere decisivo, abbia costituito oggetto di discussione tra le parti; che l'omesso esame di elementi istruttori non integra di per sé vizio di omesso esame di un fatto decisivo, se il fatto storico rilevante in causa sia stato comunque preso in considerazione dal giudice, benché la sentenza non abbia dato conto di tutte le risultanze probatorie e che neppure il cattivo esercizio del potere di apprezzamento delle prove non legali da parte del giudice di merito dà luogo ad un vizio rilevante ai sensi della predetta norma (Cass., 23 agosto 2023, n. 25124; Cass., Sez. U., 27 dicembre 2019, n. 34476; Cass., Sez., 7 aprile 2014, n. 8053).</w:t>
      </w:r>
    </w:p>
    <w:p w14:paraId="09770FF6" w14:textId="144C22D6" w:rsidR="004468D9" w:rsidRPr="007524A9" w:rsidRDefault="004468D9" w:rsidP="00AB04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heme="minorHAnsi" w:hAnsiTheme="minorHAnsi" w:cstheme="minorHAnsi"/>
        </w:rPr>
      </w:pPr>
      <w:r w:rsidRPr="007524A9">
        <w:rPr>
          <w:rFonts w:asciiTheme="minorHAnsi" w:hAnsiTheme="minorHAnsi" w:cstheme="minorHAnsi"/>
          <w:i/>
          <w:iCs/>
          <w:color w:val="000000" w:themeColor="text1"/>
        </w:rPr>
        <w:t>Ed invero "la giurisprudenza di questa Corte è infatti ormai consolidata nell'affermare che il novellato testo dell'</w:t>
      </w:r>
      <w:hyperlink r:id="rId29" w:history="1">
        <w:r w:rsidRPr="007524A9">
          <w:rPr>
            <w:rFonts w:asciiTheme="minorHAnsi" w:hAnsiTheme="minorHAnsi" w:cstheme="minorHAnsi"/>
            <w:i/>
            <w:iCs/>
            <w:color w:val="000000" w:themeColor="text1"/>
          </w:rPr>
          <w:t>art. 360</w:t>
        </w:r>
      </w:hyperlink>
      <w:r w:rsidRPr="007524A9">
        <w:rPr>
          <w:rFonts w:asciiTheme="minorHAnsi" w:hAnsiTheme="minorHAnsi" w:cstheme="minorHAnsi"/>
          <w:i/>
          <w:iCs/>
          <w:color w:val="000000" w:themeColor="text1"/>
        </w:rPr>
        <w:t xml:space="preserve">, primo comma, n. 5, cod. proc. civ. ha introdotto nell'ordinamento un vizio specifico che concerne l'omesso esame di un fatto storico, principale o secondario, la cui esistenza risulti dal testo della sentenza o dagli atti processuali, che abbia costituito oggetto di discussione tra le parti, oltre ad avere carattere decisivo; l'omesso esame di elementi istruttori non integra di per sé vizio di omesso esame di un fatto decisivo, se il fatto storico rilevante in causa sia stato comunque preso in considerazione dal giudice, benché la sentenza non abbia dato conto di tutte le risultanze probatorie; neppure il cattivo esercizio del potere di apprezzamento delle prove non legali da parte del giudice di merito dà luogo ad un vizio rilevante ai sensi della predetta norma" (Cass., Sez. U., 7 aprile 2014, n. 8053; Cass., Sez. U., 27 dicembre 2019, n. 34476; Cass., 23 agosto 2023, n. 25124) </w:t>
      </w:r>
      <w:r w:rsidRPr="007524A9">
        <w:rPr>
          <w:rFonts w:asciiTheme="minorHAnsi" w:hAnsiTheme="minorHAnsi" w:cstheme="minorHAnsi"/>
          <w:color w:val="000000" w:themeColor="text1"/>
        </w:rPr>
        <w:t xml:space="preserve">[Cassazione Civile </w:t>
      </w:r>
      <w:proofErr w:type="spellStart"/>
      <w:r w:rsidRPr="007524A9">
        <w:rPr>
          <w:rFonts w:asciiTheme="minorHAnsi" w:hAnsiTheme="minorHAnsi" w:cstheme="minorHAnsi"/>
          <w:color w:val="000000" w:themeColor="text1"/>
        </w:rPr>
        <w:t>ord</w:t>
      </w:r>
      <w:proofErr w:type="spellEnd"/>
      <w:r w:rsidRPr="007524A9">
        <w:rPr>
          <w:rFonts w:asciiTheme="minorHAnsi" w:hAnsiTheme="minorHAnsi" w:cstheme="minorHAnsi"/>
          <w:color w:val="000000" w:themeColor="text1"/>
        </w:rPr>
        <w:t>. n. 30837/2025].</w:t>
      </w:r>
    </w:p>
    <w:p w14:paraId="60D7D8B0" w14:textId="0F8242E5" w:rsidR="003B12D6" w:rsidRPr="007524A9" w:rsidRDefault="003B12D6" w:rsidP="00BE6F99">
      <w:pPr>
        <w:pStyle w:val="Paragrafoelenco"/>
        <w:numPr>
          <w:ilvl w:val="0"/>
          <w:numId w:val="14"/>
        </w:numPr>
        <w:shd w:val="clear" w:color="auto" w:fill="FFFFFF"/>
        <w:tabs>
          <w:tab w:val="left" w:pos="426"/>
        </w:tabs>
        <w:spacing w:line="360" w:lineRule="auto"/>
        <w:ind w:left="0" w:firstLine="0"/>
        <w:jc w:val="both"/>
        <w:rPr>
          <w:rFonts w:ascii="Calibri" w:hAnsi="Calibri"/>
          <w:i/>
          <w:iCs/>
        </w:rPr>
      </w:pPr>
      <w:r w:rsidRPr="007524A9">
        <w:rPr>
          <w:rFonts w:asciiTheme="minorHAnsi" w:hAnsiTheme="minorHAnsi" w:cstheme="minorHAnsi"/>
        </w:rPr>
        <w:lastRenderedPageBreak/>
        <w:t xml:space="preserve">Il Motivo in rassegna trova, quindi, l’arresto normativo di inammissibilità, dato che per quanto ci occupa si è già avuto modo di illustrare che </w:t>
      </w:r>
      <w:r w:rsidRPr="007524A9">
        <w:rPr>
          <w:rFonts w:ascii="Calibri" w:hAnsi="Calibri"/>
        </w:rPr>
        <w:t>nel merito i Giudici di primo grado hanno sentenziato che “</w:t>
      </w:r>
      <w:r w:rsidRPr="007524A9">
        <w:rPr>
          <w:rFonts w:ascii="Calibri" w:hAnsi="Calibri"/>
          <w:i/>
          <w:iCs/>
        </w:rPr>
        <w:t xml:space="preserve">Si muove dal rilievo preliminare per cui sono state censurate dall'amministrazione resistente 24 operazioni di magazzino su un totale di oltre 16.500 operazioni registrate in contabilità nel corso del 2015, ciò che induce a dubitare della natura complessivamente inattendibile della contabilità di impresa. </w:t>
      </w:r>
    </w:p>
    <w:p w14:paraId="53A0CC4D" w14:textId="77777777" w:rsidR="003B12D6" w:rsidRPr="007524A9" w:rsidRDefault="003B12D6" w:rsidP="003B12D6">
      <w:pPr>
        <w:pStyle w:val="p1"/>
        <w:tabs>
          <w:tab w:val="left" w:pos="426"/>
        </w:tabs>
        <w:spacing w:before="0" w:beforeAutospacing="0" w:after="0" w:afterAutospacing="0" w:line="360" w:lineRule="auto"/>
        <w:ind w:right="-2"/>
        <w:jc w:val="both"/>
        <w:rPr>
          <w:rFonts w:ascii="Calibri" w:hAnsi="Calibri"/>
          <w:i/>
          <w:iCs/>
        </w:rPr>
      </w:pPr>
      <w:r w:rsidRPr="007524A9">
        <w:rPr>
          <w:rFonts w:ascii="Calibri" w:hAnsi="Calibri"/>
          <w:i/>
          <w:iCs/>
        </w:rPr>
        <w:t xml:space="preserve">Ciò premesso, si rileva come l'accertamento postuli una presenza in magazzino di materiali metallici sensibilmente superiore rispetto a quanto registrato in contabilità, principalmente sulla base dell'attribuzione ai materiali ferrosi registrati, della natura di fusti in ferro, ciascuno dei quali a propria volta contenente materiale da lavorare. </w:t>
      </w:r>
    </w:p>
    <w:p w14:paraId="5ACA832F" w14:textId="77D2AE86" w:rsidR="003B12D6" w:rsidRPr="007524A9" w:rsidRDefault="003B12D6" w:rsidP="003B12D6">
      <w:pPr>
        <w:pStyle w:val="p1"/>
        <w:spacing w:before="0" w:beforeAutospacing="0" w:after="0" w:afterAutospacing="0" w:line="360" w:lineRule="auto"/>
        <w:jc w:val="both"/>
        <w:rPr>
          <w:rFonts w:ascii="Calibri" w:hAnsi="Calibri" w:cs="Calibri"/>
          <w:i/>
          <w:iCs/>
        </w:rPr>
      </w:pPr>
      <w:r w:rsidRPr="007524A9">
        <w:rPr>
          <w:rFonts w:ascii="Calibri" w:hAnsi="Calibri"/>
          <w:i/>
          <w:iCs/>
        </w:rPr>
        <w:t>In tale assetto, non appare adeguatamente contrastata la allegazione difensiva di parte ricorrente secondo la quale tali fusti potrebbero giungere solamente da paesi extra UE - nella fattispecie Arabia Saudita o USA, unici paesi fornitori extra UE della società - in quanto il trasporto di detti contenitori ferrosi è vietato nella Unione europea. Ciò comporta necessariamente che tali fusti di ferro potrebbero giungere solamente via nave con container che hanno un peso massimo di trasporto di 25 tonnellate cadauno. Sarebbe dunque necessario dividere i maggiori quantitativi ricostruiti per 1.487 tonnellate per il peso di massimo di capienza di un container pari a 25 tonnellate: il risultato comporterebbe la esistenza di 60 container che necessariamente sarebbero giunti via nave dall’Arabia Saudita o dagli USA, nel difetto di riscontro probatorio alcuno in punto transito doganale, modalità di pagamento modalità di trasporto via terra dal porto di sbarco fino alla sede della società ricorrente</w:t>
      </w:r>
      <w:r w:rsidRPr="007524A9">
        <w:rPr>
          <w:rFonts w:ascii="Calibri" w:hAnsi="Calibri"/>
        </w:rPr>
        <w:t>” [</w:t>
      </w:r>
      <w:proofErr w:type="spellStart"/>
      <w:r w:rsidRPr="007524A9">
        <w:rPr>
          <w:rFonts w:ascii="Calibri" w:hAnsi="Calibri"/>
        </w:rPr>
        <w:t>cfr</w:t>
      </w:r>
      <w:proofErr w:type="spellEnd"/>
      <w:r w:rsidRPr="007524A9">
        <w:rPr>
          <w:rFonts w:ascii="Calibri" w:hAnsi="Calibri"/>
        </w:rPr>
        <w:t xml:space="preserve"> Doc. 3 Cassazione pag. 6 e 7], e ancora che nel grado di appello la Corte ha statuito che “</w:t>
      </w:r>
      <w:r w:rsidRPr="007524A9">
        <w:rPr>
          <w:rFonts w:ascii="Calibri" w:hAnsi="Calibri" w:cs="Calibri"/>
          <w:i/>
          <w:iCs/>
        </w:rPr>
        <w:t xml:space="preserve">Gli annotati i movimenti contabili su cui si è appuntata l'attività accertativa sono una ristrettissima minoranza rispetto al complesso delle annotazioni redatte nell'esercizio accertato (in numero di 24 sulle appuntate 16.500 operazioni). </w:t>
      </w:r>
    </w:p>
    <w:p w14:paraId="26177A6B" w14:textId="77777777" w:rsidR="003B12D6" w:rsidRPr="007524A9" w:rsidRDefault="003B12D6" w:rsidP="003B12D6">
      <w:pPr>
        <w:pStyle w:val="p1"/>
        <w:spacing w:before="0" w:beforeAutospacing="0" w:after="0" w:afterAutospacing="0" w:line="360" w:lineRule="auto"/>
        <w:jc w:val="both"/>
        <w:rPr>
          <w:rFonts w:ascii="Calibri" w:hAnsi="Calibri" w:cs="Calibri"/>
          <w:i/>
          <w:iCs/>
        </w:rPr>
      </w:pPr>
      <w:r w:rsidRPr="007524A9">
        <w:rPr>
          <w:rFonts w:ascii="Calibri" w:hAnsi="Calibri" w:cs="Calibri"/>
          <w:i/>
          <w:iCs/>
        </w:rPr>
        <w:t xml:space="preserve">Il canone consolidato dei Giudici di diritto richiede, per dare accesso all'accertamento induttivo, che le irregolarità formali riscontrate siano gravi, ripetute e numerose, ciò che non è </w:t>
      </w:r>
      <w:proofErr w:type="spellStart"/>
      <w:r w:rsidRPr="007524A9">
        <w:rPr>
          <w:rFonts w:ascii="Calibri" w:hAnsi="Calibri" w:cs="Calibri"/>
          <w:i/>
          <w:iCs/>
        </w:rPr>
        <w:t>ictu</w:t>
      </w:r>
      <w:proofErr w:type="spellEnd"/>
      <w:r w:rsidRPr="007524A9">
        <w:rPr>
          <w:rFonts w:ascii="Calibri" w:hAnsi="Calibri" w:cs="Calibri"/>
          <w:i/>
          <w:iCs/>
        </w:rPr>
        <w:t xml:space="preserve"> oculi nel caso di specie. </w:t>
      </w:r>
    </w:p>
    <w:p w14:paraId="6DC01444" w14:textId="77777777" w:rsidR="003B12D6" w:rsidRPr="007524A9" w:rsidRDefault="003B12D6" w:rsidP="003B12D6">
      <w:pPr>
        <w:pStyle w:val="p1"/>
        <w:tabs>
          <w:tab w:val="left" w:pos="426"/>
        </w:tabs>
        <w:spacing w:before="0" w:beforeAutospacing="0" w:after="0" w:afterAutospacing="0" w:line="360" w:lineRule="auto"/>
        <w:ind w:right="-2"/>
        <w:jc w:val="both"/>
        <w:rPr>
          <w:rFonts w:asciiTheme="minorHAnsi" w:hAnsiTheme="minorHAnsi" w:cstheme="minorHAnsi"/>
        </w:rPr>
      </w:pPr>
      <w:r w:rsidRPr="007524A9">
        <w:rPr>
          <w:rFonts w:ascii="Calibri" w:hAnsi="Calibri" w:cs="Calibri"/>
          <w:i/>
          <w:iCs/>
        </w:rPr>
        <w:t xml:space="preserve">Analizzando poi talune di dette scritture, quelle riferite alle rimanenze di materiali ferrosi, (ciò che a rigore non sarebbe stato necessario, preliminare ed assorbente essendo i rilievi poc'anzi esposti sulla limitatezza dei rilievi formali contestati rispetto ai movimenti complessivi), il primo Collegio concorda sulla considerazione difensiva per cui detto ammontare non sarebbe </w:t>
      </w:r>
      <w:r w:rsidRPr="007524A9">
        <w:rPr>
          <w:rFonts w:ascii="Calibri" w:hAnsi="Calibri" w:cs="Calibri"/>
          <w:i/>
          <w:iCs/>
        </w:rPr>
        <w:lastRenderedPageBreak/>
        <w:t>possibile ipotizzando l'arrivo intra UE di contenitori ferrosi, vietato da norme comunitarie, né lo sarebbe ipotizzando il trasporto come proveniente da Arabia Saudita o dagli USA, lo stesso non essendo suffragato da alcun positivo riscontro doganale in tal senso, non versato in atti</w:t>
      </w:r>
      <w:r w:rsidRPr="007524A9">
        <w:rPr>
          <w:rFonts w:ascii="Calibri" w:hAnsi="Calibri" w:cs="Calibri"/>
        </w:rPr>
        <w:t>”, [</w:t>
      </w:r>
      <w:proofErr w:type="spellStart"/>
      <w:r w:rsidRPr="007524A9">
        <w:rPr>
          <w:rFonts w:ascii="Calibri" w:hAnsi="Calibri" w:cs="Calibri"/>
        </w:rPr>
        <w:t>cfr</w:t>
      </w:r>
      <w:proofErr w:type="spellEnd"/>
      <w:r w:rsidRPr="007524A9">
        <w:rPr>
          <w:rFonts w:ascii="Calibri" w:hAnsi="Calibri" w:cs="Calibri"/>
        </w:rPr>
        <w:t xml:space="preserve"> Doc. 2 Cassazione pag. 2].</w:t>
      </w:r>
    </w:p>
    <w:p w14:paraId="240C50BA" w14:textId="61B5235E" w:rsidR="004E3A76" w:rsidRPr="007524A9" w:rsidRDefault="003B12D6" w:rsidP="00AB04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heme="minorHAnsi" w:hAnsiTheme="minorHAnsi" w:cstheme="minorHAnsi"/>
          <w:color w:val="000000" w:themeColor="text1"/>
          <w:shd w:val="clear" w:color="auto" w:fill="FFFFFF"/>
        </w:rPr>
      </w:pPr>
      <w:r w:rsidRPr="007524A9">
        <w:rPr>
          <w:rFonts w:asciiTheme="minorHAnsi" w:hAnsiTheme="minorHAnsi" w:cstheme="minorHAnsi"/>
        </w:rPr>
        <w:t xml:space="preserve">Analoga inammissibilità si avrebbe anche </w:t>
      </w:r>
      <w:r w:rsidRPr="007524A9">
        <w:rPr>
          <w:rFonts w:asciiTheme="minorHAnsi" w:hAnsiTheme="minorHAnsi" w:cstheme="minorHAnsi"/>
          <w:i/>
          <w:iCs/>
          <w:color w:val="000000" w:themeColor="text1"/>
          <w:shd w:val="clear" w:color="auto" w:fill="FFFFFF"/>
        </w:rPr>
        <w:t xml:space="preserve">non solo quando la decisione di secondo grado è interamente corrispondente a quella di primo grado, ma anche quando le due statuizioni siano fondate sul medesimo iter logico-argomentativo in relazione ai fatti principali oggetto della causa, non ostandovi che il giudice di appello abbia aggiunto argomenti ulteriori per rafforzare o precisare la statuizione già assunta dal primo giudice </w:t>
      </w:r>
      <w:r w:rsidRPr="007524A9">
        <w:rPr>
          <w:rFonts w:asciiTheme="minorHAnsi" w:hAnsiTheme="minorHAnsi" w:cstheme="minorHAnsi"/>
          <w:color w:val="000000" w:themeColor="text1"/>
          <w:shd w:val="clear" w:color="auto" w:fill="FFFFFF"/>
        </w:rPr>
        <w:t xml:space="preserve">[Cassazione Civile </w:t>
      </w:r>
      <w:proofErr w:type="spellStart"/>
      <w:r w:rsidRPr="007524A9">
        <w:rPr>
          <w:rFonts w:asciiTheme="minorHAnsi" w:hAnsiTheme="minorHAnsi" w:cstheme="minorHAnsi"/>
          <w:color w:val="000000" w:themeColor="text1"/>
          <w:shd w:val="clear" w:color="auto" w:fill="FFFFFF"/>
        </w:rPr>
        <w:t>ord</w:t>
      </w:r>
      <w:proofErr w:type="spellEnd"/>
      <w:r w:rsidRPr="007524A9">
        <w:rPr>
          <w:rFonts w:asciiTheme="minorHAnsi" w:hAnsiTheme="minorHAnsi" w:cstheme="minorHAnsi"/>
          <w:color w:val="000000" w:themeColor="text1"/>
          <w:shd w:val="clear" w:color="auto" w:fill="FFFFFF"/>
        </w:rPr>
        <w:t>. n. 7724/2022].</w:t>
      </w:r>
    </w:p>
    <w:p w14:paraId="5EBD0650" w14:textId="53463E67" w:rsidR="00BE6F99" w:rsidRPr="007524A9" w:rsidRDefault="00BE6F99" w:rsidP="00BE6F99">
      <w:pPr>
        <w:pStyle w:val="Paragrafoelenco"/>
        <w:numPr>
          <w:ilvl w:val="0"/>
          <w:numId w:val="14"/>
        </w:numPr>
        <w:shd w:val="clear" w:color="auto" w:fill="FFFFFF"/>
        <w:tabs>
          <w:tab w:val="left" w:pos="426"/>
        </w:tabs>
        <w:spacing w:line="360" w:lineRule="auto"/>
        <w:ind w:left="0" w:firstLine="0"/>
        <w:jc w:val="both"/>
        <w:rPr>
          <w:rFonts w:asciiTheme="minorHAnsi" w:hAnsiTheme="minorHAnsi" w:cstheme="minorHAnsi"/>
        </w:rPr>
      </w:pPr>
      <w:r w:rsidRPr="007524A9">
        <w:rPr>
          <w:rFonts w:asciiTheme="minorHAnsi" w:hAnsiTheme="minorHAnsi" w:cstheme="minorHAnsi"/>
        </w:rPr>
        <w:t xml:space="preserve">Infine si reputa che, alla luce delle argomentazioni spese e della riqualificazione del Motivo di appello, </w:t>
      </w:r>
      <w:r w:rsidR="00B86F2F" w:rsidRPr="007524A9">
        <w:rPr>
          <w:rFonts w:asciiTheme="minorHAnsi" w:hAnsiTheme="minorHAnsi" w:cstheme="minorHAnsi"/>
        </w:rPr>
        <w:t>le asserite domande in violazione del principio reclamato resterebbero</w:t>
      </w:r>
      <w:r w:rsidRPr="007524A9">
        <w:rPr>
          <w:rFonts w:asciiTheme="minorHAnsi" w:hAnsiTheme="minorHAnsi" w:cstheme="minorHAnsi"/>
        </w:rPr>
        <w:t xml:space="preserve"> comunque</w:t>
      </w:r>
      <w:r w:rsidR="00B86F2F" w:rsidRPr="007524A9">
        <w:rPr>
          <w:rFonts w:asciiTheme="minorHAnsi" w:hAnsiTheme="minorHAnsi" w:cstheme="minorHAnsi"/>
        </w:rPr>
        <w:t>, per i motivi esposti nelle sentenze di merito,</w:t>
      </w:r>
      <w:r w:rsidRPr="007524A9">
        <w:rPr>
          <w:rFonts w:asciiTheme="minorHAnsi" w:hAnsiTheme="minorHAnsi" w:cstheme="minorHAnsi"/>
        </w:rPr>
        <w:t xml:space="preserve"> assorbit</w:t>
      </w:r>
      <w:r w:rsidR="00B86F2F" w:rsidRPr="007524A9">
        <w:rPr>
          <w:rFonts w:asciiTheme="minorHAnsi" w:hAnsiTheme="minorHAnsi" w:cstheme="minorHAnsi"/>
        </w:rPr>
        <w:t>e</w:t>
      </w:r>
      <w:r w:rsidRPr="007524A9">
        <w:rPr>
          <w:rFonts w:asciiTheme="minorHAnsi" w:hAnsiTheme="minorHAnsi" w:cstheme="minorHAnsi"/>
        </w:rPr>
        <w:t xml:space="preserve"> </w:t>
      </w:r>
      <w:r w:rsidR="00B86F2F" w:rsidRPr="007524A9">
        <w:rPr>
          <w:rFonts w:asciiTheme="minorHAnsi" w:hAnsiTheme="minorHAnsi" w:cstheme="minorHAnsi"/>
        </w:rPr>
        <w:t>dal rigetto del rilievo principale</w:t>
      </w:r>
      <w:r w:rsidR="007524A9" w:rsidRPr="007524A9">
        <w:rPr>
          <w:rFonts w:asciiTheme="minorHAnsi" w:hAnsiTheme="minorHAnsi" w:cstheme="minorHAnsi"/>
        </w:rPr>
        <w:t>,</w:t>
      </w:r>
      <w:r w:rsidR="00B86F2F" w:rsidRPr="007524A9">
        <w:rPr>
          <w:rFonts w:asciiTheme="minorHAnsi" w:hAnsiTheme="minorHAnsi" w:cstheme="minorHAnsi"/>
        </w:rPr>
        <w:t xml:space="preserve"> che costituisce questione decisiva ai fini della validità dell’accertamento</w:t>
      </w:r>
      <w:r w:rsidR="007524A9" w:rsidRPr="007524A9">
        <w:rPr>
          <w:rFonts w:asciiTheme="minorHAnsi" w:hAnsiTheme="minorHAnsi" w:cstheme="minorHAnsi"/>
        </w:rPr>
        <w:t xml:space="preserve"> in quanto dirimente ai fini controversi.</w:t>
      </w:r>
    </w:p>
    <w:p w14:paraId="34AA1D7D" w14:textId="77777777" w:rsidR="00AB04DA" w:rsidRPr="007524A9" w:rsidRDefault="00AB04DA" w:rsidP="004468D9">
      <w:pPr>
        <w:spacing w:before="240" w:line="360" w:lineRule="auto"/>
        <w:ind w:right="-215"/>
        <w:jc w:val="center"/>
        <w:rPr>
          <w:rFonts w:ascii="Calibri" w:hAnsi="Calibri"/>
        </w:rPr>
      </w:pPr>
      <w:r w:rsidRPr="007524A9">
        <w:rPr>
          <w:rFonts w:ascii="Calibri" w:hAnsi="Calibri"/>
        </w:rPr>
        <w:t>* * * * *</w:t>
      </w:r>
    </w:p>
    <w:p w14:paraId="7D3A0AFD" w14:textId="02ECD838" w:rsidR="00AB04DA" w:rsidRPr="007524A9" w:rsidRDefault="00AB04DA" w:rsidP="00AB04DA">
      <w:pPr>
        <w:spacing w:line="360" w:lineRule="auto"/>
        <w:ind w:right="-215"/>
        <w:jc w:val="both"/>
        <w:rPr>
          <w:rFonts w:ascii="Calibri" w:hAnsi="Calibri"/>
        </w:rPr>
      </w:pPr>
      <w:r w:rsidRPr="007524A9">
        <w:rPr>
          <w:rFonts w:ascii="Calibri" w:hAnsi="Calibri"/>
        </w:rPr>
        <w:t xml:space="preserve">In virtù di quanto sopra esposto </w:t>
      </w:r>
      <w:r w:rsidR="00035D5C" w:rsidRPr="007524A9">
        <w:rPr>
          <w:rFonts w:asciiTheme="minorHAnsi" w:hAnsiTheme="minorHAnsi" w:cstheme="minorHAnsi"/>
        </w:rPr>
        <w:t>la Metalsider2 S.p.A.</w:t>
      </w:r>
      <w:r w:rsidRPr="007524A9">
        <w:rPr>
          <w:rFonts w:asciiTheme="minorHAnsi" w:hAnsiTheme="minorHAnsi" w:cstheme="minorHAnsi"/>
        </w:rPr>
        <w:t xml:space="preserve"> come in rubrica, rappresentata, difesa e domiciliata</w:t>
      </w:r>
    </w:p>
    <w:p w14:paraId="36C49029" w14:textId="77777777" w:rsidR="00AB04DA" w:rsidRPr="007524A9" w:rsidRDefault="00AB04DA" w:rsidP="00AB04DA">
      <w:pPr>
        <w:spacing w:line="360" w:lineRule="auto"/>
        <w:ind w:right="-215"/>
        <w:jc w:val="center"/>
        <w:rPr>
          <w:rFonts w:ascii="Calibri" w:hAnsi="Calibri"/>
          <w:b/>
        </w:rPr>
      </w:pPr>
      <w:r w:rsidRPr="007524A9">
        <w:rPr>
          <w:rFonts w:ascii="Calibri" w:hAnsi="Calibri"/>
          <w:b/>
        </w:rPr>
        <w:t>CHIEDE</w:t>
      </w:r>
    </w:p>
    <w:p w14:paraId="2DDB3F4D" w14:textId="77777777" w:rsidR="00AB04DA" w:rsidRPr="007524A9" w:rsidRDefault="00AB04DA" w:rsidP="00AB04DA">
      <w:pPr>
        <w:spacing w:line="360" w:lineRule="auto"/>
        <w:ind w:right="-215"/>
        <w:jc w:val="both"/>
        <w:rPr>
          <w:rFonts w:ascii="Calibri" w:hAnsi="Calibri" w:cs="Calibri"/>
        </w:rPr>
      </w:pPr>
      <w:r w:rsidRPr="007524A9">
        <w:rPr>
          <w:rFonts w:ascii="Calibri" w:hAnsi="Calibri" w:cs="Calibri"/>
        </w:rPr>
        <w:t xml:space="preserve">che l’Ecc.ma Suprema Corte di Cassazione ogni contraria istanza, deduzione ed eccezione respinta, voglia: </w:t>
      </w:r>
    </w:p>
    <w:p w14:paraId="4F182E9C" w14:textId="4BC2DCC1" w:rsidR="00AB04DA" w:rsidRPr="007524A9" w:rsidRDefault="00AB04DA" w:rsidP="00B35650">
      <w:pPr>
        <w:numPr>
          <w:ilvl w:val="0"/>
          <w:numId w:val="6"/>
        </w:numPr>
        <w:spacing w:before="240" w:line="360" w:lineRule="auto"/>
        <w:ind w:left="426" w:right="-215" w:hanging="426"/>
        <w:jc w:val="both"/>
        <w:rPr>
          <w:rFonts w:ascii="Calibri" w:hAnsi="Calibri" w:cs="Calibri"/>
        </w:rPr>
      </w:pPr>
      <w:r w:rsidRPr="007524A9">
        <w:rPr>
          <w:rFonts w:ascii="Calibri" w:hAnsi="Calibri"/>
          <w:b/>
          <w:bCs/>
          <w:u w:val="single"/>
        </w:rPr>
        <w:t>rigettare</w:t>
      </w:r>
      <w:r w:rsidRPr="007524A9">
        <w:rPr>
          <w:rFonts w:ascii="Calibri" w:hAnsi="Calibri"/>
        </w:rPr>
        <w:t xml:space="preserve"> il Ricorso proposto </w:t>
      </w:r>
      <w:r w:rsidR="00EC562F" w:rsidRPr="007524A9">
        <w:rPr>
          <w:rFonts w:asciiTheme="minorHAnsi" w:hAnsiTheme="minorHAnsi" w:cstheme="minorHAnsi"/>
        </w:rPr>
        <w:t xml:space="preserve">dall’Avvocatura Generale dello Stato nell’interesse dell’Agenzia delle Entrate </w:t>
      </w:r>
      <w:r w:rsidRPr="007524A9">
        <w:rPr>
          <w:rFonts w:ascii="Calibri" w:hAnsi="Calibri"/>
        </w:rPr>
        <w:t xml:space="preserve">per la cassazione della </w:t>
      </w:r>
      <w:r w:rsidRPr="007524A9">
        <w:rPr>
          <w:rFonts w:asciiTheme="minorHAnsi" w:hAnsiTheme="minorHAnsi" w:cstheme="minorHAnsi"/>
        </w:rPr>
        <w:t>sentenza n</w:t>
      </w:r>
      <w:r w:rsidR="00EC562F" w:rsidRPr="007524A9">
        <w:rPr>
          <w:rFonts w:asciiTheme="minorHAnsi" w:hAnsiTheme="minorHAnsi" w:cstheme="minorHAnsi"/>
        </w:rPr>
        <w:t>. 305/2025 del 27.03.2025 della Corte di Giustizia Tributaria di secondo grado Emilia-Romagna, depositata l’11.04.2025</w:t>
      </w:r>
      <w:r w:rsidRPr="007524A9">
        <w:rPr>
          <w:rFonts w:ascii="Calibri" w:hAnsi="Calibri"/>
        </w:rPr>
        <w:t xml:space="preserve">, che pertanto venga confermata con ogni conseguente statuizione; </w:t>
      </w:r>
    </w:p>
    <w:p w14:paraId="6DC0F501" w14:textId="77777777" w:rsidR="00FD35AF" w:rsidRPr="007524A9" w:rsidRDefault="00AB04DA" w:rsidP="00B35650">
      <w:pPr>
        <w:numPr>
          <w:ilvl w:val="0"/>
          <w:numId w:val="6"/>
        </w:numPr>
        <w:spacing w:before="240" w:line="360" w:lineRule="auto"/>
        <w:ind w:left="426" w:right="-215" w:hanging="426"/>
        <w:jc w:val="both"/>
        <w:rPr>
          <w:rFonts w:ascii="Calibri" w:hAnsi="Calibri" w:cs="Calibri"/>
        </w:rPr>
      </w:pPr>
      <w:r w:rsidRPr="007524A9">
        <w:rPr>
          <w:rFonts w:ascii="Calibri" w:hAnsi="Calibri"/>
        </w:rPr>
        <w:t xml:space="preserve">con </w:t>
      </w:r>
      <w:r w:rsidRPr="007524A9">
        <w:rPr>
          <w:rFonts w:ascii="Calibri" w:hAnsi="Calibri"/>
          <w:b/>
          <w:snapToGrid w:val="0"/>
          <w:u w:val="single"/>
        </w:rPr>
        <w:t>vittoria</w:t>
      </w:r>
      <w:r w:rsidRPr="007524A9">
        <w:rPr>
          <w:rFonts w:ascii="Calibri" w:hAnsi="Calibri"/>
          <w:snapToGrid w:val="0"/>
        </w:rPr>
        <w:t xml:space="preserve"> di spese, competenze ed onorari di giudizio</w:t>
      </w:r>
      <w:r w:rsidRPr="007524A9">
        <w:rPr>
          <w:rFonts w:ascii="Calibri" w:hAnsi="Calibri"/>
        </w:rPr>
        <w:t>, iva e contributi come per legge.</w:t>
      </w:r>
    </w:p>
    <w:p w14:paraId="1E841B81" w14:textId="77777777" w:rsidR="00AB04DA" w:rsidRPr="007524A9" w:rsidRDefault="00B35650" w:rsidP="00C73218">
      <w:pPr>
        <w:spacing w:before="240" w:line="360" w:lineRule="auto"/>
        <w:ind w:right="-215"/>
        <w:jc w:val="both"/>
        <w:rPr>
          <w:rFonts w:ascii="Calibri" w:hAnsi="Calibri" w:cs="Calibri"/>
        </w:rPr>
      </w:pPr>
      <w:r w:rsidRPr="007524A9">
        <w:rPr>
          <w:rFonts w:ascii="Calibri" w:hAnsi="Calibri" w:cs="Calibri"/>
        </w:rPr>
        <w:t>S</w:t>
      </w:r>
      <w:r w:rsidR="00AB04DA" w:rsidRPr="007524A9">
        <w:rPr>
          <w:rFonts w:ascii="Calibri" w:hAnsi="Calibri" w:cs="Calibri"/>
        </w:rPr>
        <w:t>i depositano:</w:t>
      </w:r>
    </w:p>
    <w:p w14:paraId="4D1FEC2B" w14:textId="7DE94F3C" w:rsidR="00AB04DA" w:rsidRPr="007524A9" w:rsidRDefault="00FD35AF" w:rsidP="00C73218">
      <w:pPr>
        <w:numPr>
          <w:ilvl w:val="0"/>
          <w:numId w:val="5"/>
        </w:numPr>
        <w:spacing w:line="360" w:lineRule="auto"/>
        <w:ind w:right="-215"/>
        <w:jc w:val="both"/>
        <w:rPr>
          <w:rFonts w:ascii="Calibri" w:hAnsi="Calibri"/>
        </w:rPr>
      </w:pPr>
      <w:r w:rsidRPr="007524A9">
        <w:rPr>
          <w:rFonts w:ascii="Calibri" w:hAnsi="Calibri"/>
        </w:rPr>
        <w:t>r</w:t>
      </w:r>
      <w:r w:rsidR="00AB04DA" w:rsidRPr="007524A9">
        <w:rPr>
          <w:rFonts w:ascii="Calibri" w:hAnsi="Calibri"/>
        </w:rPr>
        <w:t xml:space="preserve">icorso notificato a mezzo </w:t>
      </w:r>
      <w:proofErr w:type="spellStart"/>
      <w:r w:rsidR="00AB04DA" w:rsidRPr="007524A9">
        <w:rPr>
          <w:rFonts w:ascii="Calibri" w:hAnsi="Calibri"/>
        </w:rPr>
        <w:t>pec</w:t>
      </w:r>
      <w:proofErr w:type="spellEnd"/>
      <w:r w:rsidR="00AB04DA" w:rsidRPr="007524A9">
        <w:rPr>
          <w:rFonts w:ascii="Calibri" w:hAnsi="Calibri"/>
        </w:rPr>
        <w:t xml:space="preserve"> in data </w:t>
      </w:r>
      <w:r w:rsidRPr="007524A9">
        <w:rPr>
          <w:rFonts w:ascii="Calibri" w:hAnsi="Calibri"/>
        </w:rPr>
        <w:t>10.</w:t>
      </w:r>
      <w:r w:rsidR="00C73218" w:rsidRPr="007524A9">
        <w:rPr>
          <w:rFonts w:ascii="Calibri" w:hAnsi="Calibri"/>
        </w:rPr>
        <w:t>1</w:t>
      </w:r>
      <w:r w:rsidRPr="007524A9">
        <w:rPr>
          <w:rFonts w:ascii="Calibri" w:hAnsi="Calibri"/>
        </w:rPr>
        <w:t>1.2025</w:t>
      </w:r>
      <w:r w:rsidR="00AB04DA" w:rsidRPr="007524A9">
        <w:rPr>
          <w:rFonts w:ascii="Calibri" w:hAnsi="Calibri"/>
        </w:rPr>
        <w:t>;</w:t>
      </w:r>
    </w:p>
    <w:p w14:paraId="5CB41253" w14:textId="4E89FDDF" w:rsidR="00AB04DA" w:rsidRPr="007524A9" w:rsidRDefault="00FD35AF" w:rsidP="00C73218">
      <w:pPr>
        <w:numPr>
          <w:ilvl w:val="0"/>
          <w:numId w:val="5"/>
        </w:numPr>
        <w:spacing w:line="360" w:lineRule="auto"/>
        <w:ind w:right="-215"/>
        <w:jc w:val="both"/>
        <w:rPr>
          <w:rFonts w:ascii="Calibri" w:hAnsi="Calibri"/>
        </w:rPr>
      </w:pPr>
      <w:r w:rsidRPr="007524A9">
        <w:rPr>
          <w:rFonts w:asciiTheme="minorHAnsi" w:hAnsiTheme="minorHAnsi" w:cstheme="minorHAnsi"/>
        </w:rPr>
        <w:t xml:space="preserve">sentenza </w:t>
      </w:r>
      <w:r w:rsidR="00C73218" w:rsidRPr="007524A9">
        <w:rPr>
          <w:rFonts w:asciiTheme="minorHAnsi" w:hAnsiTheme="minorHAnsi" w:cstheme="minorHAnsi"/>
        </w:rPr>
        <w:t>n. 305/2025 del 27.03.2025 della Corte di Giustizia Tributaria di secondo grado Emilia-Romagna, depositata l’11.04.2025</w:t>
      </w:r>
      <w:r w:rsidR="00AB04DA" w:rsidRPr="007524A9">
        <w:rPr>
          <w:rFonts w:ascii="Calibri" w:hAnsi="Calibri"/>
        </w:rPr>
        <w:t>;</w:t>
      </w:r>
    </w:p>
    <w:p w14:paraId="032FD8CA" w14:textId="3A16EC09" w:rsidR="00FD35AF" w:rsidRPr="007524A9" w:rsidRDefault="00C73218" w:rsidP="00C73218">
      <w:pPr>
        <w:numPr>
          <w:ilvl w:val="0"/>
          <w:numId w:val="5"/>
        </w:numPr>
        <w:spacing w:line="360" w:lineRule="auto"/>
        <w:ind w:right="-215"/>
        <w:jc w:val="both"/>
        <w:rPr>
          <w:rFonts w:ascii="Calibri" w:hAnsi="Calibri"/>
        </w:rPr>
      </w:pPr>
      <w:r w:rsidRPr="007524A9">
        <w:rPr>
          <w:rFonts w:ascii="Calibri" w:hAnsi="Calibri"/>
        </w:rPr>
        <w:lastRenderedPageBreak/>
        <w:t>sentenza n. 424/03/21 del 22.09.2021 Commissione Tributaria Provinciale di Modena, depositata il 07.10.2021</w:t>
      </w:r>
      <w:r w:rsidR="00FD35AF" w:rsidRPr="007524A9">
        <w:rPr>
          <w:rFonts w:ascii="Calibri" w:hAnsi="Calibri" w:cs="Calibri"/>
        </w:rPr>
        <w:t>;</w:t>
      </w:r>
    </w:p>
    <w:p w14:paraId="5D9C80AB" w14:textId="54976283" w:rsidR="00FD35AF" w:rsidRPr="007524A9" w:rsidRDefault="00C73218" w:rsidP="00C73218">
      <w:pPr>
        <w:numPr>
          <w:ilvl w:val="0"/>
          <w:numId w:val="5"/>
        </w:numPr>
        <w:spacing w:line="360" w:lineRule="auto"/>
        <w:ind w:right="-215"/>
        <w:jc w:val="both"/>
        <w:rPr>
          <w:rFonts w:ascii="Calibri" w:hAnsi="Calibri"/>
        </w:rPr>
      </w:pPr>
      <w:r w:rsidRPr="007524A9">
        <w:rPr>
          <w:rFonts w:ascii="Calibri" w:hAnsi="Calibri" w:cs="Calibri"/>
          <w:bCs/>
        </w:rPr>
        <w:t>decreto dell’11.02.2021 del Giudice per le Indagini Preliminari del Tribunale di Modena</w:t>
      </w:r>
      <w:r w:rsidR="00FD35AF" w:rsidRPr="007524A9">
        <w:rPr>
          <w:rFonts w:asciiTheme="minorHAnsi" w:hAnsiTheme="minorHAnsi" w:cstheme="minorHAnsi"/>
        </w:rPr>
        <w:t>;</w:t>
      </w:r>
    </w:p>
    <w:p w14:paraId="5800FE4F" w14:textId="66216CFE" w:rsidR="00FD35AF" w:rsidRPr="007524A9" w:rsidRDefault="00C73218" w:rsidP="00C73218">
      <w:pPr>
        <w:numPr>
          <w:ilvl w:val="0"/>
          <w:numId w:val="5"/>
        </w:numPr>
        <w:spacing w:line="360" w:lineRule="auto"/>
        <w:ind w:right="-215"/>
        <w:jc w:val="both"/>
        <w:rPr>
          <w:rFonts w:ascii="Calibri" w:hAnsi="Calibri"/>
        </w:rPr>
      </w:pPr>
      <w:r w:rsidRPr="007524A9">
        <w:rPr>
          <w:rFonts w:asciiTheme="minorHAnsi" w:hAnsiTheme="minorHAnsi" w:cstheme="minorHAnsi"/>
        </w:rPr>
        <w:t>verbale di udienza del 27.03.2025 della Corte di Giustizia Tributaria di secondo grado Emilia-Romagna.</w:t>
      </w:r>
    </w:p>
    <w:p w14:paraId="7313E2FA" w14:textId="77777777" w:rsidR="00996E4E" w:rsidRPr="007524A9" w:rsidRDefault="00996E4E" w:rsidP="00C73218">
      <w:pPr>
        <w:spacing w:before="240" w:line="360" w:lineRule="auto"/>
        <w:ind w:right="-215"/>
        <w:jc w:val="both"/>
        <w:rPr>
          <w:rFonts w:ascii="Calibri" w:hAnsi="Calibri"/>
        </w:rPr>
      </w:pPr>
      <w:r w:rsidRPr="007524A9">
        <w:rPr>
          <w:rFonts w:ascii="Calibri" w:hAnsi="Calibri"/>
        </w:rPr>
        <w:t>Il presente controricorso è stato redatto in conformità alle indicazioni contenute nel Protocollo sottoscritto in data 01.03.2023.</w:t>
      </w:r>
    </w:p>
    <w:p w14:paraId="5CF77599" w14:textId="29FFC78B" w:rsidR="00996E4E" w:rsidRPr="007524A9" w:rsidRDefault="00996E4E" w:rsidP="00C73218">
      <w:pPr>
        <w:spacing w:before="240" w:line="360" w:lineRule="auto"/>
        <w:ind w:right="-215"/>
        <w:jc w:val="both"/>
        <w:rPr>
          <w:rFonts w:ascii="Calibri" w:hAnsi="Calibri"/>
        </w:rPr>
      </w:pPr>
      <w:r w:rsidRPr="007524A9">
        <w:rPr>
          <w:rFonts w:ascii="Calibri" w:hAnsi="Calibri"/>
        </w:rPr>
        <w:t>Ravenna, lì 1</w:t>
      </w:r>
      <w:r w:rsidR="007524A9" w:rsidRPr="007524A9">
        <w:rPr>
          <w:rFonts w:ascii="Calibri" w:hAnsi="Calibri"/>
        </w:rPr>
        <w:t>8</w:t>
      </w:r>
      <w:r w:rsidRPr="007524A9">
        <w:rPr>
          <w:rFonts w:ascii="Calibri" w:hAnsi="Calibri"/>
        </w:rPr>
        <w:t xml:space="preserve"> </w:t>
      </w:r>
      <w:r w:rsidR="00C73218" w:rsidRPr="007524A9">
        <w:rPr>
          <w:rFonts w:ascii="Calibri" w:hAnsi="Calibri"/>
        </w:rPr>
        <w:t>dicembre</w:t>
      </w:r>
      <w:r w:rsidRPr="007524A9">
        <w:rPr>
          <w:rFonts w:ascii="Calibri" w:hAnsi="Calibri"/>
        </w:rPr>
        <w:t xml:space="preserve"> 2025                                                 Avv. Paolo de Miranda</w:t>
      </w:r>
    </w:p>
    <w:p w14:paraId="1C675443" w14:textId="77777777" w:rsidR="00996E4E" w:rsidRPr="007524A9" w:rsidRDefault="00996E4E" w:rsidP="00C73218">
      <w:pPr>
        <w:spacing w:line="360" w:lineRule="auto"/>
        <w:ind w:right="-215"/>
        <w:rPr>
          <w:rFonts w:ascii="Calibri" w:hAnsi="Calibri"/>
        </w:rPr>
      </w:pPr>
    </w:p>
    <w:p w14:paraId="43185479" w14:textId="77777777" w:rsidR="00996E4E" w:rsidRPr="00996E4E" w:rsidRDefault="00996E4E" w:rsidP="00C73218">
      <w:pPr>
        <w:spacing w:line="360" w:lineRule="auto"/>
        <w:ind w:right="-215"/>
        <w:rPr>
          <w:rFonts w:ascii="Calibri" w:hAnsi="Calibri"/>
        </w:rPr>
      </w:pPr>
      <w:r w:rsidRPr="007524A9">
        <w:rPr>
          <w:rFonts w:ascii="Calibri" w:hAnsi="Calibri"/>
        </w:rPr>
        <w:t>[atto firmato digitalmente]</w:t>
      </w:r>
    </w:p>
    <w:p w14:paraId="176D8066" w14:textId="77777777" w:rsidR="00C67687" w:rsidRPr="00726DC4" w:rsidRDefault="00C67687" w:rsidP="00AB04DA">
      <w:pPr>
        <w:pStyle w:val="p1"/>
        <w:spacing w:before="0" w:beforeAutospacing="0" w:after="0" w:afterAutospacing="0" w:line="360" w:lineRule="auto"/>
        <w:jc w:val="both"/>
        <w:rPr>
          <w:rFonts w:cstheme="minorHAnsi"/>
        </w:rPr>
      </w:pPr>
    </w:p>
    <w:sectPr w:rsidR="00C67687" w:rsidRPr="00726DC4" w:rsidSect="00AE7793">
      <w:headerReference w:type="default" r:id="rId30"/>
      <w:footerReference w:type="even" r:id="rId31"/>
      <w:footerReference w:type="default" r:id="rId32"/>
      <w:headerReference w:type="first" r:id="rId33"/>
      <w:pgSz w:w="11906" w:h="16838"/>
      <w:pgMar w:top="1418" w:right="1418" w:bottom="1418" w:left="1418"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F8BF4" w14:textId="77777777" w:rsidR="000F75DE" w:rsidRDefault="000F75DE" w:rsidP="00DB19CA">
      <w:r>
        <w:separator/>
      </w:r>
    </w:p>
  </w:endnote>
  <w:endnote w:type="continuationSeparator" w:id="0">
    <w:p w14:paraId="6B474E13" w14:textId="77777777" w:rsidR="000F75DE" w:rsidRDefault="000F75DE" w:rsidP="00DB19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Garamond">
    <w:panose1 w:val="02020404030301010803"/>
    <w:charset w:val="00"/>
    <w:family w:val="roman"/>
    <w:pitch w:val="variable"/>
    <w:sig w:usb0="00000287" w:usb1="00000002" w:usb2="00000000" w:usb3="00000000" w:csb0="000000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Engravers MT">
    <w:panose1 w:val="02090707080505020304"/>
    <w:charset w:val="4D"/>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eropagina"/>
      </w:rPr>
      <w:id w:val="-1862653862"/>
      <w:docPartObj>
        <w:docPartGallery w:val="Page Numbers (Bottom of Page)"/>
        <w:docPartUnique/>
      </w:docPartObj>
    </w:sdtPr>
    <w:sdtContent>
      <w:p w14:paraId="3768F720" w14:textId="77777777" w:rsidR="00707EA9" w:rsidRDefault="00707EA9" w:rsidP="008571C6">
        <w:pPr>
          <w:pStyle w:val="Pidipagina"/>
          <w:framePr w:wrap="none" w:vAnchor="text" w:hAnchor="margin" w:xAlign="center" w:y="1"/>
          <w:rPr>
            <w:rStyle w:val="Numeropagina"/>
          </w:rPr>
        </w:pPr>
        <w:r>
          <w:rPr>
            <w:rStyle w:val="Numeropagina"/>
          </w:rPr>
          <w:fldChar w:fldCharType="begin"/>
        </w:r>
        <w:r>
          <w:rPr>
            <w:rStyle w:val="Numeropagina"/>
          </w:rPr>
          <w:instrText xml:space="preserve"> PAGE </w:instrText>
        </w:r>
        <w:r>
          <w:rPr>
            <w:rStyle w:val="Numeropagina"/>
          </w:rPr>
          <w:fldChar w:fldCharType="end"/>
        </w:r>
      </w:p>
    </w:sdtContent>
  </w:sdt>
  <w:p w14:paraId="50DD5A3F" w14:textId="77777777" w:rsidR="00DB19CA" w:rsidRDefault="00DB19CA">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eropagina"/>
        <w:sz w:val="20"/>
        <w:szCs w:val="20"/>
      </w:rPr>
      <w:id w:val="1146317514"/>
      <w:docPartObj>
        <w:docPartGallery w:val="Page Numbers (Bottom of Page)"/>
        <w:docPartUnique/>
      </w:docPartObj>
    </w:sdtPr>
    <w:sdtEndPr>
      <w:rPr>
        <w:rStyle w:val="Numeropagina"/>
        <w:rFonts w:asciiTheme="minorHAnsi" w:hAnsiTheme="minorHAnsi" w:cstheme="minorHAnsi"/>
      </w:rPr>
    </w:sdtEndPr>
    <w:sdtContent>
      <w:p w14:paraId="4ED1D062" w14:textId="77777777" w:rsidR="00707EA9" w:rsidRPr="00823685" w:rsidRDefault="00707EA9" w:rsidP="008571C6">
        <w:pPr>
          <w:pStyle w:val="Pidipagina"/>
          <w:framePr w:wrap="none" w:vAnchor="text" w:hAnchor="margin" w:xAlign="center" w:y="1"/>
          <w:rPr>
            <w:rStyle w:val="Numeropagina"/>
            <w:rFonts w:asciiTheme="minorHAnsi" w:hAnsiTheme="minorHAnsi" w:cstheme="minorHAnsi"/>
            <w:sz w:val="20"/>
            <w:szCs w:val="20"/>
          </w:rPr>
        </w:pPr>
        <w:r w:rsidRPr="00823685">
          <w:rPr>
            <w:rStyle w:val="Numeropagina"/>
            <w:rFonts w:asciiTheme="minorHAnsi" w:hAnsiTheme="minorHAnsi" w:cstheme="minorHAnsi"/>
            <w:sz w:val="20"/>
            <w:szCs w:val="20"/>
          </w:rPr>
          <w:fldChar w:fldCharType="begin"/>
        </w:r>
        <w:r w:rsidRPr="00823685">
          <w:rPr>
            <w:rStyle w:val="Numeropagina"/>
            <w:rFonts w:asciiTheme="minorHAnsi" w:hAnsiTheme="minorHAnsi" w:cstheme="minorHAnsi"/>
            <w:sz w:val="20"/>
            <w:szCs w:val="20"/>
          </w:rPr>
          <w:instrText xml:space="preserve"> PAGE </w:instrText>
        </w:r>
        <w:r w:rsidRPr="00823685">
          <w:rPr>
            <w:rStyle w:val="Numeropagina"/>
            <w:rFonts w:asciiTheme="minorHAnsi" w:hAnsiTheme="minorHAnsi" w:cstheme="minorHAnsi"/>
            <w:sz w:val="20"/>
            <w:szCs w:val="20"/>
          </w:rPr>
          <w:fldChar w:fldCharType="separate"/>
        </w:r>
        <w:r w:rsidRPr="00823685">
          <w:rPr>
            <w:rStyle w:val="Numeropagina"/>
            <w:rFonts w:asciiTheme="minorHAnsi" w:hAnsiTheme="minorHAnsi" w:cstheme="minorHAnsi"/>
            <w:noProof/>
            <w:sz w:val="20"/>
            <w:szCs w:val="20"/>
          </w:rPr>
          <w:t>2</w:t>
        </w:r>
        <w:r w:rsidRPr="00823685">
          <w:rPr>
            <w:rStyle w:val="Numeropagina"/>
            <w:rFonts w:asciiTheme="minorHAnsi" w:hAnsiTheme="minorHAnsi" w:cstheme="minorHAnsi"/>
            <w:sz w:val="20"/>
            <w:szCs w:val="20"/>
          </w:rPr>
          <w:fldChar w:fldCharType="end"/>
        </w:r>
      </w:p>
    </w:sdtContent>
  </w:sdt>
  <w:p w14:paraId="62341518" w14:textId="77777777" w:rsidR="00DB19CA" w:rsidRPr="00823685" w:rsidRDefault="00DB19CA">
    <w:pPr>
      <w:pStyle w:val="Pidipagina"/>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427D3" w14:textId="77777777" w:rsidR="000F75DE" w:rsidRDefault="000F75DE" w:rsidP="00DB19CA">
      <w:r>
        <w:separator/>
      </w:r>
    </w:p>
  </w:footnote>
  <w:footnote w:type="continuationSeparator" w:id="0">
    <w:p w14:paraId="11F71E2E" w14:textId="77777777" w:rsidR="000F75DE" w:rsidRDefault="000F75DE" w:rsidP="00DB19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90181" w14:textId="77777777" w:rsidR="00DB19CA" w:rsidRPr="00707EA9" w:rsidRDefault="00707EA9" w:rsidP="00707EA9">
    <w:pPr>
      <w:pStyle w:val="Firmaposizione"/>
      <w:ind w:right="-114"/>
      <w:jc w:val="center"/>
      <w:rPr>
        <w:rFonts w:ascii="Engravers MT" w:hAnsi="Engravers MT"/>
        <w:b/>
        <w:sz w:val="18"/>
        <w:szCs w:val="18"/>
      </w:rPr>
    </w:pPr>
    <w:r w:rsidRPr="00401614">
      <w:rPr>
        <w:rFonts w:ascii="Engravers MT" w:hAnsi="Engravers MT"/>
        <w:b/>
        <w:sz w:val="18"/>
        <w:szCs w:val="18"/>
      </w:rPr>
      <w:t xml:space="preserve">Studio legale </w:t>
    </w:r>
    <w:r w:rsidRPr="00401614">
      <w:rPr>
        <w:rFonts w:ascii="Engravers MT" w:hAnsi="Engravers MT"/>
        <w:b/>
        <w:sz w:val="12"/>
        <w:szCs w:val="12"/>
      </w:rPr>
      <w:t>de</w:t>
    </w:r>
    <w:r w:rsidRPr="00401614">
      <w:rPr>
        <w:rFonts w:ascii="Engravers MT" w:hAnsi="Engravers MT"/>
        <w:b/>
        <w:sz w:val="18"/>
        <w:szCs w:val="18"/>
      </w:rPr>
      <w:t xml:space="preserve"> miranda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FF5F1" w14:textId="77777777" w:rsidR="00DB19CA" w:rsidRPr="00FE2284" w:rsidRDefault="00DB19CA" w:rsidP="00DB19CA">
    <w:pPr>
      <w:ind w:left="-1418" w:right="-1418"/>
      <w:jc w:val="center"/>
      <w:rPr>
        <w:rFonts w:ascii="Engravers MT" w:hAnsi="Engravers MT"/>
        <w:b/>
      </w:rPr>
    </w:pPr>
    <w:r w:rsidRPr="00FE2284">
      <w:rPr>
        <w:rFonts w:ascii="Engravers MT" w:hAnsi="Engravers MT"/>
        <w:b/>
      </w:rPr>
      <w:t xml:space="preserve">Avv. Paolo </w:t>
    </w:r>
    <w:r w:rsidRPr="00FE2284">
      <w:rPr>
        <w:rFonts w:ascii="Engravers MT" w:hAnsi="Engravers MT"/>
        <w:b/>
        <w:sz w:val="16"/>
        <w:szCs w:val="16"/>
      </w:rPr>
      <w:t>de</w:t>
    </w:r>
    <w:r w:rsidRPr="00FE2284">
      <w:rPr>
        <w:rFonts w:ascii="Engravers MT" w:hAnsi="Engravers MT"/>
        <w:b/>
      </w:rPr>
      <w:t xml:space="preserve"> Miranda</w:t>
    </w:r>
  </w:p>
  <w:p w14:paraId="79EAD70C" w14:textId="77777777" w:rsidR="00DB19CA" w:rsidRPr="00FE2284" w:rsidRDefault="00DB19CA" w:rsidP="00DB19CA">
    <w:pPr>
      <w:ind w:left="-1418" w:right="-1418"/>
      <w:jc w:val="center"/>
      <w:rPr>
        <w:rFonts w:ascii="Engravers MT" w:hAnsi="Engravers MT"/>
        <w:b/>
        <w:sz w:val="12"/>
        <w:szCs w:val="12"/>
      </w:rPr>
    </w:pPr>
    <w:r w:rsidRPr="00FE2284">
      <w:rPr>
        <w:rFonts w:ascii="Engravers MT" w:hAnsi="Engravers MT"/>
        <w:b/>
        <w:sz w:val="12"/>
        <w:szCs w:val="12"/>
      </w:rPr>
      <w:t xml:space="preserve">Via </w:t>
    </w:r>
    <w:proofErr w:type="spellStart"/>
    <w:r w:rsidRPr="00FE2284">
      <w:rPr>
        <w:rFonts w:ascii="Engravers MT" w:hAnsi="Engravers MT"/>
        <w:b/>
        <w:sz w:val="12"/>
        <w:szCs w:val="12"/>
      </w:rPr>
      <w:t>Guaccimanni</w:t>
    </w:r>
    <w:proofErr w:type="spellEnd"/>
    <w:r w:rsidRPr="00FE2284">
      <w:rPr>
        <w:rFonts w:ascii="Engravers MT" w:hAnsi="Engravers MT"/>
        <w:b/>
        <w:sz w:val="12"/>
        <w:szCs w:val="12"/>
      </w:rPr>
      <w:t>, 25 – 48121 Ravenna</w:t>
    </w:r>
  </w:p>
  <w:p w14:paraId="4148D68E" w14:textId="77777777" w:rsidR="00DB19CA" w:rsidRPr="00FE2284" w:rsidRDefault="00DB19CA" w:rsidP="00DB19CA">
    <w:pPr>
      <w:ind w:left="-1418" w:right="-1418"/>
      <w:jc w:val="center"/>
      <w:rPr>
        <w:rFonts w:ascii="Engravers MT" w:hAnsi="Engravers MT"/>
        <w:b/>
        <w:sz w:val="12"/>
        <w:szCs w:val="12"/>
      </w:rPr>
    </w:pPr>
    <w:r w:rsidRPr="00FE2284">
      <w:rPr>
        <w:rFonts w:ascii="Engravers MT" w:hAnsi="Engravers MT"/>
        <w:b/>
        <w:sz w:val="12"/>
        <w:szCs w:val="12"/>
      </w:rPr>
      <w:t>0544 240260 fax 0544 1951514</w:t>
    </w:r>
  </w:p>
  <w:p w14:paraId="225BCE58" w14:textId="77777777" w:rsidR="00DB19CA" w:rsidRPr="00FE2284" w:rsidRDefault="00DB19CA" w:rsidP="00DB19CA">
    <w:pPr>
      <w:ind w:left="-1418" w:right="-1418"/>
      <w:jc w:val="center"/>
      <w:rPr>
        <w:b/>
        <w:i/>
        <w:sz w:val="18"/>
        <w:szCs w:val="18"/>
      </w:rPr>
    </w:pPr>
    <w:r w:rsidRPr="00FE2284">
      <w:rPr>
        <w:b/>
        <w:i/>
        <w:sz w:val="18"/>
        <w:szCs w:val="18"/>
      </w:rPr>
      <w:t>paolo.demiranda@ordineavvocatiravenna.eu</w:t>
    </w:r>
  </w:p>
  <w:p w14:paraId="3707C7C2" w14:textId="77777777" w:rsidR="00DB19CA" w:rsidRDefault="00DB19CA" w:rsidP="00DB19CA">
    <w:pPr>
      <w:pStyle w:val="Intestazione"/>
      <w:ind w:left="-1418" w:right="-141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A56EB"/>
    <w:multiLevelType w:val="hybridMultilevel"/>
    <w:tmpl w:val="8C46E88A"/>
    <w:lvl w:ilvl="0" w:tplc="529824BE">
      <w:start w:val="1"/>
      <w:numFmt w:val="none"/>
      <w:lvlText w:val="1."/>
      <w:lvlJc w:val="left"/>
      <w:pPr>
        <w:ind w:left="720" w:hanging="360"/>
      </w:pPr>
      <w:rPr>
        <w:rFonts w:hint="default"/>
        <w:b/>
        <w:i w:val="0"/>
        <w:iCs w:val="0"/>
        <w:sz w:val="22"/>
        <w:szCs w:val="22"/>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0BBA21D3"/>
    <w:multiLevelType w:val="hybridMultilevel"/>
    <w:tmpl w:val="A2983EB2"/>
    <w:lvl w:ilvl="0" w:tplc="9CA27830">
      <w:numFmt w:val="bullet"/>
      <w:lvlText w:val="-"/>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CD5788F"/>
    <w:multiLevelType w:val="multilevel"/>
    <w:tmpl w:val="5DF60AB0"/>
    <w:lvl w:ilvl="0">
      <w:start w:val="1"/>
      <w:numFmt w:val="bullet"/>
      <w:lvlText w:val=""/>
      <w:lvlJc w:val="left"/>
      <w:pPr>
        <w:ind w:left="1260" w:hanging="360"/>
      </w:pPr>
      <w:rPr>
        <w:rFonts w:ascii="Symbol" w:hAnsi="Symbol" w:hint="default"/>
        <w:b/>
        <w:i w:val="0"/>
      </w:rPr>
    </w:lvl>
    <w:lvl w:ilvl="1">
      <w:start w:val="1"/>
      <w:numFmt w:val="decimal"/>
      <w:isLgl/>
      <w:lvlText w:val="%1.%2"/>
      <w:lvlJc w:val="left"/>
      <w:pPr>
        <w:ind w:left="1320" w:hanging="420"/>
      </w:pPr>
      <w:rPr>
        <w:rFonts w:hint="default"/>
        <w:b/>
        <w:sz w:val="24"/>
      </w:rPr>
    </w:lvl>
    <w:lvl w:ilvl="2">
      <w:start w:val="1"/>
      <w:numFmt w:val="decimal"/>
      <w:isLgl/>
      <w:lvlText w:val="%1.%2.%3"/>
      <w:lvlJc w:val="left"/>
      <w:pPr>
        <w:ind w:left="1620" w:hanging="720"/>
      </w:pPr>
      <w:rPr>
        <w:rFonts w:hint="default"/>
        <w:b/>
        <w:sz w:val="24"/>
      </w:rPr>
    </w:lvl>
    <w:lvl w:ilvl="3">
      <w:start w:val="1"/>
      <w:numFmt w:val="decimal"/>
      <w:isLgl/>
      <w:lvlText w:val="%1.%2.%3.%4"/>
      <w:lvlJc w:val="left"/>
      <w:pPr>
        <w:ind w:left="1620" w:hanging="720"/>
      </w:pPr>
      <w:rPr>
        <w:rFonts w:hint="default"/>
        <w:b/>
        <w:sz w:val="24"/>
      </w:rPr>
    </w:lvl>
    <w:lvl w:ilvl="4">
      <w:start w:val="1"/>
      <w:numFmt w:val="decimal"/>
      <w:isLgl/>
      <w:lvlText w:val="%1.%2.%3.%4.%5"/>
      <w:lvlJc w:val="left"/>
      <w:pPr>
        <w:ind w:left="1980" w:hanging="1080"/>
      </w:pPr>
      <w:rPr>
        <w:rFonts w:hint="default"/>
        <w:b/>
        <w:sz w:val="24"/>
      </w:rPr>
    </w:lvl>
    <w:lvl w:ilvl="5">
      <w:start w:val="1"/>
      <w:numFmt w:val="decimal"/>
      <w:isLgl/>
      <w:lvlText w:val="%1.%2.%3.%4.%5.%6"/>
      <w:lvlJc w:val="left"/>
      <w:pPr>
        <w:ind w:left="1980" w:hanging="1080"/>
      </w:pPr>
      <w:rPr>
        <w:rFonts w:hint="default"/>
        <w:b/>
        <w:sz w:val="24"/>
      </w:rPr>
    </w:lvl>
    <w:lvl w:ilvl="6">
      <w:start w:val="1"/>
      <w:numFmt w:val="decimal"/>
      <w:isLgl/>
      <w:lvlText w:val="%1.%2.%3.%4.%5.%6.%7"/>
      <w:lvlJc w:val="left"/>
      <w:pPr>
        <w:ind w:left="2340" w:hanging="1440"/>
      </w:pPr>
      <w:rPr>
        <w:rFonts w:hint="default"/>
        <w:b/>
        <w:sz w:val="24"/>
      </w:rPr>
    </w:lvl>
    <w:lvl w:ilvl="7">
      <w:start w:val="1"/>
      <w:numFmt w:val="decimal"/>
      <w:isLgl/>
      <w:lvlText w:val="%1.%2.%3.%4.%5.%6.%7.%8"/>
      <w:lvlJc w:val="left"/>
      <w:pPr>
        <w:ind w:left="2340" w:hanging="1440"/>
      </w:pPr>
      <w:rPr>
        <w:rFonts w:hint="default"/>
        <w:b/>
        <w:sz w:val="24"/>
      </w:rPr>
    </w:lvl>
    <w:lvl w:ilvl="8">
      <w:start w:val="1"/>
      <w:numFmt w:val="decimal"/>
      <w:isLgl/>
      <w:lvlText w:val="%1.%2.%3.%4.%5.%6.%7.%8.%9"/>
      <w:lvlJc w:val="left"/>
      <w:pPr>
        <w:ind w:left="2340" w:hanging="1440"/>
      </w:pPr>
      <w:rPr>
        <w:rFonts w:hint="default"/>
        <w:b/>
        <w:sz w:val="24"/>
      </w:rPr>
    </w:lvl>
  </w:abstractNum>
  <w:abstractNum w:abstractNumId="3" w15:restartNumberingAfterBreak="0">
    <w:nsid w:val="0DBD4FF3"/>
    <w:multiLevelType w:val="hybridMultilevel"/>
    <w:tmpl w:val="D8E8F3A6"/>
    <w:lvl w:ilvl="0" w:tplc="1B24B078">
      <w:start w:val="1"/>
      <w:numFmt w:val="decimal"/>
      <w:lvlText w:val="%1."/>
      <w:lvlJc w:val="left"/>
      <w:pPr>
        <w:ind w:left="720" w:hanging="360"/>
      </w:pPr>
      <w:rPr>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10DD1EE4"/>
    <w:multiLevelType w:val="multilevel"/>
    <w:tmpl w:val="E6468FF4"/>
    <w:lvl w:ilvl="0">
      <w:numFmt w:val="bullet"/>
      <w:lvlText w:val="-"/>
      <w:lvlJc w:val="left"/>
      <w:pPr>
        <w:ind w:left="1260" w:hanging="360"/>
      </w:pPr>
      <w:rPr>
        <w:rFonts w:hint="default"/>
        <w:b/>
        <w:i w:val="0"/>
      </w:rPr>
    </w:lvl>
    <w:lvl w:ilvl="1">
      <w:start w:val="1"/>
      <w:numFmt w:val="decimal"/>
      <w:isLgl/>
      <w:lvlText w:val="%1.%2"/>
      <w:lvlJc w:val="left"/>
      <w:pPr>
        <w:ind w:left="1320" w:hanging="420"/>
      </w:pPr>
      <w:rPr>
        <w:rFonts w:hint="default"/>
        <w:b/>
        <w:sz w:val="24"/>
      </w:rPr>
    </w:lvl>
    <w:lvl w:ilvl="2">
      <w:start w:val="1"/>
      <w:numFmt w:val="decimal"/>
      <w:isLgl/>
      <w:lvlText w:val="%1.%2.%3"/>
      <w:lvlJc w:val="left"/>
      <w:pPr>
        <w:ind w:left="1620" w:hanging="720"/>
      </w:pPr>
      <w:rPr>
        <w:rFonts w:hint="default"/>
        <w:b/>
        <w:sz w:val="24"/>
      </w:rPr>
    </w:lvl>
    <w:lvl w:ilvl="3">
      <w:start w:val="1"/>
      <w:numFmt w:val="decimal"/>
      <w:isLgl/>
      <w:lvlText w:val="%1.%2.%3.%4"/>
      <w:lvlJc w:val="left"/>
      <w:pPr>
        <w:ind w:left="1620" w:hanging="720"/>
      </w:pPr>
      <w:rPr>
        <w:rFonts w:hint="default"/>
        <w:b/>
        <w:sz w:val="24"/>
      </w:rPr>
    </w:lvl>
    <w:lvl w:ilvl="4">
      <w:start w:val="1"/>
      <w:numFmt w:val="decimal"/>
      <w:isLgl/>
      <w:lvlText w:val="%1.%2.%3.%4.%5"/>
      <w:lvlJc w:val="left"/>
      <w:pPr>
        <w:ind w:left="1980" w:hanging="1080"/>
      </w:pPr>
      <w:rPr>
        <w:rFonts w:hint="default"/>
        <w:b/>
        <w:sz w:val="24"/>
      </w:rPr>
    </w:lvl>
    <w:lvl w:ilvl="5">
      <w:start w:val="1"/>
      <w:numFmt w:val="decimal"/>
      <w:isLgl/>
      <w:lvlText w:val="%1.%2.%3.%4.%5.%6"/>
      <w:lvlJc w:val="left"/>
      <w:pPr>
        <w:ind w:left="1980" w:hanging="1080"/>
      </w:pPr>
      <w:rPr>
        <w:rFonts w:hint="default"/>
        <w:b/>
        <w:sz w:val="24"/>
      </w:rPr>
    </w:lvl>
    <w:lvl w:ilvl="6">
      <w:start w:val="1"/>
      <w:numFmt w:val="decimal"/>
      <w:isLgl/>
      <w:lvlText w:val="%1.%2.%3.%4.%5.%6.%7"/>
      <w:lvlJc w:val="left"/>
      <w:pPr>
        <w:ind w:left="2340" w:hanging="1440"/>
      </w:pPr>
      <w:rPr>
        <w:rFonts w:hint="default"/>
        <w:b/>
        <w:sz w:val="24"/>
      </w:rPr>
    </w:lvl>
    <w:lvl w:ilvl="7">
      <w:start w:val="1"/>
      <w:numFmt w:val="decimal"/>
      <w:isLgl/>
      <w:lvlText w:val="%1.%2.%3.%4.%5.%6.%7.%8"/>
      <w:lvlJc w:val="left"/>
      <w:pPr>
        <w:ind w:left="2340" w:hanging="1440"/>
      </w:pPr>
      <w:rPr>
        <w:rFonts w:hint="default"/>
        <w:b/>
        <w:sz w:val="24"/>
      </w:rPr>
    </w:lvl>
    <w:lvl w:ilvl="8">
      <w:start w:val="1"/>
      <w:numFmt w:val="decimal"/>
      <w:isLgl/>
      <w:lvlText w:val="%1.%2.%3.%4.%5.%6.%7.%8.%9"/>
      <w:lvlJc w:val="left"/>
      <w:pPr>
        <w:ind w:left="2340" w:hanging="1440"/>
      </w:pPr>
      <w:rPr>
        <w:rFonts w:hint="default"/>
        <w:b/>
        <w:sz w:val="24"/>
      </w:rPr>
    </w:lvl>
  </w:abstractNum>
  <w:abstractNum w:abstractNumId="5" w15:restartNumberingAfterBreak="0">
    <w:nsid w:val="1AC5326D"/>
    <w:multiLevelType w:val="hybridMultilevel"/>
    <w:tmpl w:val="E8D60412"/>
    <w:lvl w:ilvl="0" w:tplc="0410000F">
      <w:start w:val="1"/>
      <w:numFmt w:val="decimal"/>
      <w:lvlText w:val="%1."/>
      <w:lvlJc w:val="left"/>
      <w:pPr>
        <w:ind w:left="720" w:hanging="360"/>
      </w:pPr>
      <w:rPr>
        <w:rFonts w:hint="default"/>
        <w:b/>
        <w:sz w:val="22"/>
        <w:szCs w:val="22"/>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34914D8A"/>
    <w:multiLevelType w:val="hybridMultilevel"/>
    <w:tmpl w:val="E1BA390E"/>
    <w:lvl w:ilvl="0" w:tplc="A6685E94">
      <w:start w:val="1"/>
      <w:numFmt w:val="decimal"/>
      <w:lvlText w:val="%1)"/>
      <w:lvlJc w:val="left"/>
      <w:pPr>
        <w:ind w:left="780" w:hanging="42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44AF302D"/>
    <w:multiLevelType w:val="hybridMultilevel"/>
    <w:tmpl w:val="3844E5B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4CA93CE4"/>
    <w:multiLevelType w:val="hybridMultilevel"/>
    <w:tmpl w:val="5CE66272"/>
    <w:lvl w:ilvl="0" w:tplc="04100011">
      <w:start w:val="1"/>
      <w:numFmt w:val="decimal"/>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4D7F45E2"/>
    <w:multiLevelType w:val="hybridMultilevel"/>
    <w:tmpl w:val="10F86ABE"/>
    <w:lvl w:ilvl="0" w:tplc="79504EE8">
      <w:start w:val="1"/>
      <w:numFmt w:val="decimal"/>
      <w:lvlText w:val="%1."/>
      <w:lvlJc w:val="left"/>
      <w:pPr>
        <w:ind w:left="720" w:hanging="360"/>
      </w:pPr>
      <w:rPr>
        <w:rFonts w:hint="default"/>
        <w:b/>
        <w:i w:val="0"/>
        <w:iCs w:val="0"/>
        <w:sz w:val="22"/>
        <w:szCs w:val="22"/>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55FE36E4"/>
    <w:multiLevelType w:val="hybridMultilevel"/>
    <w:tmpl w:val="40C6574C"/>
    <w:lvl w:ilvl="0" w:tplc="53204C98">
      <w:start w:val="1"/>
      <w:numFmt w:val="upperLetter"/>
      <w:lvlText w:val="%1."/>
      <w:lvlJc w:val="left"/>
      <w:rPr>
        <w:rFonts w:ascii="Calibri" w:hAnsi="Calibri" w:cs="Calibri"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620405C7"/>
    <w:multiLevelType w:val="hybridMultilevel"/>
    <w:tmpl w:val="F0A0BE86"/>
    <w:lvl w:ilvl="0" w:tplc="BE0ED31C">
      <w:start w:val="1"/>
      <w:numFmt w:val="decimal"/>
      <w:lvlText w:val="%1."/>
      <w:lvlJc w:val="left"/>
      <w:pPr>
        <w:ind w:left="720" w:hanging="360"/>
      </w:pPr>
      <w:rPr>
        <w:rFonts w:asciiTheme="minorHAnsi" w:hAnsiTheme="minorHAnsi" w:cstheme="minorHAnsi" w:hint="default"/>
        <w:b/>
        <w:bCs/>
        <w:i w:val="0"/>
        <w:iCs w:val="0"/>
        <w:sz w:val="24"/>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6B340A0B"/>
    <w:multiLevelType w:val="multilevel"/>
    <w:tmpl w:val="5B346F94"/>
    <w:lvl w:ilvl="0">
      <w:start w:val="1"/>
      <w:numFmt w:val="decimal"/>
      <w:lvlText w:val="%1."/>
      <w:lvlJc w:val="left"/>
      <w:pPr>
        <w:tabs>
          <w:tab w:val="num" w:pos="1260"/>
        </w:tabs>
        <w:ind w:left="1260" w:hanging="360"/>
      </w:pPr>
      <w:rPr>
        <w:b/>
        <w:i w:val="0"/>
      </w:rPr>
    </w:lvl>
    <w:lvl w:ilvl="1">
      <w:start w:val="1"/>
      <w:numFmt w:val="decimal"/>
      <w:isLgl/>
      <w:lvlText w:val="%1.%2"/>
      <w:lvlJc w:val="left"/>
      <w:pPr>
        <w:ind w:left="1320" w:hanging="420"/>
      </w:pPr>
      <w:rPr>
        <w:rFonts w:hint="default"/>
        <w:b/>
        <w:sz w:val="24"/>
      </w:rPr>
    </w:lvl>
    <w:lvl w:ilvl="2">
      <w:start w:val="1"/>
      <w:numFmt w:val="decimal"/>
      <w:isLgl/>
      <w:lvlText w:val="%1.%2.%3"/>
      <w:lvlJc w:val="left"/>
      <w:pPr>
        <w:ind w:left="1620" w:hanging="720"/>
      </w:pPr>
      <w:rPr>
        <w:rFonts w:hint="default"/>
        <w:b/>
        <w:sz w:val="24"/>
      </w:rPr>
    </w:lvl>
    <w:lvl w:ilvl="3">
      <w:start w:val="1"/>
      <w:numFmt w:val="decimal"/>
      <w:isLgl/>
      <w:lvlText w:val="%1.%2.%3.%4"/>
      <w:lvlJc w:val="left"/>
      <w:pPr>
        <w:ind w:left="1620" w:hanging="720"/>
      </w:pPr>
      <w:rPr>
        <w:rFonts w:hint="default"/>
        <w:b/>
        <w:sz w:val="24"/>
      </w:rPr>
    </w:lvl>
    <w:lvl w:ilvl="4">
      <w:start w:val="1"/>
      <w:numFmt w:val="decimal"/>
      <w:isLgl/>
      <w:lvlText w:val="%1.%2.%3.%4.%5"/>
      <w:lvlJc w:val="left"/>
      <w:pPr>
        <w:ind w:left="1980" w:hanging="1080"/>
      </w:pPr>
      <w:rPr>
        <w:rFonts w:hint="default"/>
        <w:b/>
        <w:sz w:val="24"/>
      </w:rPr>
    </w:lvl>
    <w:lvl w:ilvl="5">
      <w:start w:val="1"/>
      <w:numFmt w:val="decimal"/>
      <w:isLgl/>
      <w:lvlText w:val="%1.%2.%3.%4.%5.%6"/>
      <w:lvlJc w:val="left"/>
      <w:pPr>
        <w:ind w:left="1980" w:hanging="1080"/>
      </w:pPr>
      <w:rPr>
        <w:rFonts w:hint="default"/>
        <w:b/>
        <w:sz w:val="24"/>
      </w:rPr>
    </w:lvl>
    <w:lvl w:ilvl="6">
      <w:start w:val="1"/>
      <w:numFmt w:val="decimal"/>
      <w:isLgl/>
      <w:lvlText w:val="%1.%2.%3.%4.%5.%6.%7"/>
      <w:lvlJc w:val="left"/>
      <w:pPr>
        <w:ind w:left="2340" w:hanging="1440"/>
      </w:pPr>
      <w:rPr>
        <w:rFonts w:hint="default"/>
        <w:b/>
        <w:sz w:val="24"/>
      </w:rPr>
    </w:lvl>
    <w:lvl w:ilvl="7">
      <w:start w:val="1"/>
      <w:numFmt w:val="decimal"/>
      <w:isLgl/>
      <w:lvlText w:val="%1.%2.%3.%4.%5.%6.%7.%8"/>
      <w:lvlJc w:val="left"/>
      <w:pPr>
        <w:ind w:left="2340" w:hanging="1440"/>
      </w:pPr>
      <w:rPr>
        <w:rFonts w:hint="default"/>
        <w:b/>
        <w:sz w:val="24"/>
      </w:rPr>
    </w:lvl>
    <w:lvl w:ilvl="8">
      <w:start w:val="1"/>
      <w:numFmt w:val="decimal"/>
      <w:isLgl/>
      <w:lvlText w:val="%1.%2.%3.%4.%5.%6.%7.%8.%9"/>
      <w:lvlJc w:val="left"/>
      <w:pPr>
        <w:ind w:left="2340" w:hanging="1440"/>
      </w:pPr>
      <w:rPr>
        <w:rFonts w:hint="default"/>
        <w:b/>
        <w:sz w:val="24"/>
      </w:rPr>
    </w:lvl>
  </w:abstractNum>
  <w:abstractNum w:abstractNumId="13" w15:restartNumberingAfterBreak="0">
    <w:nsid w:val="75284A10"/>
    <w:multiLevelType w:val="hybridMultilevel"/>
    <w:tmpl w:val="9F18E23C"/>
    <w:lvl w:ilvl="0" w:tplc="89225B00">
      <w:start w:val="1"/>
      <w:numFmt w:val="decimal"/>
      <w:lvlText w:val="%1"/>
      <w:lvlJc w:val="left"/>
      <w:pPr>
        <w:ind w:left="720" w:hanging="360"/>
      </w:pPr>
      <w:rPr>
        <w:rFonts w:asciiTheme="minorHAnsi" w:hAnsiTheme="minorHAnsi" w:cstheme="minorHAnsi" w:hint="default"/>
        <w:sz w:val="24"/>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7E4C6E6A"/>
    <w:multiLevelType w:val="hybridMultilevel"/>
    <w:tmpl w:val="62361BE6"/>
    <w:lvl w:ilvl="0" w:tplc="04100011">
      <w:start w:val="1"/>
      <w:numFmt w:val="decimal"/>
      <w:lvlText w:val="%1)"/>
      <w:lvlJc w:val="left"/>
      <w:pPr>
        <w:ind w:left="1146" w:hanging="360"/>
      </w:pPr>
    </w:lvl>
    <w:lvl w:ilvl="1" w:tplc="04100019" w:tentative="1">
      <w:start w:val="1"/>
      <w:numFmt w:val="lowerLetter"/>
      <w:lvlText w:val="%2."/>
      <w:lvlJc w:val="left"/>
      <w:pPr>
        <w:ind w:left="1866" w:hanging="360"/>
      </w:pPr>
    </w:lvl>
    <w:lvl w:ilvl="2" w:tplc="0410001B" w:tentative="1">
      <w:start w:val="1"/>
      <w:numFmt w:val="lowerRoman"/>
      <w:lvlText w:val="%3."/>
      <w:lvlJc w:val="right"/>
      <w:pPr>
        <w:ind w:left="2586" w:hanging="180"/>
      </w:pPr>
    </w:lvl>
    <w:lvl w:ilvl="3" w:tplc="0410000F" w:tentative="1">
      <w:start w:val="1"/>
      <w:numFmt w:val="decimal"/>
      <w:lvlText w:val="%4."/>
      <w:lvlJc w:val="left"/>
      <w:pPr>
        <w:ind w:left="3306" w:hanging="360"/>
      </w:pPr>
    </w:lvl>
    <w:lvl w:ilvl="4" w:tplc="04100019" w:tentative="1">
      <w:start w:val="1"/>
      <w:numFmt w:val="lowerLetter"/>
      <w:lvlText w:val="%5."/>
      <w:lvlJc w:val="left"/>
      <w:pPr>
        <w:ind w:left="4026" w:hanging="360"/>
      </w:pPr>
    </w:lvl>
    <w:lvl w:ilvl="5" w:tplc="0410001B" w:tentative="1">
      <w:start w:val="1"/>
      <w:numFmt w:val="lowerRoman"/>
      <w:lvlText w:val="%6."/>
      <w:lvlJc w:val="right"/>
      <w:pPr>
        <w:ind w:left="4746" w:hanging="180"/>
      </w:pPr>
    </w:lvl>
    <w:lvl w:ilvl="6" w:tplc="0410000F" w:tentative="1">
      <w:start w:val="1"/>
      <w:numFmt w:val="decimal"/>
      <w:lvlText w:val="%7."/>
      <w:lvlJc w:val="left"/>
      <w:pPr>
        <w:ind w:left="5466" w:hanging="360"/>
      </w:pPr>
    </w:lvl>
    <w:lvl w:ilvl="7" w:tplc="04100019" w:tentative="1">
      <w:start w:val="1"/>
      <w:numFmt w:val="lowerLetter"/>
      <w:lvlText w:val="%8."/>
      <w:lvlJc w:val="left"/>
      <w:pPr>
        <w:ind w:left="6186" w:hanging="360"/>
      </w:pPr>
    </w:lvl>
    <w:lvl w:ilvl="8" w:tplc="0410001B" w:tentative="1">
      <w:start w:val="1"/>
      <w:numFmt w:val="lowerRoman"/>
      <w:lvlText w:val="%9."/>
      <w:lvlJc w:val="right"/>
      <w:pPr>
        <w:ind w:left="6906" w:hanging="180"/>
      </w:pPr>
    </w:lvl>
  </w:abstractNum>
  <w:num w:numId="1" w16cid:durableId="823085791">
    <w:abstractNumId w:val="7"/>
  </w:num>
  <w:num w:numId="2" w16cid:durableId="1932007070">
    <w:abstractNumId w:val="3"/>
  </w:num>
  <w:num w:numId="3" w16cid:durableId="618604322">
    <w:abstractNumId w:val="12"/>
  </w:num>
  <w:num w:numId="4" w16cid:durableId="1297881563">
    <w:abstractNumId w:val="10"/>
  </w:num>
  <w:num w:numId="5" w16cid:durableId="506870896">
    <w:abstractNumId w:val="8"/>
  </w:num>
  <w:num w:numId="6" w16cid:durableId="1727222881">
    <w:abstractNumId w:val="1"/>
  </w:num>
  <w:num w:numId="7" w16cid:durableId="1198196413">
    <w:abstractNumId w:val="2"/>
  </w:num>
  <w:num w:numId="8" w16cid:durableId="1522812808">
    <w:abstractNumId w:val="4"/>
  </w:num>
  <w:num w:numId="9" w16cid:durableId="1425765954">
    <w:abstractNumId w:val="5"/>
  </w:num>
  <w:num w:numId="10" w16cid:durableId="72702000">
    <w:abstractNumId w:val="14"/>
  </w:num>
  <w:num w:numId="11" w16cid:durableId="186138454">
    <w:abstractNumId w:val="0"/>
  </w:num>
  <w:num w:numId="12" w16cid:durableId="1863937840">
    <w:abstractNumId w:val="9"/>
  </w:num>
  <w:num w:numId="13" w16cid:durableId="2104304306">
    <w:abstractNumId w:val="13"/>
  </w:num>
  <w:num w:numId="14" w16cid:durableId="102196038">
    <w:abstractNumId w:val="11"/>
  </w:num>
  <w:num w:numId="15" w16cid:durableId="5666491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F17"/>
    <w:rsid w:val="00035D5C"/>
    <w:rsid w:val="00046C32"/>
    <w:rsid w:val="00047B57"/>
    <w:rsid w:val="00075684"/>
    <w:rsid w:val="000863D6"/>
    <w:rsid w:val="00097C50"/>
    <w:rsid w:val="000A3786"/>
    <w:rsid w:val="000A79F5"/>
    <w:rsid w:val="000B0B3D"/>
    <w:rsid w:val="000B2921"/>
    <w:rsid w:val="000B65E8"/>
    <w:rsid w:val="000D5434"/>
    <w:rsid w:val="000D5C09"/>
    <w:rsid w:val="000E7389"/>
    <w:rsid w:val="000F75DE"/>
    <w:rsid w:val="0010678A"/>
    <w:rsid w:val="0012026F"/>
    <w:rsid w:val="0012379B"/>
    <w:rsid w:val="001325F6"/>
    <w:rsid w:val="00157386"/>
    <w:rsid w:val="00163188"/>
    <w:rsid w:val="00174470"/>
    <w:rsid w:val="0018150B"/>
    <w:rsid w:val="00187998"/>
    <w:rsid w:val="00187BA6"/>
    <w:rsid w:val="001A3ED9"/>
    <w:rsid w:val="001C73E6"/>
    <w:rsid w:val="001E5879"/>
    <w:rsid w:val="001F4037"/>
    <w:rsid w:val="001F511C"/>
    <w:rsid w:val="00226FD2"/>
    <w:rsid w:val="00232B68"/>
    <w:rsid w:val="00242339"/>
    <w:rsid w:val="00243884"/>
    <w:rsid w:val="00253336"/>
    <w:rsid w:val="00261E92"/>
    <w:rsid w:val="00266AFA"/>
    <w:rsid w:val="00293B67"/>
    <w:rsid w:val="002C577E"/>
    <w:rsid w:val="002D1A02"/>
    <w:rsid w:val="00310B41"/>
    <w:rsid w:val="00316CEC"/>
    <w:rsid w:val="0034172A"/>
    <w:rsid w:val="0035600C"/>
    <w:rsid w:val="0035683A"/>
    <w:rsid w:val="00374E04"/>
    <w:rsid w:val="0038477E"/>
    <w:rsid w:val="003A7DF0"/>
    <w:rsid w:val="003B12D6"/>
    <w:rsid w:val="003C0CF8"/>
    <w:rsid w:val="003D0B9E"/>
    <w:rsid w:val="004425ED"/>
    <w:rsid w:val="004468D9"/>
    <w:rsid w:val="004513BC"/>
    <w:rsid w:val="00462EFE"/>
    <w:rsid w:val="00473C68"/>
    <w:rsid w:val="004B00B3"/>
    <w:rsid w:val="004D272C"/>
    <w:rsid w:val="004E3A76"/>
    <w:rsid w:val="004F08D2"/>
    <w:rsid w:val="004F1828"/>
    <w:rsid w:val="00530388"/>
    <w:rsid w:val="00534A83"/>
    <w:rsid w:val="00537177"/>
    <w:rsid w:val="00537F8B"/>
    <w:rsid w:val="0054154B"/>
    <w:rsid w:val="00566006"/>
    <w:rsid w:val="00567BF6"/>
    <w:rsid w:val="005B2816"/>
    <w:rsid w:val="005D0B5B"/>
    <w:rsid w:val="005E78CB"/>
    <w:rsid w:val="0064113F"/>
    <w:rsid w:val="00642300"/>
    <w:rsid w:val="006634E6"/>
    <w:rsid w:val="00670ECA"/>
    <w:rsid w:val="00684BCF"/>
    <w:rsid w:val="006979A0"/>
    <w:rsid w:val="006A130B"/>
    <w:rsid w:val="006A407E"/>
    <w:rsid w:val="006A44A6"/>
    <w:rsid w:val="006A5284"/>
    <w:rsid w:val="006C0150"/>
    <w:rsid w:val="006C28FE"/>
    <w:rsid w:val="00705160"/>
    <w:rsid w:val="00707EA9"/>
    <w:rsid w:val="00713B19"/>
    <w:rsid w:val="00726DC4"/>
    <w:rsid w:val="00726F17"/>
    <w:rsid w:val="007524A9"/>
    <w:rsid w:val="00764C11"/>
    <w:rsid w:val="00773D85"/>
    <w:rsid w:val="0077431B"/>
    <w:rsid w:val="00784422"/>
    <w:rsid w:val="00786B16"/>
    <w:rsid w:val="00791096"/>
    <w:rsid w:val="007C62A8"/>
    <w:rsid w:val="007D7F58"/>
    <w:rsid w:val="007E0EFC"/>
    <w:rsid w:val="007E5F3D"/>
    <w:rsid w:val="007F4BF9"/>
    <w:rsid w:val="00810796"/>
    <w:rsid w:val="00817601"/>
    <w:rsid w:val="00823685"/>
    <w:rsid w:val="00845370"/>
    <w:rsid w:val="008B3CE3"/>
    <w:rsid w:val="008E2C62"/>
    <w:rsid w:val="009069FA"/>
    <w:rsid w:val="00907F61"/>
    <w:rsid w:val="009153A9"/>
    <w:rsid w:val="009273F0"/>
    <w:rsid w:val="00940DC2"/>
    <w:rsid w:val="009421C0"/>
    <w:rsid w:val="00944777"/>
    <w:rsid w:val="00951C1F"/>
    <w:rsid w:val="00967266"/>
    <w:rsid w:val="00984D45"/>
    <w:rsid w:val="00996E4E"/>
    <w:rsid w:val="009A659D"/>
    <w:rsid w:val="009A6FCE"/>
    <w:rsid w:val="009B1412"/>
    <w:rsid w:val="009D2E49"/>
    <w:rsid w:val="009E6900"/>
    <w:rsid w:val="009F3A0C"/>
    <w:rsid w:val="009F5EB3"/>
    <w:rsid w:val="009F6B11"/>
    <w:rsid w:val="00A0262B"/>
    <w:rsid w:val="00A7249C"/>
    <w:rsid w:val="00A73BA1"/>
    <w:rsid w:val="00A9178F"/>
    <w:rsid w:val="00AA49D8"/>
    <w:rsid w:val="00AB04DA"/>
    <w:rsid w:val="00AB5FA2"/>
    <w:rsid w:val="00AC2B0D"/>
    <w:rsid w:val="00AD01A5"/>
    <w:rsid w:val="00AE7793"/>
    <w:rsid w:val="00B17EC1"/>
    <w:rsid w:val="00B31024"/>
    <w:rsid w:val="00B33603"/>
    <w:rsid w:val="00B35650"/>
    <w:rsid w:val="00B37463"/>
    <w:rsid w:val="00B632CF"/>
    <w:rsid w:val="00B73894"/>
    <w:rsid w:val="00B77C50"/>
    <w:rsid w:val="00B86F2F"/>
    <w:rsid w:val="00BD05EB"/>
    <w:rsid w:val="00BE6F99"/>
    <w:rsid w:val="00BF33F8"/>
    <w:rsid w:val="00BF7E43"/>
    <w:rsid w:val="00C341D0"/>
    <w:rsid w:val="00C347C3"/>
    <w:rsid w:val="00C45E31"/>
    <w:rsid w:val="00C60C0C"/>
    <w:rsid w:val="00C6194B"/>
    <w:rsid w:val="00C67687"/>
    <w:rsid w:val="00C73218"/>
    <w:rsid w:val="00C81EA3"/>
    <w:rsid w:val="00CA3E4B"/>
    <w:rsid w:val="00CB6A76"/>
    <w:rsid w:val="00CC0F0E"/>
    <w:rsid w:val="00CC3748"/>
    <w:rsid w:val="00CD2E47"/>
    <w:rsid w:val="00CE49C3"/>
    <w:rsid w:val="00D07353"/>
    <w:rsid w:val="00D077C3"/>
    <w:rsid w:val="00D10D1B"/>
    <w:rsid w:val="00D80C56"/>
    <w:rsid w:val="00DB19CA"/>
    <w:rsid w:val="00DC6FB5"/>
    <w:rsid w:val="00DD081B"/>
    <w:rsid w:val="00DE6FA8"/>
    <w:rsid w:val="00E1394A"/>
    <w:rsid w:val="00E37F58"/>
    <w:rsid w:val="00E5217B"/>
    <w:rsid w:val="00E56672"/>
    <w:rsid w:val="00E71E92"/>
    <w:rsid w:val="00E71EE8"/>
    <w:rsid w:val="00E74EDF"/>
    <w:rsid w:val="00E901E0"/>
    <w:rsid w:val="00E90B30"/>
    <w:rsid w:val="00EC2470"/>
    <w:rsid w:val="00EC562F"/>
    <w:rsid w:val="00ED4452"/>
    <w:rsid w:val="00ED65F1"/>
    <w:rsid w:val="00ED7AE1"/>
    <w:rsid w:val="00EE564A"/>
    <w:rsid w:val="00EF3356"/>
    <w:rsid w:val="00F0119C"/>
    <w:rsid w:val="00F01655"/>
    <w:rsid w:val="00F61775"/>
    <w:rsid w:val="00F76A5A"/>
    <w:rsid w:val="00F85E08"/>
    <w:rsid w:val="00F92DCE"/>
    <w:rsid w:val="00F965B9"/>
    <w:rsid w:val="00FA0D3A"/>
    <w:rsid w:val="00FA440B"/>
    <w:rsid w:val="00FB1B39"/>
    <w:rsid w:val="00FC01F3"/>
    <w:rsid w:val="00FD0526"/>
    <w:rsid w:val="00FD35AF"/>
    <w:rsid w:val="00FE6BB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0423F"/>
  <w15:chartTrackingRefBased/>
  <w15:docId w15:val="{CBDC705C-F50C-E54D-BD24-96779DB43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863D6"/>
    <w:rPr>
      <w:rFonts w:ascii="Times New Roman" w:eastAsia="Times New Roman" w:hAnsi="Times New Roman" w:cs="Times New Roman"/>
      <w:lang w:eastAsia="it-IT"/>
    </w:rPr>
  </w:style>
  <w:style w:type="paragraph" w:styleId="Titolo1">
    <w:name w:val="heading 1"/>
    <w:basedOn w:val="Normale"/>
    <w:next w:val="Normale"/>
    <w:link w:val="Titolo1Carattere"/>
    <w:uiPriority w:val="9"/>
    <w:qFormat/>
    <w:rsid w:val="00726F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726F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726F17"/>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726F17"/>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726F17"/>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726F17"/>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726F17"/>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726F17"/>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726F17"/>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726F17"/>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726F17"/>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726F17"/>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726F17"/>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726F17"/>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726F17"/>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726F17"/>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726F17"/>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726F17"/>
    <w:rPr>
      <w:rFonts w:eastAsiaTheme="majorEastAsia" w:cstheme="majorBidi"/>
      <w:color w:val="272727" w:themeColor="text1" w:themeTint="D8"/>
    </w:rPr>
  </w:style>
  <w:style w:type="paragraph" w:styleId="Titolo">
    <w:name w:val="Title"/>
    <w:basedOn w:val="Normale"/>
    <w:next w:val="Normale"/>
    <w:link w:val="TitoloCarattere"/>
    <w:uiPriority w:val="10"/>
    <w:qFormat/>
    <w:rsid w:val="00726F17"/>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726F17"/>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726F17"/>
    <w:pPr>
      <w:numPr>
        <w:ilvl w:val="1"/>
      </w:numPr>
      <w:spacing w:after="160"/>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726F17"/>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726F17"/>
    <w:pPr>
      <w:spacing w:before="160" w:after="160"/>
      <w:jc w:val="center"/>
    </w:pPr>
    <w:rPr>
      <w:i/>
      <w:iCs/>
      <w:color w:val="404040" w:themeColor="text1" w:themeTint="BF"/>
    </w:rPr>
  </w:style>
  <w:style w:type="character" w:customStyle="1" w:styleId="CitazioneCarattere">
    <w:name w:val="Citazione Carattere"/>
    <w:basedOn w:val="Carpredefinitoparagrafo"/>
    <w:link w:val="Citazione"/>
    <w:uiPriority w:val="29"/>
    <w:rsid w:val="00726F17"/>
    <w:rPr>
      <w:i/>
      <w:iCs/>
      <w:color w:val="404040" w:themeColor="text1" w:themeTint="BF"/>
    </w:rPr>
  </w:style>
  <w:style w:type="paragraph" w:styleId="Paragrafoelenco">
    <w:name w:val="List Paragraph"/>
    <w:basedOn w:val="Normale"/>
    <w:uiPriority w:val="34"/>
    <w:qFormat/>
    <w:rsid w:val="00726F17"/>
    <w:pPr>
      <w:ind w:left="720"/>
      <w:contextualSpacing/>
    </w:pPr>
  </w:style>
  <w:style w:type="character" w:styleId="Enfasiintensa">
    <w:name w:val="Intense Emphasis"/>
    <w:basedOn w:val="Carpredefinitoparagrafo"/>
    <w:uiPriority w:val="21"/>
    <w:qFormat/>
    <w:rsid w:val="00726F17"/>
    <w:rPr>
      <w:i/>
      <w:iCs/>
      <w:color w:val="2F5496" w:themeColor="accent1" w:themeShade="BF"/>
    </w:rPr>
  </w:style>
  <w:style w:type="paragraph" w:styleId="Citazioneintensa">
    <w:name w:val="Intense Quote"/>
    <w:basedOn w:val="Normale"/>
    <w:next w:val="Normale"/>
    <w:link w:val="CitazioneintensaCarattere"/>
    <w:uiPriority w:val="30"/>
    <w:qFormat/>
    <w:rsid w:val="00726F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726F17"/>
    <w:rPr>
      <w:i/>
      <w:iCs/>
      <w:color w:val="2F5496" w:themeColor="accent1" w:themeShade="BF"/>
    </w:rPr>
  </w:style>
  <w:style w:type="character" w:styleId="Riferimentointenso">
    <w:name w:val="Intense Reference"/>
    <w:basedOn w:val="Carpredefinitoparagrafo"/>
    <w:uiPriority w:val="32"/>
    <w:qFormat/>
    <w:rsid w:val="00726F17"/>
    <w:rPr>
      <w:b/>
      <w:bCs/>
      <w:smallCaps/>
      <w:color w:val="2F5496" w:themeColor="accent1" w:themeShade="BF"/>
      <w:spacing w:val="5"/>
    </w:rPr>
  </w:style>
  <w:style w:type="paragraph" w:customStyle="1" w:styleId="p1">
    <w:name w:val="p1"/>
    <w:basedOn w:val="Normale"/>
    <w:rsid w:val="00726F17"/>
    <w:pPr>
      <w:spacing w:before="100" w:beforeAutospacing="1" w:after="100" w:afterAutospacing="1"/>
    </w:pPr>
  </w:style>
  <w:style w:type="paragraph" w:customStyle="1" w:styleId="p2">
    <w:name w:val="p2"/>
    <w:basedOn w:val="Normale"/>
    <w:rsid w:val="00726F17"/>
    <w:pPr>
      <w:spacing w:before="100" w:beforeAutospacing="1" w:after="100" w:afterAutospacing="1"/>
    </w:pPr>
  </w:style>
  <w:style w:type="character" w:customStyle="1" w:styleId="apple-converted-space">
    <w:name w:val="apple-converted-space"/>
    <w:basedOn w:val="Carpredefinitoparagrafo"/>
    <w:rsid w:val="00726F17"/>
  </w:style>
  <w:style w:type="character" w:styleId="Collegamentoipertestuale">
    <w:name w:val="Hyperlink"/>
    <w:basedOn w:val="Carpredefinitoparagrafo"/>
    <w:uiPriority w:val="99"/>
    <w:unhideWhenUsed/>
    <w:rsid w:val="009069FA"/>
    <w:rPr>
      <w:color w:val="0563C1" w:themeColor="hyperlink"/>
      <w:u w:val="single"/>
    </w:rPr>
  </w:style>
  <w:style w:type="character" w:styleId="Menzionenonrisolta">
    <w:name w:val="Unresolved Mention"/>
    <w:basedOn w:val="Carpredefinitoparagrafo"/>
    <w:uiPriority w:val="99"/>
    <w:semiHidden/>
    <w:unhideWhenUsed/>
    <w:rsid w:val="009069FA"/>
    <w:rPr>
      <w:color w:val="605E5C"/>
      <w:shd w:val="clear" w:color="auto" w:fill="E1DFDD"/>
    </w:rPr>
  </w:style>
  <w:style w:type="character" w:customStyle="1" w:styleId="testinogrigio">
    <w:name w:val="testinogrigio"/>
    <w:basedOn w:val="Carpredefinitoparagrafo"/>
    <w:rsid w:val="009D2E49"/>
  </w:style>
  <w:style w:type="paragraph" w:styleId="Intestazione">
    <w:name w:val="header"/>
    <w:basedOn w:val="Normale"/>
    <w:link w:val="IntestazioneCarattere"/>
    <w:uiPriority w:val="99"/>
    <w:unhideWhenUsed/>
    <w:rsid w:val="00DB19CA"/>
    <w:pPr>
      <w:tabs>
        <w:tab w:val="center" w:pos="4819"/>
        <w:tab w:val="right" w:pos="9638"/>
      </w:tabs>
    </w:pPr>
  </w:style>
  <w:style w:type="character" w:customStyle="1" w:styleId="IntestazioneCarattere">
    <w:name w:val="Intestazione Carattere"/>
    <w:basedOn w:val="Carpredefinitoparagrafo"/>
    <w:link w:val="Intestazione"/>
    <w:uiPriority w:val="99"/>
    <w:rsid w:val="00DB19CA"/>
  </w:style>
  <w:style w:type="paragraph" w:styleId="Pidipagina">
    <w:name w:val="footer"/>
    <w:basedOn w:val="Normale"/>
    <w:link w:val="PidipaginaCarattere"/>
    <w:uiPriority w:val="99"/>
    <w:unhideWhenUsed/>
    <w:rsid w:val="00DB19CA"/>
    <w:pPr>
      <w:tabs>
        <w:tab w:val="center" w:pos="4819"/>
        <w:tab w:val="right" w:pos="9638"/>
      </w:tabs>
    </w:pPr>
  </w:style>
  <w:style w:type="character" w:customStyle="1" w:styleId="PidipaginaCarattere">
    <w:name w:val="Piè di pagina Carattere"/>
    <w:basedOn w:val="Carpredefinitoparagrafo"/>
    <w:link w:val="Pidipagina"/>
    <w:uiPriority w:val="99"/>
    <w:rsid w:val="00DB19CA"/>
  </w:style>
  <w:style w:type="paragraph" w:customStyle="1" w:styleId="Firmaposizione">
    <w:name w:val="Firma posizione"/>
    <w:basedOn w:val="Corpotesto"/>
    <w:next w:val="Normale"/>
    <w:rsid w:val="00707EA9"/>
    <w:pPr>
      <w:keepNext/>
      <w:spacing w:after="0" w:line="240" w:lineRule="atLeast"/>
    </w:pPr>
    <w:rPr>
      <w:rFonts w:ascii="Garamond" w:hAnsi="Garamond"/>
      <w:kern w:val="18"/>
      <w:sz w:val="20"/>
      <w:szCs w:val="20"/>
      <w:lang w:val="x-none"/>
    </w:rPr>
  </w:style>
  <w:style w:type="paragraph" w:styleId="Corpotesto">
    <w:name w:val="Body Text"/>
    <w:basedOn w:val="Normale"/>
    <w:link w:val="CorpotestoCarattere"/>
    <w:uiPriority w:val="99"/>
    <w:semiHidden/>
    <w:unhideWhenUsed/>
    <w:rsid w:val="00707EA9"/>
    <w:pPr>
      <w:spacing w:after="120"/>
    </w:pPr>
  </w:style>
  <w:style w:type="character" w:customStyle="1" w:styleId="CorpotestoCarattere">
    <w:name w:val="Corpo testo Carattere"/>
    <w:basedOn w:val="Carpredefinitoparagrafo"/>
    <w:link w:val="Corpotesto"/>
    <w:uiPriority w:val="99"/>
    <w:semiHidden/>
    <w:rsid w:val="00707EA9"/>
  </w:style>
  <w:style w:type="character" w:styleId="Numeropagina">
    <w:name w:val="page number"/>
    <w:basedOn w:val="Carpredefinitoparagrafo"/>
    <w:uiPriority w:val="99"/>
    <w:semiHidden/>
    <w:unhideWhenUsed/>
    <w:rsid w:val="00707EA9"/>
  </w:style>
  <w:style w:type="paragraph" w:styleId="NormaleWeb">
    <w:name w:val="Normal (Web)"/>
    <w:basedOn w:val="Normale"/>
    <w:uiPriority w:val="99"/>
    <w:semiHidden/>
    <w:unhideWhenUsed/>
    <w:rsid w:val="001F511C"/>
    <w:pPr>
      <w:spacing w:before="100" w:beforeAutospacing="1" w:after="100" w:afterAutospacing="1"/>
    </w:pPr>
  </w:style>
  <w:style w:type="character" w:customStyle="1" w:styleId="wk-tooltip-wrapper">
    <w:name w:val="wk-tooltip-wrapper"/>
    <w:basedOn w:val="Carpredefinitoparagrafo"/>
    <w:rsid w:val="00242339"/>
  </w:style>
  <w:style w:type="character" w:styleId="Collegamentovisitato">
    <w:name w:val="FollowedHyperlink"/>
    <w:basedOn w:val="Carpredefinitoparagrafo"/>
    <w:uiPriority w:val="99"/>
    <w:semiHidden/>
    <w:unhideWhenUsed/>
    <w:rsid w:val="00242339"/>
    <w:rPr>
      <w:color w:val="954F72" w:themeColor="followedHyperlink"/>
      <w:u w:val="single"/>
    </w:rPr>
  </w:style>
  <w:style w:type="paragraph" w:styleId="Testonotaapidipagina">
    <w:name w:val="footnote text"/>
    <w:basedOn w:val="Normale"/>
    <w:link w:val="TestonotaapidipaginaCarattere"/>
    <w:uiPriority w:val="99"/>
    <w:semiHidden/>
    <w:unhideWhenUsed/>
    <w:rsid w:val="00097C50"/>
    <w:rPr>
      <w:sz w:val="20"/>
      <w:szCs w:val="20"/>
    </w:rPr>
  </w:style>
  <w:style w:type="character" w:customStyle="1" w:styleId="TestonotaapidipaginaCarattere">
    <w:name w:val="Testo nota a piè di pagina Carattere"/>
    <w:basedOn w:val="Carpredefinitoparagrafo"/>
    <w:link w:val="Testonotaapidipagina"/>
    <w:uiPriority w:val="99"/>
    <w:semiHidden/>
    <w:rsid w:val="00097C50"/>
    <w:rPr>
      <w:rFonts w:ascii="Times New Roman" w:eastAsia="Times New Roman" w:hAnsi="Times New Roman" w:cs="Times New Roman"/>
      <w:sz w:val="20"/>
      <w:szCs w:val="20"/>
      <w:lang w:eastAsia="it-IT"/>
    </w:rPr>
  </w:style>
  <w:style w:type="character" w:styleId="Rimandonotaapidipagina">
    <w:name w:val="footnote reference"/>
    <w:basedOn w:val="Carpredefinitoparagrafo"/>
    <w:uiPriority w:val="99"/>
    <w:semiHidden/>
    <w:unhideWhenUsed/>
    <w:rsid w:val="00097C50"/>
    <w:rPr>
      <w:vertAlign w:val="superscript"/>
    </w:rPr>
  </w:style>
  <w:style w:type="character" w:customStyle="1" w:styleId="s1">
    <w:name w:val="s1"/>
    <w:basedOn w:val="Carpredefinitoparagrafo"/>
    <w:rsid w:val="00046C32"/>
    <w:rPr>
      <w:rFonts w:ascii="Helvetica" w:hAnsi="Helvetica" w:hint="default"/>
      <w:sz w:val="15"/>
      <w:szCs w:val="15"/>
    </w:rPr>
  </w:style>
  <w:style w:type="character" w:customStyle="1" w:styleId="s3">
    <w:name w:val="s3"/>
    <w:basedOn w:val="Carpredefinitoparagrafo"/>
    <w:rsid w:val="00046C32"/>
    <w:rPr>
      <w:rFonts w:ascii="Helvetica" w:hAnsi="Helvetica" w:hint="default"/>
      <w:sz w:val="17"/>
      <w:szCs w:val="17"/>
    </w:rPr>
  </w:style>
  <w:style w:type="character" w:customStyle="1" w:styleId="s4">
    <w:name w:val="s4"/>
    <w:basedOn w:val="Carpredefinitoparagrafo"/>
    <w:rsid w:val="00046C32"/>
    <w:rPr>
      <w:rFonts w:ascii="Arial" w:hAnsi="Arial" w:cs="Arial" w:hint="default"/>
      <w:sz w:val="17"/>
      <w:szCs w:val="17"/>
    </w:rPr>
  </w:style>
  <w:style w:type="character" w:customStyle="1" w:styleId="s5">
    <w:name w:val="s5"/>
    <w:basedOn w:val="Carpredefinitoparagrafo"/>
    <w:rsid w:val="00046C32"/>
    <w:rPr>
      <w:rFonts w:ascii="Times New Roman" w:hAnsi="Times New Roman" w:cs="Times New Roman" w:hint="default"/>
      <w:sz w:val="18"/>
      <w:szCs w:val="18"/>
    </w:rPr>
  </w:style>
  <w:style w:type="paragraph" w:customStyle="1" w:styleId="wkit-indentation-level-0">
    <w:name w:val="wkit-indentation-level-0"/>
    <w:basedOn w:val="Normale"/>
    <w:rsid w:val="00791096"/>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793298">
      <w:bodyDiv w:val="1"/>
      <w:marLeft w:val="0"/>
      <w:marRight w:val="0"/>
      <w:marTop w:val="0"/>
      <w:marBottom w:val="0"/>
      <w:divBdr>
        <w:top w:val="none" w:sz="0" w:space="0" w:color="auto"/>
        <w:left w:val="none" w:sz="0" w:space="0" w:color="auto"/>
        <w:bottom w:val="none" w:sz="0" w:space="0" w:color="auto"/>
        <w:right w:val="none" w:sz="0" w:space="0" w:color="auto"/>
      </w:divBdr>
    </w:div>
    <w:div w:id="1116751096">
      <w:bodyDiv w:val="1"/>
      <w:marLeft w:val="0"/>
      <w:marRight w:val="0"/>
      <w:marTop w:val="0"/>
      <w:marBottom w:val="0"/>
      <w:divBdr>
        <w:top w:val="none" w:sz="0" w:space="0" w:color="auto"/>
        <w:left w:val="none" w:sz="0" w:space="0" w:color="auto"/>
        <w:bottom w:val="none" w:sz="0" w:space="0" w:color="auto"/>
        <w:right w:val="none" w:sz="0" w:space="0" w:color="auto"/>
      </w:divBdr>
      <w:divsChild>
        <w:div w:id="1692683124">
          <w:marLeft w:val="0"/>
          <w:marRight w:val="0"/>
          <w:marTop w:val="0"/>
          <w:marBottom w:val="0"/>
          <w:divBdr>
            <w:top w:val="none" w:sz="0" w:space="0" w:color="auto"/>
            <w:left w:val="none" w:sz="0" w:space="0" w:color="auto"/>
            <w:bottom w:val="none" w:sz="0" w:space="0" w:color="auto"/>
            <w:right w:val="none" w:sz="0" w:space="0" w:color="auto"/>
          </w:divBdr>
          <w:divsChild>
            <w:div w:id="687677679">
              <w:marLeft w:val="0"/>
              <w:marRight w:val="0"/>
              <w:marTop w:val="0"/>
              <w:marBottom w:val="0"/>
              <w:divBdr>
                <w:top w:val="none" w:sz="0" w:space="0" w:color="auto"/>
                <w:left w:val="none" w:sz="0" w:space="0" w:color="auto"/>
                <w:bottom w:val="none" w:sz="0" w:space="0" w:color="auto"/>
                <w:right w:val="none" w:sz="0" w:space="0" w:color="auto"/>
              </w:divBdr>
              <w:divsChild>
                <w:div w:id="651981166">
                  <w:marLeft w:val="0"/>
                  <w:marRight w:val="0"/>
                  <w:marTop w:val="0"/>
                  <w:marBottom w:val="0"/>
                  <w:divBdr>
                    <w:top w:val="none" w:sz="0" w:space="0" w:color="auto"/>
                    <w:left w:val="none" w:sz="0" w:space="0" w:color="auto"/>
                    <w:bottom w:val="none" w:sz="0" w:space="0" w:color="auto"/>
                    <w:right w:val="none" w:sz="0" w:space="0" w:color="auto"/>
                  </w:divBdr>
                </w:div>
              </w:divsChild>
            </w:div>
            <w:div w:id="2057315141">
              <w:marLeft w:val="0"/>
              <w:marRight w:val="0"/>
              <w:marTop w:val="0"/>
              <w:marBottom w:val="0"/>
              <w:divBdr>
                <w:top w:val="none" w:sz="0" w:space="0" w:color="auto"/>
                <w:left w:val="none" w:sz="0" w:space="0" w:color="auto"/>
                <w:bottom w:val="none" w:sz="0" w:space="0" w:color="auto"/>
                <w:right w:val="none" w:sz="0" w:space="0" w:color="auto"/>
              </w:divBdr>
              <w:divsChild>
                <w:div w:id="309408491">
                  <w:marLeft w:val="0"/>
                  <w:marRight w:val="0"/>
                  <w:marTop w:val="0"/>
                  <w:marBottom w:val="0"/>
                  <w:divBdr>
                    <w:top w:val="none" w:sz="0" w:space="0" w:color="auto"/>
                    <w:left w:val="none" w:sz="0" w:space="0" w:color="auto"/>
                    <w:bottom w:val="none" w:sz="0" w:space="0" w:color="auto"/>
                    <w:right w:val="none" w:sz="0" w:space="0" w:color="auto"/>
                  </w:divBdr>
                </w:div>
              </w:divsChild>
            </w:div>
            <w:div w:id="817724830">
              <w:marLeft w:val="0"/>
              <w:marRight w:val="0"/>
              <w:marTop w:val="0"/>
              <w:marBottom w:val="0"/>
              <w:divBdr>
                <w:top w:val="none" w:sz="0" w:space="0" w:color="auto"/>
                <w:left w:val="none" w:sz="0" w:space="0" w:color="auto"/>
                <w:bottom w:val="none" w:sz="0" w:space="0" w:color="auto"/>
                <w:right w:val="none" w:sz="0" w:space="0" w:color="auto"/>
              </w:divBdr>
              <w:divsChild>
                <w:div w:id="523859467">
                  <w:marLeft w:val="0"/>
                  <w:marRight w:val="0"/>
                  <w:marTop w:val="0"/>
                  <w:marBottom w:val="0"/>
                  <w:divBdr>
                    <w:top w:val="none" w:sz="0" w:space="0" w:color="auto"/>
                    <w:left w:val="none" w:sz="0" w:space="0" w:color="auto"/>
                    <w:bottom w:val="none" w:sz="0" w:space="0" w:color="auto"/>
                    <w:right w:val="none" w:sz="0" w:space="0" w:color="auto"/>
                  </w:divBdr>
                </w:div>
              </w:divsChild>
            </w:div>
            <w:div w:id="169686125">
              <w:marLeft w:val="0"/>
              <w:marRight w:val="0"/>
              <w:marTop w:val="0"/>
              <w:marBottom w:val="0"/>
              <w:divBdr>
                <w:top w:val="none" w:sz="0" w:space="0" w:color="auto"/>
                <w:left w:val="none" w:sz="0" w:space="0" w:color="auto"/>
                <w:bottom w:val="none" w:sz="0" w:space="0" w:color="auto"/>
                <w:right w:val="none" w:sz="0" w:space="0" w:color="auto"/>
              </w:divBdr>
              <w:divsChild>
                <w:div w:id="1083719451">
                  <w:marLeft w:val="0"/>
                  <w:marRight w:val="0"/>
                  <w:marTop w:val="0"/>
                  <w:marBottom w:val="0"/>
                  <w:divBdr>
                    <w:top w:val="none" w:sz="0" w:space="0" w:color="auto"/>
                    <w:left w:val="none" w:sz="0" w:space="0" w:color="auto"/>
                    <w:bottom w:val="none" w:sz="0" w:space="0" w:color="auto"/>
                    <w:right w:val="none" w:sz="0" w:space="0" w:color="auto"/>
                  </w:divBdr>
                </w:div>
              </w:divsChild>
            </w:div>
            <w:div w:id="1085877495">
              <w:marLeft w:val="0"/>
              <w:marRight w:val="0"/>
              <w:marTop w:val="0"/>
              <w:marBottom w:val="0"/>
              <w:divBdr>
                <w:top w:val="none" w:sz="0" w:space="0" w:color="auto"/>
                <w:left w:val="none" w:sz="0" w:space="0" w:color="auto"/>
                <w:bottom w:val="none" w:sz="0" w:space="0" w:color="auto"/>
                <w:right w:val="none" w:sz="0" w:space="0" w:color="auto"/>
              </w:divBdr>
              <w:divsChild>
                <w:div w:id="1523544821">
                  <w:marLeft w:val="0"/>
                  <w:marRight w:val="0"/>
                  <w:marTop w:val="0"/>
                  <w:marBottom w:val="0"/>
                  <w:divBdr>
                    <w:top w:val="none" w:sz="0" w:space="0" w:color="auto"/>
                    <w:left w:val="none" w:sz="0" w:space="0" w:color="auto"/>
                    <w:bottom w:val="none" w:sz="0" w:space="0" w:color="auto"/>
                    <w:right w:val="none" w:sz="0" w:space="0" w:color="auto"/>
                  </w:divBdr>
                </w:div>
              </w:divsChild>
            </w:div>
            <w:div w:id="2008901479">
              <w:marLeft w:val="0"/>
              <w:marRight w:val="0"/>
              <w:marTop w:val="0"/>
              <w:marBottom w:val="0"/>
              <w:divBdr>
                <w:top w:val="none" w:sz="0" w:space="0" w:color="auto"/>
                <w:left w:val="none" w:sz="0" w:space="0" w:color="auto"/>
                <w:bottom w:val="none" w:sz="0" w:space="0" w:color="auto"/>
                <w:right w:val="none" w:sz="0" w:space="0" w:color="auto"/>
              </w:divBdr>
              <w:divsChild>
                <w:div w:id="167403133">
                  <w:marLeft w:val="0"/>
                  <w:marRight w:val="0"/>
                  <w:marTop w:val="0"/>
                  <w:marBottom w:val="0"/>
                  <w:divBdr>
                    <w:top w:val="none" w:sz="0" w:space="0" w:color="auto"/>
                    <w:left w:val="none" w:sz="0" w:space="0" w:color="auto"/>
                    <w:bottom w:val="none" w:sz="0" w:space="0" w:color="auto"/>
                    <w:right w:val="none" w:sz="0" w:space="0" w:color="auto"/>
                  </w:divBdr>
                </w:div>
              </w:divsChild>
            </w:div>
            <w:div w:id="1723602917">
              <w:marLeft w:val="0"/>
              <w:marRight w:val="0"/>
              <w:marTop w:val="0"/>
              <w:marBottom w:val="0"/>
              <w:divBdr>
                <w:top w:val="none" w:sz="0" w:space="0" w:color="auto"/>
                <w:left w:val="none" w:sz="0" w:space="0" w:color="auto"/>
                <w:bottom w:val="none" w:sz="0" w:space="0" w:color="auto"/>
                <w:right w:val="none" w:sz="0" w:space="0" w:color="auto"/>
              </w:divBdr>
              <w:divsChild>
                <w:div w:id="238827633">
                  <w:marLeft w:val="0"/>
                  <w:marRight w:val="0"/>
                  <w:marTop w:val="0"/>
                  <w:marBottom w:val="0"/>
                  <w:divBdr>
                    <w:top w:val="none" w:sz="0" w:space="0" w:color="auto"/>
                    <w:left w:val="none" w:sz="0" w:space="0" w:color="auto"/>
                    <w:bottom w:val="none" w:sz="0" w:space="0" w:color="auto"/>
                    <w:right w:val="none" w:sz="0" w:space="0" w:color="auto"/>
                  </w:divBdr>
                </w:div>
              </w:divsChild>
            </w:div>
            <w:div w:id="794562035">
              <w:marLeft w:val="0"/>
              <w:marRight w:val="0"/>
              <w:marTop w:val="0"/>
              <w:marBottom w:val="0"/>
              <w:divBdr>
                <w:top w:val="none" w:sz="0" w:space="0" w:color="auto"/>
                <w:left w:val="none" w:sz="0" w:space="0" w:color="auto"/>
                <w:bottom w:val="none" w:sz="0" w:space="0" w:color="auto"/>
                <w:right w:val="none" w:sz="0" w:space="0" w:color="auto"/>
              </w:divBdr>
              <w:divsChild>
                <w:div w:id="1252087859">
                  <w:marLeft w:val="0"/>
                  <w:marRight w:val="0"/>
                  <w:marTop w:val="0"/>
                  <w:marBottom w:val="0"/>
                  <w:divBdr>
                    <w:top w:val="none" w:sz="0" w:space="0" w:color="auto"/>
                    <w:left w:val="none" w:sz="0" w:space="0" w:color="auto"/>
                    <w:bottom w:val="none" w:sz="0" w:space="0" w:color="auto"/>
                    <w:right w:val="none" w:sz="0" w:space="0" w:color="auto"/>
                  </w:divBdr>
                </w:div>
              </w:divsChild>
            </w:div>
            <w:div w:id="1339890128">
              <w:marLeft w:val="0"/>
              <w:marRight w:val="0"/>
              <w:marTop w:val="0"/>
              <w:marBottom w:val="0"/>
              <w:divBdr>
                <w:top w:val="none" w:sz="0" w:space="0" w:color="auto"/>
                <w:left w:val="none" w:sz="0" w:space="0" w:color="auto"/>
                <w:bottom w:val="none" w:sz="0" w:space="0" w:color="auto"/>
                <w:right w:val="none" w:sz="0" w:space="0" w:color="auto"/>
              </w:divBdr>
              <w:divsChild>
                <w:div w:id="1107308476">
                  <w:marLeft w:val="0"/>
                  <w:marRight w:val="0"/>
                  <w:marTop w:val="0"/>
                  <w:marBottom w:val="0"/>
                  <w:divBdr>
                    <w:top w:val="none" w:sz="0" w:space="0" w:color="auto"/>
                    <w:left w:val="none" w:sz="0" w:space="0" w:color="auto"/>
                    <w:bottom w:val="none" w:sz="0" w:space="0" w:color="auto"/>
                    <w:right w:val="none" w:sz="0" w:space="0" w:color="auto"/>
                  </w:divBdr>
                </w:div>
              </w:divsChild>
            </w:div>
            <w:div w:id="784543311">
              <w:marLeft w:val="0"/>
              <w:marRight w:val="0"/>
              <w:marTop w:val="0"/>
              <w:marBottom w:val="0"/>
              <w:divBdr>
                <w:top w:val="none" w:sz="0" w:space="0" w:color="auto"/>
                <w:left w:val="none" w:sz="0" w:space="0" w:color="auto"/>
                <w:bottom w:val="none" w:sz="0" w:space="0" w:color="auto"/>
                <w:right w:val="none" w:sz="0" w:space="0" w:color="auto"/>
              </w:divBdr>
              <w:divsChild>
                <w:div w:id="1304195882">
                  <w:marLeft w:val="0"/>
                  <w:marRight w:val="0"/>
                  <w:marTop w:val="0"/>
                  <w:marBottom w:val="0"/>
                  <w:divBdr>
                    <w:top w:val="none" w:sz="0" w:space="0" w:color="auto"/>
                    <w:left w:val="none" w:sz="0" w:space="0" w:color="auto"/>
                    <w:bottom w:val="none" w:sz="0" w:space="0" w:color="auto"/>
                    <w:right w:val="none" w:sz="0" w:space="0" w:color="auto"/>
                  </w:divBdr>
                </w:div>
              </w:divsChild>
            </w:div>
            <w:div w:id="387921387">
              <w:marLeft w:val="0"/>
              <w:marRight w:val="0"/>
              <w:marTop w:val="0"/>
              <w:marBottom w:val="0"/>
              <w:divBdr>
                <w:top w:val="none" w:sz="0" w:space="0" w:color="auto"/>
                <w:left w:val="none" w:sz="0" w:space="0" w:color="auto"/>
                <w:bottom w:val="none" w:sz="0" w:space="0" w:color="auto"/>
                <w:right w:val="none" w:sz="0" w:space="0" w:color="auto"/>
              </w:divBdr>
              <w:divsChild>
                <w:div w:id="605385797">
                  <w:marLeft w:val="0"/>
                  <w:marRight w:val="0"/>
                  <w:marTop w:val="0"/>
                  <w:marBottom w:val="0"/>
                  <w:divBdr>
                    <w:top w:val="none" w:sz="0" w:space="0" w:color="auto"/>
                    <w:left w:val="none" w:sz="0" w:space="0" w:color="auto"/>
                    <w:bottom w:val="none" w:sz="0" w:space="0" w:color="auto"/>
                    <w:right w:val="none" w:sz="0" w:space="0" w:color="auto"/>
                  </w:divBdr>
                </w:div>
              </w:divsChild>
            </w:div>
            <w:div w:id="861818622">
              <w:marLeft w:val="0"/>
              <w:marRight w:val="0"/>
              <w:marTop w:val="0"/>
              <w:marBottom w:val="0"/>
              <w:divBdr>
                <w:top w:val="none" w:sz="0" w:space="0" w:color="auto"/>
                <w:left w:val="none" w:sz="0" w:space="0" w:color="auto"/>
                <w:bottom w:val="none" w:sz="0" w:space="0" w:color="auto"/>
                <w:right w:val="none" w:sz="0" w:space="0" w:color="auto"/>
              </w:divBdr>
              <w:divsChild>
                <w:div w:id="139270861">
                  <w:marLeft w:val="0"/>
                  <w:marRight w:val="0"/>
                  <w:marTop w:val="0"/>
                  <w:marBottom w:val="0"/>
                  <w:divBdr>
                    <w:top w:val="none" w:sz="0" w:space="0" w:color="auto"/>
                    <w:left w:val="none" w:sz="0" w:space="0" w:color="auto"/>
                    <w:bottom w:val="none" w:sz="0" w:space="0" w:color="auto"/>
                    <w:right w:val="none" w:sz="0" w:space="0" w:color="auto"/>
                  </w:divBdr>
                </w:div>
              </w:divsChild>
            </w:div>
            <w:div w:id="569578761">
              <w:marLeft w:val="0"/>
              <w:marRight w:val="0"/>
              <w:marTop w:val="0"/>
              <w:marBottom w:val="0"/>
              <w:divBdr>
                <w:top w:val="none" w:sz="0" w:space="0" w:color="auto"/>
                <w:left w:val="none" w:sz="0" w:space="0" w:color="auto"/>
                <w:bottom w:val="none" w:sz="0" w:space="0" w:color="auto"/>
                <w:right w:val="none" w:sz="0" w:space="0" w:color="auto"/>
              </w:divBdr>
              <w:divsChild>
                <w:div w:id="272321649">
                  <w:marLeft w:val="0"/>
                  <w:marRight w:val="0"/>
                  <w:marTop w:val="0"/>
                  <w:marBottom w:val="0"/>
                  <w:divBdr>
                    <w:top w:val="none" w:sz="0" w:space="0" w:color="auto"/>
                    <w:left w:val="none" w:sz="0" w:space="0" w:color="auto"/>
                    <w:bottom w:val="none" w:sz="0" w:space="0" w:color="auto"/>
                    <w:right w:val="none" w:sz="0" w:space="0" w:color="auto"/>
                  </w:divBdr>
                </w:div>
              </w:divsChild>
            </w:div>
            <w:div w:id="1845436365">
              <w:marLeft w:val="0"/>
              <w:marRight w:val="0"/>
              <w:marTop w:val="0"/>
              <w:marBottom w:val="0"/>
              <w:divBdr>
                <w:top w:val="none" w:sz="0" w:space="0" w:color="auto"/>
                <w:left w:val="none" w:sz="0" w:space="0" w:color="auto"/>
                <w:bottom w:val="none" w:sz="0" w:space="0" w:color="auto"/>
                <w:right w:val="none" w:sz="0" w:space="0" w:color="auto"/>
              </w:divBdr>
              <w:divsChild>
                <w:div w:id="2105614725">
                  <w:marLeft w:val="0"/>
                  <w:marRight w:val="0"/>
                  <w:marTop w:val="0"/>
                  <w:marBottom w:val="0"/>
                  <w:divBdr>
                    <w:top w:val="none" w:sz="0" w:space="0" w:color="auto"/>
                    <w:left w:val="none" w:sz="0" w:space="0" w:color="auto"/>
                    <w:bottom w:val="none" w:sz="0" w:space="0" w:color="auto"/>
                    <w:right w:val="none" w:sz="0" w:space="0" w:color="auto"/>
                  </w:divBdr>
                </w:div>
              </w:divsChild>
            </w:div>
            <w:div w:id="1128204061">
              <w:marLeft w:val="0"/>
              <w:marRight w:val="0"/>
              <w:marTop w:val="0"/>
              <w:marBottom w:val="0"/>
              <w:divBdr>
                <w:top w:val="none" w:sz="0" w:space="0" w:color="auto"/>
                <w:left w:val="none" w:sz="0" w:space="0" w:color="auto"/>
                <w:bottom w:val="none" w:sz="0" w:space="0" w:color="auto"/>
                <w:right w:val="none" w:sz="0" w:space="0" w:color="auto"/>
              </w:divBdr>
              <w:divsChild>
                <w:div w:id="350910414">
                  <w:marLeft w:val="0"/>
                  <w:marRight w:val="0"/>
                  <w:marTop w:val="0"/>
                  <w:marBottom w:val="0"/>
                  <w:divBdr>
                    <w:top w:val="none" w:sz="0" w:space="0" w:color="auto"/>
                    <w:left w:val="none" w:sz="0" w:space="0" w:color="auto"/>
                    <w:bottom w:val="none" w:sz="0" w:space="0" w:color="auto"/>
                    <w:right w:val="none" w:sz="0" w:space="0" w:color="auto"/>
                  </w:divBdr>
                </w:div>
              </w:divsChild>
            </w:div>
            <w:div w:id="1510212265">
              <w:marLeft w:val="0"/>
              <w:marRight w:val="0"/>
              <w:marTop w:val="0"/>
              <w:marBottom w:val="0"/>
              <w:divBdr>
                <w:top w:val="none" w:sz="0" w:space="0" w:color="auto"/>
                <w:left w:val="none" w:sz="0" w:space="0" w:color="auto"/>
                <w:bottom w:val="none" w:sz="0" w:space="0" w:color="auto"/>
                <w:right w:val="none" w:sz="0" w:space="0" w:color="auto"/>
              </w:divBdr>
              <w:divsChild>
                <w:div w:id="2108768863">
                  <w:marLeft w:val="0"/>
                  <w:marRight w:val="0"/>
                  <w:marTop w:val="0"/>
                  <w:marBottom w:val="0"/>
                  <w:divBdr>
                    <w:top w:val="none" w:sz="0" w:space="0" w:color="auto"/>
                    <w:left w:val="none" w:sz="0" w:space="0" w:color="auto"/>
                    <w:bottom w:val="none" w:sz="0" w:space="0" w:color="auto"/>
                    <w:right w:val="none" w:sz="0" w:space="0" w:color="auto"/>
                  </w:divBdr>
                </w:div>
              </w:divsChild>
            </w:div>
            <w:div w:id="911278134">
              <w:marLeft w:val="0"/>
              <w:marRight w:val="0"/>
              <w:marTop w:val="0"/>
              <w:marBottom w:val="0"/>
              <w:divBdr>
                <w:top w:val="none" w:sz="0" w:space="0" w:color="auto"/>
                <w:left w:val="none" w:sz="0" w:space="0" w:color="auto"/>
                <w:bottom w:val="none" w:sz="0" w:space="0" w:color="auto"/>
                <w:right w:val="none" w:sz="0" w:space="0" w:color="auto"/>
              </w:divBdr>
              <w:divsChild>
                <w:div w:id="544802831">
                  <w:marLeft w:val="0"/>
                  <w:marRight w:val="0"/>
                  <w:marTop w:val="0"/>
                  <w:marBottom w:val="0"/>
                  <w:divBdr>
                    <w:top w:val="none" w:sz="0" w:space="0" w:color="auto"/>
                    <w:left w:val="none" w:sz="0" w:space="0" w:color="auto"/>
                    <w:bottom w:val="none" w:sz="0" w:space="0" w:color="auto"/>
                    <w:right w:val="none" w:sz="0" w:space="0" w:color="auto"/>
                  </w:divBdr>
                </w:div>
              </w:divsChild>
            </w:div>
            <w:div w:id="335546972">
              <w:marLeft w:val="0"/>
              <w:marRight w:val="0"/>
              <w:marTop w:val="0"/>
              <w:marBottom w:val="0"/>
              <w:divBdr>
                <w:top w:val="none" w:sz="0" w:space="0" w:color="auto"/>
                <w:left w:val="none" w:sz="0" w:space="0" w:color="auto"/>
                <w:bottom w:val="none" w:sz="0" w:space="0" w:color="auto"/>
                <w:right w:val="none" w:sz="0" w:space="0" w:color="auto"/>
              </w:divBdr>
              <w:divsChild>
                <w:div w:id="212696443">
                  <w:marLeft w:val="0"/>
                  <w:marRight w:val="0"/>
                  <w:marTop w:val="0"/>
                  <w:marBottom w:val="0"/>
                  <w:divBdr>
                    <w:top w:val="none" w:sz="0" w:space="0" w:color="auto"/>
                    <w:left w:val="none" w:sz="0" w:space="0" w:color="auto"/>
                    <w:bottom w:val="none" w:sz="0" w:space="0" w:color="auto"/>
                    <w:right w:val="none" w:sz="0" w:space="0" w:color="auto"/>
                  </w:divBdr>
                </w:div>
              </w:divsChild>
            </w:div>
            <w:div w:id="367805065">
              <w:marLeft w:val="0"/>
              <w:marRight w:val="0"/>
              <w:marTop w:val="0"/>
              <w:marBottom w:val="0"/>
              <w:divBdr>
                <w:top w:val="none" w:sz="0" w:space="0" w:color="auto"/>
                <w:left w:val="none" w:sz="0" w:space="0" w:color="auto"/>
                <w:bottom w:val="none" w:sz="0" w:space="0" w:color="auto"/>
                <w:right w:val="none" w:sz="0" w:space="0" w:color="auto"/>
              </w:divBdr>
              <w:divsChild>
                <w:div w:id="1450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301059">
      <w:bodyDiv w:val="1"/>
      <w:marLeft w:val="0"/>
      <w:marRight w:val="0"/>
      <w:marTop w:val="0"/>
      <w:marBottom w:val="0"/>
      <w:divBdr>
        <w:top w:val="none" w:sz="0" w:space="0" w:color="auto"/>
        <w:left w:val="none" w:sz="0" w:space="0" w:color="auto"/>
        <w:bottom w:val="none" w:sz="0" w:space="0" w:color="auto"/>
        <w:right w:val="none" w:sz="0" w:space="0" w:color="auto"/>
      </w:divBdr>
      <w:divsChild>
        <w:div w:id="951090674">
          <w:marLeft w:val="0"/>
          <w:marRight w:val="0"/>
          <w:marTop w:val="0"/>
          <w:marBottom w:val="0"/>
          <w:divBdr>
            <w:top w:val="none" w:sz="0" w:space="0" w:color="auto"/>
            <w:left w:val="none" w:sz="0" w:space="0" w:color="auto"/>
            <w:bottom w:val="none" w:sz="0" w:space="0" w:color="auto"/>
            <w:right w:val="none" w:sz="0" w:space="0" w:color="auto"/>
          </w:divBdr>
          <w:divsChild>
            <w:div w:id="1615213803">
              <w:marLeft w:val="0"/>
              <w:marRight w:val="0"/>
              <w:marTop w:val="0"/>
              <w:marBottom w:val="0"/>
              <w:divBdr>
                <w:top w:val="none" w:sz="0" w:space="0" w:color="auto"/>
                <w:left w:val="none" w:sz="0" w:space="0" w:color="auto"/>
                <w:bottom w:val="none" w:sz="0" w:space="0" w:color="auto"/>
                <w:right w:val="none" w:sz="0" w:space="0" w:color="auto"/>
              </w:divBdr>
              <w:divsChild>
                <w:div w:id="1821387144">
                  <w:marLeft w:val="0"/>
                  <w:marRight w:val="0"/>
                  <w:marTop w:val="0"/>
                  <w:marBottom w:val="0"/>
                  <w:divBdr>
                    <w:top w:val="none" w:sz="0" w:space="0" w:color="auto"/>
                    <w:left w:val="none" w:sz="0" w:space="0" w:color="auto"/>
                    <w:bottom w:val="none" w:sz="0" w:space="0" w:color="auto"/>
                    <w:right w:val="none" w:sz="0" w:space="0" w:color="auto"/>
                  </w:divBdr>
                </w:div>
              </w:divsChild>
            </w:div>
            <w:div w:id="667948013">
              <w:marLeft w:val="0"/>
              <w:marRight w:val="0"/>
              <w:marTop w:val="0"/>
              <w:marBottom w:val="0"/>
              <w:divBdr>
                <w:top w:val="none" w:sz="0" w:space="0" w:color="auto"/>
                <w:left w:val="none" w:sz="0" w:space="0" w:color="auto"/>
                <w:bottom w:val="none" w:sz="0" w:space="0" w:color="auto"/>
                <w:right w:val="none" w:sz="0" w:space="0" w:color="auto"/>
              </w:divBdr>
              <w:divsChild>
                <w:div w:id="990477679">
                  <w:marLeft w:val="0"/>
                  <w:marRight w:val="0"/>
                  <w:marTop w:val="0"/>
                  <w:marBottom w:val="0"/>
                  <w:divBdr>
                    <w:top w:val="none" w:sz="0" w:space="0" w:color="auto"/>
                    <w:left w:val="none" w:sz="0" w:space="0" w:color="auto"/>
                    <w:bottom w:val="none" w:sz="0" w:space="0" w:color="auto"/>
                    <w:right w:val="none" w:sz="0" w:space="0" w:color="auto"/>
                  </w:divBdr>
                </w:div>
              </w:divsChild>
            </w:div>
            <w:div w:id="280574098">
              <w:marLeft w:val="0"/>
              <w:marRight w:val="0"/>
              <w:marTop w:val="0"/>
              <w:marBottom w:val="0"/>
              <w:divBdr>
                <w:top w:val="none" w:sz="0" w:space="0" w:color="auto"/>
                <w:left w:val="none" w:sz="0" w:space="0" w:color="auto"/>
                <w:bottom w:val="none" w:sz="0" w:space="0" w:color="auto"/>
                <w:right w:val="none" w:sz="0" w:space="0" w:color="auto"/>
              </w:divBdr>
              <w:divsChild>
                <w:div w:id="2027363774">
                  <w:marLeft w:val="0"/>
                  <w:marRight w:val="0"/>
                  <w:marTop w:val="0"/>
                  <w:marBottom w:val="0"/>
                  <w:divBdr>
                    <w:top w:val="none" w:sz="0" w:space="0" w:color="auto"/>
                    <w:left w:val="none" w:sz="0" w:space="0" w:color="auto"/>
                    <w:bottom w:val="none" w:sz="0" w:space="0" w:color="auto"/>
                    <w:right w:val="none" w:sz="0" w:space="0" w:color="auto"/>
                  </w:divBdr>
                </w:div>
              </w:divsChild>
            </w:div>
            <w:div w:id="1112751054">
              <w:marLeft w:val="0"/>
              <w:marRight w:val="0"/>
              <w:marTop w:val="0"/>
              <w:marBottom w:val="0"/>
              <w:divBdr>
                <w:top w:val="none" w:sz="0" w:space="0" w:color="auto"/>
                <w:left w:val="none" w:sz="0" w:space="0" w:color="auto"/>
                <w:bottom w:val="none" w:sz="0" w:space="0" w:color="auto"/>
                <w:right w:val="none" w:sz="0" w:space="0" w:color="auto"/>
              </w:divBdr>
              <w:divsChild>
                <w:div w:id="1279602990">
                  <w:marLeft w:val="0"/>
                  <w:marRight w:val="0"/>
                  <w:marTop w:val="0"/>
                  <w:marBottom w:val="0"/>
                  <w:divBdr>
                    <w:top w:val="none" w:sz="0" w:space="0" w:color="auto"/>
                    <w:left w:val="none" w:sz="0" w:space="0" w:color="auto"/>
                    <w:bottom w:val="none" w:sz="0" w:space="0" w:color="auto"/>
                    <w:right w:val="none" w:sz="0" w:space="0" w:color="auto"/>
                  </w:divBdr>
                </w:div>
              </w:divsChild>
            </w:div>
            <w:div w:id="1396002968">
              <w:marLeft w:val="0"/>
              <w:marRight w:val="0"/>
              <w:marTop w:val="0"/>
              <w:marBottom w:val="0"/>
              <w:divBdr>
                <w:top w:val="none" w:sz="0" w:space="0" w:color="auto"/>
                <w:left w:val="none" w:sz="0" w:space="0" w:color="auto"/>
                <w:bottom w:val="none" w:sz="0" w:space="0" w:color="auto"/>
                <w:right w:val="none" w:sz="0" w:space="0" w:color="auto"/>
              </w:divBdr>
              <w:divsChild>
                <w:div w:id="176981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nelegale.wolterskluwer.it/document/10SE0001160586?pathId=f92cad946e8eb8" TargetMode="External"/><Relationship Id="rId18" Type="http://schemas.openxmlformats.org/officeDocument/2006/relationships/hyperlink" Target="https://onelegale.wolterskluwer.it/document/cass.-civ.-sez.-lavoro-ord.-data-ud.-16-06-2022-13-09-2022-n.-26936/10SE0002588746?pathId=506c9da1759e&amp;docIds=10SE0001414325,10SE0001448785" TargetMode="External"/><Relationship Id="rId26" Type="http://schemas.openxmlformats.org/officeDocument/2006/relationships/hyperlink" Target="https://onelegale.wolterskluwer.it/document/10SE0002792485?pathId=8a06ca446d36b8" TargetMode="External"/><Relationship Id="rId3" Type="http://schemas.openxmlformats.org/officeDocument/2006/relationships/styles" Target="styles.xml"/><Relationship Id="rId21" Type="http://schemas.openxmlformats.org/officeDocument/2006/relationships/hyperlink" Target="https://onelegale.wolterskluwer.it/document/10SE0002009448?pathId=9bc33b9e64b2c8"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onelegale.wolterskluwer.it/document/10SE1000321013?pathId=87a30d7da3f8e" TargetMode="External"/><Relationship Id="rId17" Type="http://schemas.openxmlformats.org/officeDocument/2006/relationships/hyperlink" Target="https://onelegale.wolterskluwer.it/document/10SE0002115798?pathId=f92cad946e8eb8" TargetMode="External"/><Relationship Id="rId25" Type="http://schemas.openxmlformats.org/officeDocument/2006/relationships/hyperlink" Target="https://onelegale.wolterskluwer.it/document/10SE0001349835?pathId=8a06ca446d36b8" TargetMode="External"/><Relationship Id="rId33"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https://onelegale.wolterskluwer.it/document/10SE0001499286?pathId=f92cad946e8eb8" TargetMode="External"/><Relationship Id="rId20" Type="http://schemas.openxmlformats.org/officeDocument/2006/relationships/hyperlink" Target="https://onelegale.wolterskluwer.it/document/05AC00005023?pathId=f86e815d18e4" TargetMode="External"/><Relationship Id="rId29" Type="http://schemas.openxmlformats.org/officeDocument/2006/relationships/hyperlink" Target="https://onelegale.wolterskluwer.it/document/05AC00005029?pathId=9983bd0e2de75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nelegale.wolterskluwer.it/document/10SE1000321838?pathId=87a30d7da3f8e" TargetMode="External"/><Relationship Id="rId24" Type="http://schemas.openxmlformats.org/officeDocument/2006/relationships/hyperlink" Target="https://onelegale.wolterskluwer.it/document/10SE0002166635?pathId=8a06ca446d36b8" TargetMode="External"/><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onelegale.wolterskluwer.it/document/10SE0001448785?pathId=f92cad946e8eb8" TargetMode="External"/><Relationship Id="rId23" Type="http://schemas.openxmlformats.org/officeDocument/2006/relationships/hyperlink" Target="https://onelegale.wolterskluwer.it/document/cass.-civ.-sez.-v-ord.-data-ud.-05-03-2024-09-04-2024-n.-9515/10SE0002847857?docIds=10SE0000312541,10SE0000314878,10SE0000408415" TargetMode="External"/><Relationship Id="rId28" Type="http://schemas.openxmlformats.org/officeDocument/2006/relationships/hyperlink" Target="https://onelegale.wolterskluwer.it/document/05AC00005029?pathId=9983bd0e2de758" TargetMode="External"/><Relationship Id="rId10" Type="http://schemas.openxmlformats.org/officeDocument/2006/relationships/hyperlink" Target="https://onelegale.wolterskluwer.it/document/10SE1000456375?pathId=87a30d7da3f8e" TargetMode="External"/><Relationship Id="rId19" Type="http://schemas.openxmlformats.org/officeDocument/2006/relationships/hyperlink" Target="https://onelegale.wolterskluwer.it/document/10SE0000934534?pathId=f92cad946e8eb8"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onelegale.wolterskluwer.it/document/10SE0000408053?pathId=87a30d7da3f8e" TargetMode="External"/><Relationship Id="rId14" Type="http://schemas.openxmlformats.org/officeDocument/2006/relationships/hyperlink" Target="https://onelegale.wolterskluwer.it/document/10SE0001410671?pathId=f92cad946e8eb8" TargetMode="External"/><Relationship Id="rId22" Type="http://schemas.openxmlformats.org/officeDocument/2006/relationships/hyperlink" Target="https://onelegale.wolterskluwer.it/document/cass.-civ.-sez.-v-ord.-data-ud.-05-03-2024-09-04-2024-n.-9515/10SE0002847857?docIds=10SE0000171469,10SE0000206356" TargetMode="External"/><Relationship Id="rId27" Type="http://schemas.openxmlformats.org/officeDocument/2006/relationships/hyperlink" Target="https://onelegale.wolterskluwer.it/document/05AC0000015145?pathId=9983bd0e2de758" TargetMode="External"/><Relationship Id="rId30" Type="http://schemas.openxmlformats.org/officeDocument/2006/relationships/header" Target="header1.xml"/><Relationship Id="rId35" Type="http://schemas.openxmlformats.org/officeDocument/2006/relationships/theme" Target="theme/theme1.xml"/><Relationship Id="rId8" Type="http://schemas.openxmlformats.org/officeDocument/2006/relationships/hyperlink" Target="https://onelegale.wolterskluwer.it/document/05AC00005029?pathId=87a30d7da3f8e"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3A5AEC-9C1F-5A40-A212-123510CAA3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8835</Words>
  <Characters>51099</Characters>
  <Application>Microsoft Office Word</Application>
  <DocSecurity>0</DocSecurity>
  <Lines>723</Lines>
  <Paragraphs>150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60057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Paolo De Miranda</dc:creator>
  <cp:keywords/>
  <dc:description/>
  <cp:lastModifiedBy>Paolo de Miranda</cp:lastModifiedBy>
  <cp:revision>2</cp:revision>
  <cp:lastPrinted>2025-12-18T07:59:00Z</cp:lastPrinted>
  <dcterms:created xsi:type="dcterms:W3CDTF">2026-05-23T12:56:00Z</dcterms:created>
  <dcterms:modified xsi:type="dcterms:W3CDTF">2026-05-23T12:56:00Z</dcterms:modified>
</cp:coreProperties>
</file>