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DA2B0" w14:textId="77777777" w:rsidR="00D364A8" w:rsidRPr="0072532A" w:rsidRDefault="00D364A8" w:rsidP="00D364A8">
      <w:pPr>
        <w:rPr>
          <w:rFonts w:cstheme="minorHAnsi"/>
          <w:color w:val="000000" w:themeColor="text1"/>
        </w:rPr>
      </w:pPr>
      <w:r w:rsidRPr="0072532A">
        <w:rPr>
          <w:rFonts w:cstheme="minorHAnsi"/>
          <w:color w:val="000000" w:themeColor="text1"/>
        </w:rPr>
        <w:t xml:space="preserve">Enhancing Data Governance and Security: A Strategic Plan for </w:t>
      </w:r>
      <w:proofErr w:type="spellStart"/>
      <w:r w:rsidRPr="0072532A">
        <w:rPr>
          <w:rFonts w:cstheme="minorHAnsi"/>
          <w:color w:val="000000" w:themeColor="text1"/>
        </w:rPr>
        <w:t>MaineHealth</w:t>
      </w:r>
      <w:proofErr w:type="spellEnd"/>
    </w:p>
    <w:p w14:paraId="3410B559" w14:textId="6602FE45" w:rsidR="008F613E" w:rsidRPr="0072532A" w:rsidRDefault="008F613E" w:rsidP="00D364A8">
      <w:pPr>
        <w:rPr>
          <w:rFonts w:cstheme="minorHAnsi"/>
          <w:color w:val="000000" w:themeColor="text1"/>
        </w:rPr>
      </w:pPr>
      <w:r w:rsidRPr="0072532A">
        <w:rPr>
          <w:rFonts w:cstheme="minorHAnsi"/>
          <w:color w:val="000000" w:themeColor="text1"/>
        </w:rPr>
        <w:t>Position Paper 1, DSE6003</w:t>
      </w:r>
    </w:p>
    <w:p w14:paraId="4688A2C7" w14:textId="5207FEEF" w:rsidR="008F613E" w:rsidRPr="0072532A" w:rsidRDefault="008F613E" w:rsidP="00D364A8">
      <w:pPr>
        <w:rPr>
          <w:rFonts w:cstheme="minorHAnsi"/>
          <w:color w:val="000000" w:themeColor="text1"/>
        </w:rPr>
      </w:pPr>
      <w:r w:rsidRPr="0072532A">
        <w:rPr>
          <w:rFonts w:cstheme="minorHAnsi"/>
          <w:color w:val="000000" w:themeColor="text1"/>
        </w:rPr>
        <w:t>Adeline Casali</w:t>
      </w:r>
    </w:p>
    <w:p w14:paraId="0BDFB07B" w14:textId="1CF8738A" w:rsidR="001E2FAB" w:rsidRPr="0072532A" w:rsidRDefault="001E2FAB" w:rsidP="00D364A8">
      <w:pPr>
        <w:rPr>
          <w:rFonts w:cstheme="minorHAnsi"/>
          <w:color w:val="000000" w:themeColor="text1"/>
        </w:rPr>
      </w:pPr>
      <w:r w:rsidRPr="0072532A">
        <w:rPr>
          <w:rFonts w:cstheme="minorHAnsi"/>
          <w:color w:val="000000" w:themeColor="text1"/>
        </w:rPr>
        <w:t>September 7, 2023</w:t>
      </w:r>
    </w:p>
    <w:p w14:paraId="3456E4CC" w14:textId="77777777" w:rsidR="00D364A8" w:rsidRPr="0072532A" w:rsidRDefault="00D364A8" w:rsidP="00D364A8">
      <w:pPr>
        <w:rPr>
          <w:rFonts w:cstheme="minorHAnsi"/>
          <w:color w:val="000000" w:themeColor="text1"/>
        </w:rPr>
      </w:pPr>
    </w:p>
    <w:p w14:paraId="21B8EA08" w14:textId="77777777" w:rsidR="00D364A8" w:rsidRPr="0072532A" w:rsidRDefault="00D364A8" w:rsidP="00D364A8">
      <w:pPr>
        <w:pStyle w:val="Heading1"/>
        <w:rPr>
          <w:rFonts w:asciiTheme="minorHAnsi" w:hAnsiTheme="minorHAnsi" w:cstheme="minorHAnsi"/>
          <w:color w:val="000000" w:themeColor="text1"/>
          <w:sz w:val="24"/>
          <w:szCs w:val="24"/>
        </w:rPr>
      </w:pPr>
      <w:r w:rsidRPr="0072532A">
        <w:rPr>
          <w:rFonts w:asciiTheme="minorHAnsi" w:hAnsiTheme="minorHAnsi" w:cstheme="minorHAnsi"/>
          <w:color w:val="000000" w:themeColor="text1"/>
          <w:sz w:val="24"/>
          <w:szCs w:val="24"/>
        </w:rPr>
        <w:t>Introduction</w:t>
      </w:r>
    </w:p>
    <w:p w14:paraId="1AA33335" w14:textId="3EE9B2DD" w:rsidR="00D364A8" w:rsidRPr="0072532A" w:rsidRDefault="00D364A8" w:rsidP="00D364A8">
      <w:pPr>
        <w:pStyle w:val="Heading2"/>
        <w:rPr>
          <w:rFonts w:asciiTheme="minorHAnsi" w:hAnsiTheme="minorHAnsi" w:cstheme="minorHAnsi"/>
          <w:color w:val="000000" w:themeColor="text1"/>
          <w:sz w:val="24"/>
          <w:szCs w:val="24"/>
        </w:rPr>
      </w:pPr>
      <w:r w:rsidRPr="0072532A">
        <w:rPr>
          <w:rFonts w:asciiTheme="minorHAnsi" w:hAnsiTheme="minorHAnsi" w:cstheme="minorHAnsi"/>
          <w:color w:val="000000" w:themeColor="text1"/>
          <w:sz w:val="24"/>
          <w:szCs w:val="24"/>
        </w:rPr>
        <w:t xml:space="preserve">Key </w:t>
      </w:r>
      <w:r w:rsidR="00486D21" w:rsidRPr="0072532A">
        <w:rPr>
          <w:rFonts w:asciiTheme="minorHAnsi" w:hAnsiTheme="minorHAnsi" w:cstheme="minorHAnsi"/>
          <w:color w:val="000000" w:themeColor="text1"/>
          <w:sz w:val="24"/>
          <w:szCs w:val="24"/>
        </w:rPr>
        <w:t>G</w:t>
      </w:r>
      <w:r w:rsidRPr="0072532A">
        <w:rPr>
          <w:rFonts w:asciiTheme="minorHAnsi" w:hAnsiTheme="minorHAnsi" w:cstheme="minorHAnsi"/>
          <w:color w:val="000000" w:themeColor="text1"/>
          <w:sz w:val="24"/>
          <w:szCs w:val="24"/>
        </w:rPr>
        <w:t xml:space="preserve">overnance, </w:t>
      </w:r>
      <w:r w:rsidR="00486D21" w:rsidRPr="0072532A">
        <w:rPr>
          <w:rFonts w:asciiTheme="minorHAnsi" w:hAnsiTheme="minorHAnsi" w:cstheme="minorHAnsi"/>
          <w:color w:val="000000" w:themeColor="text1"/>
          <w:sz w:val="24"/>
          <w:szCs w:val="24"/>
        </w:rPr>
        <w:t>S</w:t>
      </w:r>
      <w:r w:rsidRPr="0072532A">
        <w:rPr>
          <w:rFonts w:asciiTheme="minorHAnsi" w:hAnsiTheme="minorHAnsi" w:cstheme="minorHAnsi"/>
          <w:color w:val="000000" w:themeColor="text1"/>
          <w:sz w:val="24"/>
          <w:szCs w:val="24"/>
        </w:rPr>
        <w:t xml:space="preserve">ecurity, and </w:t>
      </w:r>
      <w:r w:rsidR="00486D21" w:rsidRPr="0072532A">
        <w:rPr>
          <w:rFonts w:asciiTheme="minorHAnsi" w:hAnsiTheme="minorHAnsi" w:cstheme="minorHAnsi"/>
          <w:color w:val="000000" w:themeColor="text1"/>
          <w:sz w:val="24"/>
          <w:szCs w:val="24"/>
        </w:rPr>
        <w:t>E</w:t>
      </w:r>
      <w:r w:rsidRPr="0072532A">
        <w:rPr>
          <w:rFonts w:asciiTheme="minorHAnsi" w:hAnsiTheme="minorHAnsi" w:cstheme="minorHAnsi"/>
          <w:color w:val="000000" w:themeColor="text1"/>
          <w:sz w:val="24"/>
          <w:szCs w:val="24"/>
        </w:rPr>
        <w:t xml:space="preserve">thical </w:t>
      </w:r>
      <w:r w:rsidR="00486D21" w:rsidRPr="0072532A">
        <w:rPr>
          <w:rFonts w:asciiTheme="minorHAnsi" w:hAnsiTheme="minorHAnsi" w:cstheme="minorHAnsi"/>
          <w:color w:val="000000" w:themeColor="text1"/>
          <w:sz w:val="24"/>
          <w:szCs w:val="24"/>
        </w:rPr>
        <w:t>I</w:t>
      </w:r>
      <w:r w:rsidRPr="0072532A">
        <w:rPr>
          <w:rFonts w:asciiTheme="minorHAnsi" w:hAnsiTheme="minorHAnsi" w:cstheme="minorHAnsi"/>
          <w:color w:val="000000" w:themeColor="text1"/>
          <w:sz w:val="24"/>
          <w:szCs w:val="24"/>
        </w:rPr>
        <w:t>ssues</w:t>
      </w:r>
      <w:r w:rsidRPr="0072532A">
        <w:rPr>
          <w:rFonts w:asciiTheme="minorHAnsi" w:hAnsiTheme="minorHAnsi" w:cstheme="minorHAnsi"/>
          <w:color w:val="000000" w:themeColor="text1"/>
          <w:sz w:val="24"/>
          <w:szCs w:val="24"/>
        </w:rPr>
        <w:t xml:space="preserve"> </w:t>
      </w:r>
    </w:p>
    <w:p w14:paraId="60B3C9E9" w14:textId="5CCEC7C5" w:rsidR="008F613E" w:rsidRPr="0072532A" w:rsidRDefault="008D4089" w:rsidP="001165D9">
      <w:pPr>
        <w:ind w:left="720"/>
        <w:rPr>
          <w:rFonts w:cstheme="minorHAnsi"/>
          <w:color w:val="000000" w:themeColor="text1"/>
        </w:rPr>
      </w:pPr>
      <w:r w:rsidRPr="0072532A">
        <w:rPr>
          <w:rFonts w:cstheme="minorHAnsi"/>
          <w:color w:val="000000" w:themeColor="text1"/>
        </w:rPr>
        <w:t xml:space="preserve">The healthcare industry is one of the most susceptible to security attacks, as the data from healthcare companies is </w:t>
      </w:r>
      <w:r w:rsidR="007952D3" w:rsidRPr="0072532A">
        <w:rPr>
          <w:rFonts w:cstheme="minorHAnsi"/>
          <w:color w:val="000000" w:themeColor="text1"/>
        </w:rPr>
        <w:t>typically</w:t>
      </w:r>
      <w:r w:rsidRPr="0072532A">
        <w:rPr>
          <w:rFonts w:cstheme="minorHAnsi"/>
          <w:color w:val="000000" w:themeColor="text1"/>
        </w:rPr>
        <w:t xml:space="preserve"> private and confidential. This sensitive information is highly valuable to hackers, making the industry a large target for attacks (</w:t>
      </w:r>
      <w:proofErr w:type="spellStart"/>
      <w:r w:rsidRPr="0072532A">
        <w:rPr>
          <w:rFonts w:cstheme="minorHAnsi"/>
          <w:color w:val="000000" w:themeColor="text1"/>
        </w:rPr>
        <w:t>Seh</w:t>
      </w:r>
      <w:proofErr w:type="spellEnd"/>
      <w:r w:rsidRPr="0072532A">
        <w:rPr>
          <w:rFonts w:cstheme="minorHAnsi"/>
          <w:color w:val="000000" w:themeColor="text1"/>
        </w:rPr>
        <w:t xml:space="preserve"> et al., 2020). </w:t>
      </w:r>
      <w:r w:rsidR="003F1C38" w:rsidRPr="0072532A">
        <w:rPr>
          <w:rFonts w:cstheme="minorHAnsi"/>
          <w:color w:val="000000" w:themeColor="text1"/>
        </w:rPr>
        <w:t xml:space="preserve">This vulnerability is particularly pertinent in the era of big data, </w:t>
      </w:r>
      <w:r w:rsidR="007952D3" w:rsidRPr="0072532A">
        <w:rPr>
          <w:rFonts w:cstheme="minorHAnsi"/>
          <w:color w:val="000000" w:themeColor="text1"/>
        </w:rPr>
        <w:t>as the current trend towards digitizing healthcare has led to an enormous quantity of clinical data availability. Although big data holds the promise of opportunities and the potential to lower costs, improve care, and even save lives, it also introduces a host of data security issues</w:t>
      </w:r>
      <w:r w:rsidR="000F6A6E" w:rsidRPr="0072532A">
        <w:rPr>
          <w:rFonts w:cstheme="minorHAnsi"/>
          <w:color w:val="000000" w:themeColor="text1"/>
        </w:rPr>
        <w:t xml:space="preserve"> due to the quantity and complexity of the data</w:t>
      </w:r>
      <w:r w:rsidR="007952D3" w:rsidRPr="0072532A">
        <w:rPr>
          <w:rFonts w:cstheme="minorHAnsi"/>
          <w:color w:val="000000" w:themeColor="text1"/>
        </w:rPr>
        <w:t xml:space="preserve"> (</w:t>
      </w:r>
      <w:proofErr w:type="spellStart"/>
      <w:r w:rsidR="007952D3" w:rsidRPr="0072532A">
        <w:rPr>
          <w:rFonts w:cstheme="minorHAnsi"/>
          <w:color w:val="000000" w:themeColor="text1"/>
        </w:rPr>
        <w:t>Abouelmehdi</w:t>
      </w:r>
      <w:proofErr w:type="spellEnd"/>
      <w:r w:rsidR="007952D3" w:rsidRPr="0072532A">
        <w:rPr>
          <w:rFonts w:cstheme="minorHAnsi"/>
          <w:color w:val="000000" w:themeColor="text1"/>
        </w:rPr>
        <w:t xml:space="preserve"> et al., 2017). </w:t>
      </w:r>
    </w:p>
    <w:p w14:paraId="45DFD26F" w14:textId="446DCFD4" w:rsidR="000F6A6E" w:rsidRPr="0072532A" w:rsidRDefault="00966718" w:rsidP="008F613E">
      <w:pPr>
        <w:ind w:left="720"/>
        <w:rPr>
          <w:rFonts w:cstheme="minorHAnsi"/>
          <w:color w:val="000000" w:themeColor="text1"/>
        </w:rPr>
      </w:pPr>
      <w:r w:rsidRPr="0072532A">
        <w:rPr>
          <w:rFonts w:cstheme="minorHAnsi"/>
          <w:color w:val="000000" w:themeColor="text1"/>
        </w:rPr>
        <w:t>A data breach is defined as “a security incident in which sensitive, protected, or confidential data are copied, transmitted, viewed, stolen, or used by an unauthorized individual” (Khan et al., 2021</w:t>
      </w:r>
      <w:r w:rsidR="003637A5" w:rsidRPr="0072532A">
        <w:rPr>
          <w:rFonts w:cstheme="minorHAnsi"/>
          <w:color w:val="000000" w:themeColor="text1"/>
        </w:rPr>
        <w:t>, p. 2</w:t>
      </w:r>
      <w:r w:rsidRPr="0072532A">
        <w:rPr>
          <w:rFonts w:cstheme="minorHAnsi"/>
          <w:color w:val="000000" w:themeColor="text1"/>
        </w:rPr>
        <w:t xml:space="preserve">). Data breaches are surprisingly common in the healthcare industry. Between 2005 and 2019, 249.09 million individuals </w:t>
      </w:r>
      <w:r w:rsidR="003637A5" w:rsidRPr="0072532A">
        <w:rPr>
          <w:rFonts w:cstheme="minorHAnsi"/>
          <w:color w:val="000000" w:themeColor="text1"/>
        </w:rPr>
        <w:t>worldwide</w:t>
      </w:r>
      <w:r w:rsidRPr="0072532A">
        <w:rPr>
          <w:rFonts w:cstheme="minorHAnsi"/>
          <w:color w:val="000000" w:themeColor="text1"/>
        </w:rPr>
        <w:t xml:space="preserve"> were impacted by healthcare data breaches (</w:t>
      </w:r>
      <w:r w:rsidR="00920073" w:rsidRPr="0072532A">
        <w:rPr>
          <w:rFonts w:cstheme="minorHAnsi"/>
          <w:i/>
          <w:iCs/>
          <w:color w:val="000000" w:themeColor="text1"/>
        </w:rPr>
        <w:t>Data Breach Chronology</w:t>
      </w:r>
      <w:r w:rsidR="00920073" w:rsidRPr="0072532A">
        <w:rPr>
          <w:rFonts w:cstheme="minorHAnsi"/>
          <w:color w:val="000000" w:themeColor="text1"/>
        </w:rPr>
        <w:t>, 2023</w:t>
      </w:r>
      <w:r w:rsidRPr="0072532A">
        <w:rPr>
          <w:rFonts w:cstheme="minorHAnsi"/>
          <w:color w:val="000000" w:themeColor="text1"/>
        </w:rPr>
        <w:t>). And in 20</w:t>
      </w:r>
      <w:r w:rsidR="00920073" w:rsidRPr="0072532A">
        <w:rPr>
          <w:rFonts w:cstheme="minorHAnsi"/>
          <w:color w:val="000000" w:themeColor="text1"/>
        </w:rPr>
        <w:t>22</w:t>
      </w:r>
      <w:r w:rsidRPr="0072532A">
        <w:rPr>
          <w:rFonts w:cstheme="minorHAnsi"/>
          <w:color w:val="000000" w:themeColor="text1"/>
        </w:rPr>
        <w:t xml:space="preserve"> alone, </w:t>
      </w:r>
      <w:r w:rsidR="00920073" w:rsidRPr="0072532A">
        <w:rPr>
          <w:rFonts w:cstheme="minorHAnsi"/>
          <w:color w:val="000000" w:themeColor="text1"/>
        </w:rPr>
        <w:t>51.9</w:t>
      </w:r>
      <w:r w:rsidRPr="0072532A">
        <w:rPr>
          <w:rFonts w:cstheme="minorHAnsi"/>
          <w:color w:val="000000" w:themeColor="text1"/>
        </w:rPr>
        <w:t xml:space="preserve"> million healthcare records were exposed, stolen, or illegally disclosed (</w:t>
      </w:r>
      <w:r w:rsidR="00CC4C7B" w:rsidRPr="0072532A">
        <w:rPr>
          <w:rFonts w:cstheme="minorHAnsi"/>
          <w:color w:val="000000" w:themeColor="text1"/>
        </w:rPr>
        <w:t>Alder, 2023</w:t>
      </w:r>
      <w:r w:rsidRPr="0072532A">
        <w:rPr>
          <w:rFonts w:cstheme="minorHAnsi"/>
          <w:color w:val="000000" w:themeColor="text1"/>
        </w:rPr>
        <w:t>). Furthermore, these breaches can be extremely costly to the organization. According to</w:t>
      </w:r>
      <w:r w:rsidR="00CC4C7B" w:rsidRPr="0072532A">
        <w:rPr>
          <w:rFonts w:cstheme="minorHAnsi"/>
          <w:color w:val="000000" w:themeColor="text1"/>
        </w:rPr>
        <w:t xml:space="preserve"> IBM’s 2023 Cost of a Data Breach </w:t>
      </w:r>
      <w:r w:rsidRPr="0072532A">
        <w:rPr>
          <w:rFonts w:cstheme="minorHAnsi"/>
          <w:color w:val="000000" w:themeColor="text1"/>
        </w:rPr>
        <w:t>report</w:t>
      </w:r>
      <w:r w:rsidR="00CC4C7B" w:rsidRPr="0072532A">
        <w:rPr>
          <w:rFonts w:cstheme="minorHAnsi"/>
          <w:color w:val="000000" w:themeColor="text1"/>
        </w:rPr>
        <w:t xml:space="preserve">, </w:t>
      </w:r>
      <w:r w:rsidRPr="0072532A">
        <w:rPr>
          <w:rFonts w:cstheme="minorHAnsi"/>
          <w:color w:val="000000" w:themeColor="text1"/>
        </w:rPr>
        <w:t>the average healthcare data breach</w:t>
      </w:r>
      <w:r w:rsidR="00CC4C7B" w:rsidRPr="0072532A">
        <w:rPr>
          <w:rFonts w:cstheme="minorHAnsi"/>
          <w:color w:val="000000" w:themeColor="text1"/>
        </w:rPr>
        <w:t xml:space="preserve"> in 2022</w:t>
      </w:r>
      <w:r w:rsidRPr="0072532A">
        <w:rPr>
          <w:rFonts w:cstheme="minorHAnsi"/>
          <w:color w:val="000000" w:themeColor="text1"/>
        </w:rPr>
        <w:t xml:space="preserve"> in the United States </w:t>
      </w:r>
      <w:r w:rsidR="003637A5" w:rsidRPr="0072532A">
        <w:rPr>
          <w:rFonts w:cstheme="minorHAnsi"/>
          <w:color w:val="000000" w:themeColor="text1"/>
        </w:rPr>
        <w:t>cost</w:t>
      </w:r>
      <w:r w:rsidRPr="0072532A">
        <w:rPr>
          <w:rFonts w:cstheme="minorHAnsi"/>
          <w:color w:val="000000" w:themeColor="text1"/>
        </w:rPr>
        <w:t xml:space="preserve"> $1</w:t>
      </w:r>
      <w:r w:rsidR="00CC4C7B" w:rsidRPr="0072532A">
        <w:rPr>
          <w:rFonts w:cstheme="minorHAnsi"/>
          <w:color w:val="000000" w:themeColor="text1"/>
        </w:rPr>
        <w:t>0.93</w:t>
      </w:r>
      <w:r w:rsidRPr="0072532A">
        <w:rPr>
          <w:rFonts w:cstheme="minorHAnsi"/>
          <w:color w:val="000000" w:themeColor="text1"/>
        </w:rPr>
        <w:t xml:space="preserve"> million (</w:t>
      </w:r>
      <w:r w:rsidR="00CC4C7B" w:rsidRPr="0072532A">
        <w:rPr>
          <w:rFonts w:cstheme="minorHAnsi"/>
          <w:color w:val="000000" w:themeColor="text1"/>
        </w:rPr>
        <w:t>IBM, 2023</w:t>
      </w:r>
      <w:r w:rsidRPr="0072532A">
        <w:rPr>
          <w:rFonts w:cstheme="minorHAnsi"/>
          <w:color w:val="000000" w:themeColor="text1"/>
        </w:rPr>
        <w:t xml:space="preserve">). </w:t>
      </w:r>
      <w:r w:rsidR="001471B4" w:rsidRPr="0072532A">
        <w:rPr>
          <w:rFonts w:cstheme="minorHAnsi"/>
          <w:color w:val="000000" w:themeColor="text1"/>
        </w:rPr>
        <w:t xml:space="preserve">Avoiding data breaches is one of the </w:t>
      </w:r>
      <w:r w:rsidR="003637A5" w:rsidRPr="0072532A">
        <w:rPr>
          <w:rFonts w:cstheme="minorHAnsi"/>
          <w:color w:val="000000" w:themeColor="text1"/>
        </w:rPr>
        <w:t>leading</w:t>
      </w:r>
      <w:r w:rsidR="001471B4" w:rsidRPr="0072532A">
        <w:rPr>
          <w:rFonts w:cstheme="minorHAnsi"/>
          <w:color w:val="000000" w:themeColor="text1"/>
        </w:rPr>
        <w:t xml:space="preserve"> security goals of this plan. </w:t>
      </w:r>
    </w:p>
    <w:p w14:paraId="7070A75A" w14:textId="573BFC99" w:rsidR="00D364A8" w:rsidRPr="0072532A" w:rsidRDefault="00D364A8" w:rsidP="00D364A8">
      <w:pPr>
        <w:pStyle w:val="Heading1"/>
        <w:rPr>
          <w:rFonts w:asciiTheme="minorHAnsi" w:hAnsiTheme="minorHAnsi" w:cstheme="minorHAnsi"/>
          <w:color w:val="000000" w:themeColor="text1"/>
          <w:sz w:val="24"/>
          <w:szCs w:val="24"/>
        </w:rPr>
      </w:pPr>
      <w:r w:rsidRPr="0072532A">
        <w:rPr>
          <w:rFonts w:asciiTheme="minorHAnsi" w:hAnsiTheme="minorHAnsi" w:cstheme="minorHAnsi"/>
          <w:color w:val="000000" w:themeColor="text1"/>
          <w:sz w:val="24"/>
          <w:szCs w:val="24"/>
        </w:rPr>
        <w:t xml:space="preserve">Data </w:t>
      </w:r>
      <w:r w:rsidRPr="0072532A">
        <w:rPr>
          <w:rFonts w:asciiTheme="minorHAnsi" w:hAnsiTheme="minorHAnsi" w:cstheme="minorHAnsi"/>
          <w:color w:val="000000" w:themeColor="text1"/>
          <w:sz w:val="24"/>
          <w:szCs w:val="24"/>
        </w:rPr>
        <w:t>Governance</w:t>
      </w:r>
      <w:r w:rsidRPr="0072532A">
        <w:rPr>
          <w:rFonts w:asciiTheme="minorHAnsi" w:hAnsiTheme="minorHAnsi" w:cstheme="minorHAnsi"/>
          <w:color w:val="000000" w:themeColor="text1"/>
          <w:sz w:val="24"/>
          <w:szCs w:val="24"/>
        </w:rPr>
        <w:t xml:space="preserve"> Framework</w:t>
      </w:r>
    </w:p>
    <w:p w14:paraId="408CEE00" w14:textId="6DD8DC33" w:rsidR="001E2FD5" w:rsidRPr="0072532A" w:rsidRDefault="00D364A8" w:rsidP="001E2FD5">
      <w:pPr>
        <w:pStyle w:val="Heading2"/>
        <w:rPr>
          <w:rFonts w:asciiTheme="minorHAnsi" w:hAnsiTheme="minorHAnsi" w:cstheme="minorHAnsi"/>
          <w:color w:val="000000" w:themeColor="text1"/>
          <w:sz w:val="24"/>
          <w:szCs w:val="24"/>
        </w:rPr>
      </w:pPr>
      <w:r w:rsidRPr="0072532A">
        <w:rPr>
          <w:rFonts w:asciiTheme="minorHAnsi" w:hAnsiTheme="minorHAnsi" w:cstheme="minorHAnsi"/>
          <w:color w:val="000000" w:themeColor="text1"/>
          <w:sz w:val="24"/>
          <w:szCs w:val="24"/>
        </w:rPr>
        <w:t xml:space="preserve">Data </w:t>
      </w:r>
      <w:r w:rsidRPr="0072532A">
        <w:rPr>
          <w:rFonts w:asciiTheme="minorHAnsi" w:hAnsiTheme="minorHAnsi" w:cstheme="minorHAnsi"/>
          <w:color w:val="000000" w:themeColor="text1"/>
          <w:sz w:val="24"/>
          <w:szCs w:val="24"/>
        </w:rPr>
        <w:t>Governance</w:t>
      </w:r>
      <w:r w:rsidRPr="0072532A">
        <w:rPr>
          <w:rFonts w:asciiTheme="minorHAnsi" w:hAnsiTheme="minorHAnsi" w:cstheme="minorHAnsi"/>
          <w:color w:val="000000" w:themeColor="text1"/>
          <w:sz w:val="24"/>
          <w:szCs w:val="24"/>
        </w:rPr>
        <w:t xml:space="preserve"> Policies</w:t>
      </w:r>
    </w:p>
    <w:p w14:paraId="535348BD" w14:textId="01A57728" w:rsidR="001E2FD5" w:rsidRPr="0072532A" w:rsidRDefault="00EC3658" w:rsidP="00CE6B8D">
      <w:pPr>
        <w:ind w:left="720"/>
        <w:rPr>
          <w:rFonts w:cstheme="minorHAnsi"/>
          <w:color w:val="000000" w:themeColor="text1"/>
        </w:rPr>
      </w:pPr>
      <w:r w:rsidRPr="0072532A">
        <w:rPr>
          <w:rFonts w:cstheme="minorHAnsi"/>
          <w:color w:val="000000" w:themeColor="text1"/>
        </w:rPr>
        <w:t>As an overview, data governance involves the utilization of oversight, authority, and control in managing data. Its primary objective is to enhance the worth of data while reducing the expenses and potential risks associated with it (</w:t>
      </w:r>
      <w:r w:rsidR="006E6393" w:rsidRPr="0072532A">
        <w:rPr>
          <w:rFonts w:cstheme="minorHAnsi"/>
          <w:color w:val="000000" w:themeColor="text1"/>
        </w:rPr>
        <w:t>Abraham et al., 2019</w:t>
      </w:r>
      <w:r w:rsidRPr="0072532A">
        <w:rPr>
          <w:rFonts w:cstheme="minorHAnsi"/>
          <w:color w:val="000000" w:themeColor="text1"/>
        </w:rPr>
        <w:t xml:space="preserve">). </w:t>
      </w:r>
      <w:r w:rsidR="00262073" w:rsidRPr="0072532A">
        <w:rPr>
          <w:rFonts w:cstheme="minorHAnsi"/>
          <w:color w:val="000000" w:themeColor="text1"/>
        </w:rPr>
        <w:t xml:space="preserve">Protocols must be put into place the clearly define roles, responsibilities, and accountability for data stewardship, quality, and compliance. These policies should align with industry best practices as well as legal regulations such as the Health Insurance Portability and Accountability Act (HIPAA) and the Health Information Technology for Economic and Clinical Health Act (HITECH) (Kaplan et al., 2023). </w:t>
      </w:r>
    </w:p>
    <w:p w14:paraId="6A4B89E5" w14:textId="45A248BD" w:rsidR="00D364A8" w:rsidRPr="0072532A" w:rsidRDefault="00D364A8" w:rsidP="00D364A8">
      <w:pPr>
        <w:pStyle w:val="Heading2"/>
        <w:rPr>
          <w:rFonts w:asciiTheme="minorHAnsi" w:hAnsiTheme="minorHAnsi" w:cstheme="minorHAnsi"/>
          <w:color w:val="000000" w:themeColor="text1"/>
          <w:sz w:val="24"/>
          <w:szCs w:val="24"/>
        </w:rPr>
      </w:pPr>
      <w:r w:rsidRPr="0072532A">
        <w:rPr>
          <w:rFonts w:asciiTheme="minorHAnsi" w:hAnsiTheme="minorHAnsi" w:cstheme="minorHAnsi"/>
          <w:color w:val="000000" w:themeColor="text1"/>
          <w:sz w:val="24"/>
          <w:szCs w:val="24"/>
        </w:rPr>
        <w:t xml:space="preserve">Data </w:t>
      </w:r>
      <w:r w:rsidRPr="0072532A">
        <w:rPr>
          <w:rFonts w:asciiTheme="minorHAnsi" w:hAnsiTheme="minorHAnsi" w:cstheme="minorHAnsi"/>
          <w:color w:val="000000" w:themeColor="text1"/>
          <w:sz w:val="24"/>
          <w:szCs w:val="24"/>
        </w:rPr>
        <w:t>Governance</w:t>
      </w:r>
      <w:r w:rsidRPr="0072532A">
        <w:rPr>
          <w:rFonts w:asciiTheme="minorHAnsi" w:hAnsiTheme="minorHAnsi" w:cstheme="minorHAnsi"/>
          <w:color w:val="000000" w:themeColor="text1"/>
          <w:sz w:val="24"/>
          <w:szCs w:val="24"/>
        </w:rPr>
        <w:t xml:space="preserve"> Committee</w:t>
      </w:r>
    </w:p>
    <w:p w14:paraId="413F9F14" w14:textId="20D4B140" w:rsidR="00CE6B8D" w:rsidRPr="0072532A" w:rsidRDefault="00CE6B8D" w:rsidP="00CE6B8D">
      <w:pPr>
        <w:ind w:left="720"/>
        <w:rPr>
          <w:rFonts w:cstheme="minorHAnsi"/>
          <w:color w:val="000000" w:themeColor="text1"/>
        </w:rPr>
      </w:pPr>
      <w:r w:rsidRPr="0072532A">
        <w:rPr>
          <w:rFonts w:cstheme="minorHAnsi"/>
          <w:color w:val="000000" w:themeColor="text1"/>
        </w:rPr>
        <w:t xml:space="preserve">We will establish a Data Governance Committee consisting of key stakeholders from IT, legal, compliance, and business units. This committee with oversee all data-related policies and decisions, as well as be available as a data breach response team in the case of a data security incident. </w:t>
      </w:r>
    </w:p>
    <w:p w14:paraId="6EF605D5" w14:textId="4E53410F" w:rsidR="00D364A8" w:rsidRPr="0072532A" w:rsidRDefault="00D364A8" w:rsidP="00D364A8">
      <w:pPr>
        <w:pStyle w:val="Heading2"/>
        <w:rPr>
          <w:rFonts w:asciiTheme="minorHAnsi" w:hAnsiTheme="minorHAnsi" w:cstheme="minorHAnsi"/>
          <w:color w:val="000000" w:themeColor="text1"/>
          <w:sz w:val="24"/>
          <w:szCs w:val="24"/>
        </w:rPr>
      </w:pPr>
      <w:r w:rsidRPr="0072532A">
        <w:rPr>
          <w:rFonts w:asciiTheme="minorHAnsi" w:hAnsiTheme="minorHAnsi" w:cstheme="minorHAnsi"/>
          <w:color w:val="000000" w:themeColor="text1"/>
          <w:sz w:val="24"/>
          <w:szCs w:val="24"/>
        </w:rPr>
        <w:lastRenderedPageBreak/>
        <w:t>Data Inventory and Classification</w:t>
      </w:r>
    </w:p>
    <w:p w14:paraId="22983651" w14:textId="3CEF6098" w:rsidR="00CE6B8D" w:rsidRPr="0072532A" w:rsidRDefault="003C7BCA" w:rsidP="00CE6B8D">
      <w:pPr>
        <w:ind w:left="720"/>
        <w:rPr>
          <w:rFonts w:cstheme="minorHAnsi"/>
          <w:color w:val="000000" w:themeColor="text1"/>
        </w:rPr>
      </w:pPr>
      <w:r w:rsidRPr="0072532A">
        <w:rPr>
          <w:rFonts w:cstheme="minorHAnsi"/>
          <w:color w:val="000000" w:themeColor="text1"/>
        </w:rPr>
        <w:t xml:space="preserve">Data will be inventoried and classified based on sensitivity and confidentiality. </w:t>
      </w:r>
      <w:r w:rsidR="00736A1D" w:rsidRPr="0072532A">
        <w:rPr>
          <w:rFonts w:cstheme="minorHAnsi"/>
          <w:color w:val="000000" w:themeColor="text1"/>
        </w:rPr>
        <w:t>Specifically, we will classify data based on three parameters: confidentiality, availability, and integrity. The sensitivity rating will then be calculated based on the algorithm outlined in</w:t>
      </w:r>
      <w:r w:rsidR="00804CB5">
        <w:rPr>
          <w:rFonts w:cstheme="minorHAnsi"/>
          <w:color w:val="000000" w:themeColor="text1"/>
        </w:rPr>
        <w:t xml:space="preserve"> Carnegie Mellon’s </w:t>
      </w:r>
      <w:r w:rsidR="00804CB5">
        <w:rPr>
          <w:rFonts w:cstheme="minorHAnsi"/>
          <w:i/>
          <w:iCs/>
          <w:color w:val="000000" w:themeColor="text1"/>
        </w:rPr>
        <w:t>Guidelines for Data Classification</w:t>
      </w:r>
      <w:r w:rsidR="00736A1D" w:rsidRPr="0072532A">
        <w:rPr>
          <w:rFonts w:cstheme="minorHAnsi"/>
          <w:color w:val="000000" w:themeColor="text1"/>
        </w:rPr>
        <w:t xml:space="preserve">, allowing the data to be stored as public, private, or </w:t>
      </w:r>
      <w:r w:rsidR="00804CB5">
        <w:rPr>
          <w:rFonts w:cstheme="minorHAnsi"/>
          <w:color w:val="000000" w:themeColor="text1"/>
        </w:rPr>
        <w:t>restricted</w:t>
      </w:r>
      <w:r w:rsidR="00736A1D" w:rsidRPr="0072532A">
        <w:rPr>
          <w:rFonts w:cstheme="minorHAnsi"/>
          <w:color w:val="000000" w:themeColor="text1"/>
        </w:rPr>
        <w:t xml:space="preserve"> (</w:t>
      </w:r>
      <w:r w:rsidR="00804CB5">
        <w:rPr>
          <w:rFonts w:cstheme="minorHAnsi"/>
          <w:color w:val="000000" w:themeColor="text1"/>
        </w:rPr>
        <w:t>Markiewicz, 2011</w:t>
      </w:r>
      <w:r w:rsidR="00736A1D" w:rsidRPr="0072532A">
        <w:rPr>
          <w:rFonts w:cstheme="minorHAnsi"/>
          <w:color w:val="000000" w:themeColor="text1"/>
        </w:rPr>
        <w:t xml:space="preserve">). </w:t>
      </w:r>
      <w:r w:rsidR="0038451B" w:rsidRPr="0072532A">
        <w:rPr>
          <w:rFonts w:cstheme="minorHAnsi"/>
          <w:color w:val="000000" w:themeColor="text1"/>
        </w:rPr>
        <w:t xml:space="preserve">In addition to this, a data retention policy will be developed to ensure that we only store data that is necessary for our operations. </w:t>
      </w:r>
    </w:p>
    <w:p w14:paraId="6F4AAEF1" w14:textId="0E41F7CC" w:rsidR="00D364A8" w:rsidRPr="0072532A" w:rsidRDefault="00D364A8" w:rsidP="00D364A8">
      <w:pPr>
        <w:pStyle w:val="Heading2"/>
        <w:rPr>
          <w:rFonts w:asciiTheme="minorHAnsi" w:hAnsiTheme="minorHAnsi" w:cstheme="minorHAnsi"/>
          <w:color w:val="000000" w:themeColor="text1"/>
          <w:sz w:val="24"/>
          <w:szCs w:val="24"/>
        </w:rPr>
      </w:pPr>
      <w:r w:rsidRPr="0072532A">
        <w:rPr>
          <w:rFonts w:asciiTheme="minorHAnsi" w:hAnsiTheme="minorHAnsi" w:cstheme="minorHAnsi"/>
          <w:color w:val="000000" w:themeColor="text1"/>
          <w:sz w:val="24"/>
          <w:szCs w:val="24"/>
        </w:rPr>
        <w:t>Data Privacy and Ethics</w:t>
      </w:r>
    </w:p>
    <w:p w14:paraId="59A1FEB2" w14:textId="36B4E0CF" w:rsidR="00F34A7B" w:rsidRPr="0072532A" w:rsidRDefault="00430AB7" w:rsidP="00F34A7B">
      <w:pPr>
        <w:ind w:left="720"/>
        <w:rPr>
          <w:rFonts w:cstheme="minorHAnsi"/>
          <w:color w:val="000000" w:themeColor="text1"/>
        </w:rPr>
      </w:pPr>
      <w:r w:rsidRPr="0072532A">
        <w:rPr>
          <w:rFonts w:cstheme="minorHAnsi"/>
          <w:color w:val="000000" w:themeColor="text1"/>
        </w:rPr>
        <w:t xml:space="preserve">We will develop privacy policies that are focused on adhering to both the legal and ethical requirements of data protection. </w:t>
      </w:r>
      <w:r w:rsidR="00F34A7B" w:rsidRPr="0072532A">
        <w:rPr>
          <w:rFonts w:cstheme="minorHAnsi"/>
          <w:color w:val="000000" w:themeColor="text1"/>
        </w:rPr>
        <w:t xml:space="preserve">In addition to this, a code of ethics will be developed for data usage that emphasizes respect for individual privacy, and an Acceptable Use Policy (AUP) will be developed that outlines the acceptable uses of different types of data (National Forum on Education Statistics, 2020). </w:t>
      </w:r>
    </w:p>
    <w:p w14:paraId="1A8D7388" w14:textId="13406D92" w:rsidR="00F34A7B" w:rsidRPr="0072532A" w:rsidRDefault="00F34A7B" w:rsidP="00F34A7B">
      <w:pPr>
        <w:pStyle w:val="Heading2"/>
        <w:rPr>
          <w:rFonts w:asciiTheme="minorHAnsi" w:hAnsiTheme="minorHAnsi" w:cstheme="minorHAnsi"/>
          <w:color w:val="000000" w:themeColor="text1"/>
          <w:sz w:val="24"/>
          <w:szCs w:val="24"/>
        </w:rPr>
      </w:pPr>
      <w:r w:rsidRPr="0072532A">
        <w:rPr>
          <w:rFonts w:asciiTheme="minorHAnsi" w:hAnsiTheme="minorHAnsi" w:cstheme="minorHAnsi"/>
          <w:color w:val="000000" w:themeColor="text1"/>
          <w:sz w:val="24"/>
          <w:szCs w:val="24"/>
        </w:rPr>
        <w:t>Data Anonymization and Differential Privacy</w:t>
      </w:r>
    </w:p>
    <w:p w14:paraId="717E14E6" w14:textId="77777777" w:rsidR="00B026CD" w:rsidRPr="0072532A" w:rsidRDefault="00E1516F" w:rsidP="00B026CD">
      <w:pPr>
        <w:ind w:left="720"/>
        <w:rPr>
          <w:rFonts w:cstheme="minorHAnsi"/>
          <w:color w:val="000000" w:themeColor="text1"/>
        </w:rPr>
      </w:pPr>
      <w:r w:rsidRPr="0072532A">
        <w:rPr>
          <w:rFonts w:cstheme="minorHAnsi"/>
          <w:color w:val="000000" w:themeColor="text1"/>
        </w:rPr>
        <w:t>Differential privacy is a mathematical framework designed to guarantee privacy when analyzing or releasing data (</w:t>
      </w:r>
      <w:r w:rsidR="000500F8" w:rsidRPr="0072532A">
        <w:rPr>
          <w:rFonts w:cstheme="minorHAnsi"/>
          <w:color w:val="000000" w:themeColor="text1"/>
        </w:rPr>
        <w:t>Wood</w:t>
      </w:r>
      <w:r w:rsidRPr="0072532A">
        <w:rPr>
          <w:rFonts w:cstheme="minorHAnsi"/>
          <w:color w:val="000000" w:themeColor="text1"/>
        </w:rPr>
        <w:t xml:space="preserve"> et al., 201</w:t>
      </w:r>
      <w:r w:rsidR="000500F8" w:rsidRPr="0072532A">
        <w:rPr>
          <w:rFonts w:cstheme="minorHAnsi"/>
          <w:color w:val="000000" w:themeColor="text1"/>
        </w:rPr>
        <w:t>8</w:t>
      </w:r>
      <w:r w:rsidRPr="0072532A">
        <w:rPr>
          <w:rFonts w:cstheme="minorHAnsi"/>
          <w:color w:val="000000" w:themeColor="text1"/>
        </w:rPr>
        <w:t>). The overall goal of differential privacy is to render maximum security to datasets by reducing the chances of private record identification. This allows statistical information about the data to be publicly available, while still maintaining high levels of confidentiality (</w:t>
      </w:r>
      <w:proofErr w:type="spellStart"/>
      <w:r w:rsidRPr="0072532A">
        <w:rPr>
          <w:rFonts w:cstheme="minorHAnsi"/>
          <w:color w:val="000000" w:themeColor="text1"/>
        </w:rPr>
        <w:t>Aldeen</w:t>
      </w:r>
      <w:proofErr w:type="spellEnd"/>
      <w:r w:rsidRPr="0072532A">
        <w:rPr>
          <w:rFonts w:cstheme="minorHAnsi"/>
          <w:color w:val="000000" w:themeColor="text1"/>
        </w:rPr>
        <w:t xml:space="preserve"> et al., 2015). </w:t>
      </w:r>
      <w:r w:rsidR="000500F8" w:rsidRPr="0072532A">
        <w:rPr>
          <w:rFonts w:cstheme="minorHAnsi"/>
          <w:color w:val="000000" w:themeColor="text1"/>
        </w:rPr>
        <w:t xml:space="preserve">For example, in the United States, the combination of date of birth, zip code, and gender uniquely identifies 87% of the country’s population (Sweeney, 2002). It is essential that we preserve the privacy of individuals across all available data. </w:t>
      </w:r>
    </w:p>
    <w:p w14:paraId="640F39B6" w14:textId="41FCBD19" w:rsidR="00430AB7" w:rsidRPr="0072532A" w:rsidRDefault="000500F8" w:rsidP="00B026CD">
      <w:pPr>
        <w:ind w:left="720"/>
        <w:rPr>
          <w:rFonts w:cstheme="minorHAnsi"/>
          <w:color w:val="000000" w:themeColor="text1"/>
        </w:rPr>
      </w:pPr>
      <w:r w:rsidRPr="0072532A">
        <w:rPr>
          <w:rFonts w:cstheme="minorHAnsi"/>
          <w:color w:val="000000" w:themeColor="text1"/>
        </w:rPr>
        <w:t xml:space="preserve">One way we will work towards this goal of differential privacy is by using data anonymization, specifically by using the k-anonymity method. The k-anonymity method is </w:t>
      </w:r>
      <w:r w:rsidR="00B026CD" w:rsidRPr="0072532A">
        <w:rPr>
          <w:rFonts w:cstheme="minorHAnsi"/>
          <w:color w:val="000000" w:themeColor="text1"/>
        </w:rPr>
        <w:t xml:space="preserve">a commonly used de-identification algorithm that stipulates that each record in a dataset is </w:t>
      </w:r>
      <w:proofErr w:type="gramStart"/>
      <w:r w:rsidR="00B026CD" w:rsidRPr="0072532A">
        <w:rPr>
          <w:rFonts w:cstheme="minorHAnsi"/>
          <w:color w:val="000000" w:themeColor="text1"/>
        </w:rPr>
        <w:t>similar to</w:t>
      </w:r>
      <w:proofErr w:type="gramEnd"/>
      <w:r w:rsidR="00B026CD" w:rsidRPr="0072532A">
        <w:rPr>
          <w:rFonts w:cstheme="minorHAnsi"/>
          <w:color w:val="000000" w:themeColor="text1"/>
        </w:rPr>
        <w:t xml:space="preserve"> a minimum of k-1 records in terms of the potentially identifying variables. For example, if k = 5 and gender and date of birth are the potentially identifying variables, then an anonymized dataset would have at least 5 records for each combination of gender and date of birth (El </w:t>
      </w:r>
      <w:proofErr w:type="spellStart"/>
      <w:r w:rsidR="00B026CD" w:rsidRPr="0072532A">
        <w:rPr>
          <w:rFonts w:cstheme="minorHAnsi"/>
          <w:color w:val="000000" w:themeColor="text1"/>
        </w:rPr>
        <w:t>Emam</w:t>
      </w:r>
      <w:proofErr w:type="spellEnd"/>
      <w:r w:rsidR="00B026CD" w:rsidRPr="0072532A">
        <w:rPr>
          <w:rFonts w:cstheme="minorHAnsi"/>
          <w:color w:val="000000" w:themeColor="text1"/>
        </w:rPr>
        <w:t xml:space="preserve"> et al., 2009). This helps to ensure confidentiality and privacy across datasets, which is an essential part of our plan. </w:t>
      </w:r>
    </w:p>
    <w:p w14:paraId="1F26496A" w14:textId="7CB26758" w:rsidR="00D364A8" w:rsidRPr="0072532A" w:rsidRDefault="00D364A8" w:rsidP="00D364A8">
      <w:pPr>
        <w:pStyle w:val="Heading1"/>
        <w:rPr>
          <w:rFonts w:asciiTheme="minorHAnsi" w:hAnsiTheme="minorHAnsi" w:cstheme="minorHAnsi"/>
          <w:color w:val="000000" w:themeColor="text1"/>
          <w:sz w:val="24"/>
          <w:szCs w:val="24"/>
        </w:rPr>
      </w:pPr>
      <w:r w:rsidRPr="0072532A">
        <w:rPr>
          <w:rFonts w:asciiTheme="minorHAnsi" w:hAnsiTheme="minorHAnsi" w:cstheme="minorHAnsi"/>
          <w:color w:val="000000" w:themeColor="text1"/>
          <w:sz w:val="24"/>
          <w:szCs w:val="24"/>
        </w:rPr>
        <w:t>Data Security Measures and Protocols</w:t>
      </w:r>
    </w:p>
    <w:p w14:paraId="1ADB36B6" w14:textId="4643E738" w:rsidR="00D364A8" w:rsidRPr="0072532A" w:rsidRDefault="00D364A8" w:rsidP="00D364A8">
      <w:pPr>
        <w:pStyle w:val="Heading2"/>
        <w:rPr>
          <w:rFonts w:asciiTheme="minorHAnsi" w:hAnsiTheme="minorHAnsi" w:cstheme="minorHAnsi"/>
          <w:color w:val="000000" w:themeColor="text1"/>
          <w:sz w:val="24"/>
          <w:szCs w:val="24"/>
        </w:rPr>
      </w:pPr>
      <w:r w:rsidRPr="0072532A">
        <w:rPr>
          <w:rFonts w:asciiTheme="minorHAnsi" w:hAnsiTheme="minorHAnsi" w:cstheme="minorHAnsi"/>
          <w:color w:val="000000" w:themeColor="text1"/>
          <w:sz w:val="24"/>
          <w:szCs w:val="24"/>
        </w:rPr>
        <w:t>Data Security Framework</w:t>
      </w:r>
    </w:p>
    <w:p w14:paraId="01B31701" w14:textId="5CC2C20F" w:rsidR="00046BB6" w:rsidRPr="0072532A" w:rsidRDefault="00CB2EF6" w:rsidP="00046BB6">
      <w:pPr>
        <w:ind w:left="720"/>
        <w:rPr>
          <w:rFonts w:cstheme="minorHAnsi"/>
          <w:color w:val="000000" w:themeColor="text1"/>
        </w:rPr>
      </w:pPr>
      <w:r>
        <w:rPr>
          <w:rFonts w:cstheme="minorHAnsi"/>
          <w:color w:val="000000" w:themeColor="text1"/>
        </w:rPr>
        <w:t xml:space="preserve">Our data security framework will include numerous strategies to protect our data from breaches. This includes the use of encryption, both locally and in the cloud, </w:t>
      </w:r>
      <w:r w:rsidR="00347D1E">
        <w:rPr>
          <w:rFonts w:cstheme="minorHAnsi"/>
          <w:color w:val="000000" w:themeColor="text1"/>
        </w:rPr>
        <w:t>regular vulnerability assessments, and intrusion detection systems (</w:t>
      </w:r>
      <w:proofErr w:type="spellStart"/>
      <w:r w:rsidR="00C41CDD">
        <w:rPr>
          <w:rFonts w:cstheme="minorHAnsi"/>
          <w:color w:val="000000" w:themeColor="text1"/>
        </w:rPr>
        <w:t>SecureAge</w:t>
      </w:r>
      <w:proofErr w:type="spellEnd"/>
      <w:r w:rsidR="00C41CDD">
        <w:rPr>
          <w:rFonts w:cstheme="minorHAnsi"/>
          <w:color w:val="000000" w:themeColor="text1"/>
        </w:rPr>
        <w:t>, 2020</w:t>
      </w:r>
      <w:r w:rsidR="00347D1E">
        <w:rPr>
          <w:rFonts w:cstheme="minorHAnsi"/>
          <w:color w:val="000000" w:themeColor="text1"/>
        </w:rPr>
        <w:t>). This framework will also be aligned with the National Institute of Standards and Technology (NIST) guidelines and our first line of defense against the evolving landscape of cybersecurity threats (</w:t>
      </w:r>
      <w:r w:rsidR="00C41CDD">
        <w:rPr>
          <w:rFonts w:cstheme="minorHAnsi"/>
          <w:color w:val="000000" w:themeColor="text1"/>
        </w:rPr>
        <w:t>NIST, 2018</w:t>
      </w:r>
      <w:r w:rsidR="00347D1E">
        <w:rPr>
          <w:rFonts w:cstheme="minorHAnsi"/>
          <w:color w:val="000000" w:themeColor="text1"/>
        </w:rPr>
        <w:t xml:space="preserve">). By proactively safeguarding our data assets, we mitigate the risk of data breaches and ensure the confidentiality and integrity of patient information. </w:t>
      </w:r>
    </w:p>
    <w:p w14:paraId="66CE975E" w14:textId="73EF0E83" w:rsidR="00D364A8" w:rsidRDefault="00D364A8" w:rsidP="00D364A8">
      <w:pPr>
        <w:pStyle w:val="Heading2"/>
        <w:rPr>
          <w:rFonts w:asciiTheme="minorHAnsi" w:hAnsiTheme="minorHAnsi" w:cstheme="minorHAnsi"/>
          <w:color w:val="000000" w:themeColor="text1"/>
          <w:sz w:val="24"/>
          <w:szCs w:val="24"/>
        </w:rPr>
      </w:pPr>
      <w:r w:rsidRPr="0072532A">
        <w:rPr>
          <w:rFonts w:asciiTheme="minorHAnsi" w:hAnsiTheme="minorHAnsi" w:cstheme="minorHAnsi"/>
          <w:color w:val="000000" w:themeColor="text1"/>
          <w:sz w:val="24"/>
          <w:szCs w:val="24"/>
        </w:rPr>
        <w:lastRenderedPageBreak/>
        <w:t>Data Backup and Recovery</w:t>
      </w:r>
    </w:p>
    <w:p w14:paraId="76F568C7" w14:textId="75D01B2F" w:rsidR="00BC7CFC" w:rsidRDefault="00BC7CFC" w:rsidP="0072532A">
      <w:pPr>
        <w:ind w:left="720"/>
        <w:rPr>
          <w:rFonts w:cstheme="minorHAnsi"/>
          <w:color w:val="000000" w:themeColor="text1"/>
        </w:rPr>
      </w:pPr>
      <w:r>
        <w:rPr>
          <w:rFonts w:cstheme="minorHAnsi"/>
          <w:color w:val="000000" w:themeColor="text1"/>
        </w:rPr>
        <w:t>Data loss can have dire consequences in the healthcare sector by impacting both patient care and business continuity. For this reason, we will establish automated, regular data backup and disaster recovery plans. These plans will work to minimize data loss in the event of a system failure or breach. In addition to this, we will include encryption on all data sent to the cloud, as well as authentication parameters when accessing or deleting information from cloud storage (</w:t>
      </w:r>
      <w:proofErr w:type="spellStart"/>
      <w:r w:rsidR="00CB0FC5">
        <w:rPr>
          <w:rFonts w:cstheme="minorHAnsi"/>
          <w:color w:val="000000" w:themeColor="text1"/>
        </w:rPr>
        <w:t>Sood</w:t>
      </w:r>
      <w:proofErr w:type="spellEnd"/>
      <w:r w:rsidR="00CB0FC5">
        <w:rPr>
          <w:rFonts w:cstheme="minorHAnsi"/>
          <w:color w:val="000000" w:themeColor="text1"/>
        </w:rPr>
        <w:t>, 2012</w:t>
      </w:r>
      <w:r>
        <w:rPr>
          <w:rFonts w:cstheme="minorHAnsi"/>
          <w:color w:val="000000" w:themeColor="text1"/>
        </w:rPr>
        <w:t xml:space="preserve">). </w:t>
      </w:r>
    </w:p>
    <w:p w14:paraId="65144F0B" w14:textId="229C43AE" w:rsidR="0072532A" w:rsidRDefault="0072532A" w:rsidP="0072532A">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Internet of Medical Things (IoMT)</w:t>
      </w:r>
    </w:p>
    <w:p w14:paraId="56AD3ACA" w14:textId="2A21CCBA" w:rsidR="002E70D5" w:rsidRPr="002E70D5" w:rsidRDefault="00B02537" w:rsidP="002E70D5">
      <w:pPr>
        <w:ind w:left="720"/>
      </w:pPr>
      <w:r>
        <w:t>Another aspect of data security that must be considered is the security and privacy of the Internet of Medical Things (IoMT). The use of these devices is becoming increasingly common in the healthcare setting and includes things such as personal devices used to access, deliver, and process medical data, and body sensors for remote monitoring. Although these devices have the potential to increase efficiency and patient safety, their protection methods must be considered. We will incorporate three main types of security to ensure their protection: device security, connectivity security, and cloud security (</w:t>
      </w:r>
      <w:proofErr w:type="spellStart"/>
      <w:r>
        <w:t>Hatzivasilis</w:t>
      </w:r>
      <w:proofErr w:type="spellEnd"/>
      <w:r>
        <w:t xml:space="preserve"> et al., 2019). In addition to our data privacy policy, this security should ensure the privacy and protection of IoMT patient data. </w:t>
      </w:r>
    </w:p>
    <w:p w14:paraId="1E91D448" w14:textId="6D6AA20B" w:rsidR="00D364A8" w:rsidRPr="0072532A" w:rsidRDefault="00D364A8" w:rsidP="00D364A8">
      <w:pPr>
        <w:pStyle w:val="Heading2"/>
        <w:rPr>
          <w:rFonts w:asciiTheme="minorHAnsi" w:hAnsiTheme="minorHAnsi" w:cstheme="minorHAnsi"/>
          <w:color w:val="000000" w:themeColor="text1"/>
          <w:sz w:val="24"/>
          <w:szCs w:val="24"/>
        </w:rPr>
      </w:pPr>
      <w:r w:rsidRPr="0072532A">
        <w:rPr>
          <w:rFonts w:asciiTheme="minorHAnsi" w:hAnsiTheme="minorHAnsi" w:cstheme="minorHAnsi"/>
          <w:color w:val="000000" w:themeColor="text1"/>
          <w:sz w:val="24"/>
          <w:szCs w:val="24"/>
        </w:rPr>
        <w:t>Incident Response Plan</w:t>
      </w:r>
    </w:p>
    <w:p w14:paraId="0D699080" w14:textId="1EA3CAA9" w:rsidR="00046BB6" w:rsidRPr="00513B5F" w:rsidRDefault="00090EFF" w:rsidP="00046BB6">
      <w:pPr>
        <w:ind w:left="720"/>
        <w:rPr>
          <w:rFonts w:cstheme="minorHAnsi"/>
          <w:color w:val="000000" w:themeColor="text1"/>
        </w:rPr>
      </w:pPr>
      <w:r>
        <w:rPr>
          <w:rFonts w:cstheme="minorHAnsi"/>
          <w:color w:val="000000" w:themeColor="text1"/>
        </w:rPr>
        <w:t xml:space="preserve">Despite our best efforts, no organization is immune to data breaches. To address this, we will develop and regularly update an incident response plan. This plan will outline the precise steps to be taken in the event of a data breach, which will ensure a swift and effective response. </w:t>
      </w:r>
      <w:r w:rsidR="009C35B4">
        <w:rPr>
          <w:rFonts w:cstheme="minorHAnsi"/>
          <w:color w:val="000000" w:themeColor="text1"/>
        </w:rPr>
        <w:t xml:space="preserve">A fast and efficient response to a data breach is crucial, as slow responses could result in both reputational damages and legal fines (Khan et al., 2021). </w:t>
      </w:r>
      <w:r w:rsidR="00513B5F">
        <w:rPr>
          <w:rFonts w:cstheme="minorHAnsi"/>
          <w:color w:val="000000" w:themeColor="text1"/>
        </w:rPr>
        <w:t xml:space="preserve">Our response strategy is especially pertinent when it comes to reputation, as research has shown that not only do data breaches lead to disappointed customers and investors, but they can also result in decreased market values and cause billions of dollars in stock losses (Gordon et al., 2011). Our response plan will be based on the Federal Trade Commission’s </w:t>
      </w:r>
      <w:r w:rsidR="00513B5F">
        <w:rPr>
          <w:rFonts w:cstheme="minorHAnsi"/>
          <w:i/>
          <w:iCs/>
          <w:color w:val="000000" w:themeColor="text1"/>
        </w:rPr>
        <w:t>Data Breach Response: A Guide for Business</w:t>
      </w:r>
      <w:r w:rsidR="00513B5F">
        <w:rPr>
          <w:rFonts w:cstheme="minorHAnsi"/>
          <w:color w:val="000000" w:themeColor="text1"/>
        </w:rPr>
        <w:t xml:space="preserve"> </w:t>
      </w:r>
      <w:r w:rsidR="00257DBE">
        <w:rPr>
          <w:rFonts w:cstheme="minorHAnsi"/>
          <w:color w:val="000000" w:themeColor="text1"/>
        </w:rPr>
        <w:t>report and</w:t>
      </w:r>
      <w:r w:rsidR="00513B5F">
        <w:rPr>
          <w:rFonts w:cstheme="minorHAnsi"/>
          <w:color w:val="000000" w:themeColor="text1"/>
        </w:rPr>
        <w:t xml:space="preserve"> include response strategies such as quickly securing systems to prevent additional data losses, consulting a legal team, and notifying the appropriate parties to align with federal regulations (</w:t>
      </w:r>
      <w:r w:rsidR="00513B5F">
        <w:rPr>
          <w:rFonts w:cstheme="minorHAnsi"/>
          <w:i/>
          <w:iCs/>
          <w:color w:val="000000" w:themeColor="text1"/>
        </w:rPr>
        <w:t>Federal Trade Commission</w:t>
      </w:r>
      <w:r w:rsidR="00513B5F">
        <w:rPr>
          <w:rFonts w:cstheme="minorHAnsi"/>
          <w:color w:val="000000" w:themeColor="text1"/>
        </w:rPr>
        <w:t xml:space="preserve">, 2023). </w:t>
      </w:r>
    </w:p>
    <w:p w14:paraId="5B898D8B" w14:textId="63DA6F45" w:rsidR="00D364A8" w:rsidRPr="0072532A" w:rsidRDefault="00D364A8" w:rsidP="00D364A8">
      <w:pPr>
        <w:pStyle w:val="Heading1"/>
        <w:rPr>
          <w:rFonts w:asciiTheme="minorHAnsi" w:hAnsiTheme="minorHAnsi" w:cstheme="minorHAnsi"/>
          <w:color w:val="000000" w:themeColor="text1"/>
          <w:sz w:val="24"/>
          <w:szCs w:val="24"/>
        </w:rPr>
      </w:pPr>
      <w:r w:rsidRPr="0072532A">
        <w:rPr>
          <w:rFonts w:asciiTheme="minorHAnsi" w:hAnsiTheme="minorHAnsi" w:cstheme="minorHAnsi"/>
          <w:color w:val="000000" w:themeColor="text1"/>
          <w:sz w:val="24"/>
          <w:szCs w:val="24"/>
        </w:rPr>
        <w:t>Data Access, Usage, and Sharing Mechanisms</w:t>
      </w:r>
    </w:p>
    <w:p w14:paraId="470800F6" w14:textId="614503A8" w:rsidR="00D364A8" w:rsidRPr="0072532A" w:rsidRDefault="00D364A8" w:rsidP="00D364A8">
      <w:pPr>
        <w:pStyle w:val="Heading2"/>
        <w:rPr>
          <w:rFonts w:asciiTheme="minorHAnsi" w:hAnsiTheme="minorHAnsi" w:cstheme="minorHAnsi"/>
          <w:color w:val="000000" w:themeColor="text1"/>
          <w:sz w:val="24"/>
          <w:szCs w:val="24"/>
        </w:rPr>
      </w:pPr>
      <w:r w:rsidRPr="0072532A">
        <w:rPr>
          <w:rFonts w:asciiTheme="minorHAnsi" w:hAnsiTheme="minorHAnsi" w:cstheme="minorHAnsi"/>
          <w:color w:val="000000" w:themeColor="text1"/>
          <w:sz w:val="24"/>
          <w:szCs w:val="24"/>
        </w:rPr>
        <w:t>Access Controls</w:t>
      </w:r>
    </w:p>
    <w:p w14:paraId="4E7B58DA" w14:textId="09DD4CD7" w:rsidR="00CA6560" w:rsidRPr="0072532A" w:rsidRDefault="0072532A" w:rsidP="00CA6560">
      <w:pPr>
        <w:ind w:left="720"/>
        <w:rPr>
          <w:rFonts w:cstheme="minorHAnsi"/>
          <w:color w:val="000000" w:themeColor="text1"/>
        </w:rPr>
      </w:pPr>
      <w:r w:rsidRPr="0072532A">
        <w:rPr>
          <w:rFonts w:cstheme="minorHAnsi"/>
          <w:color w:val="000000" w:themeColor="text1"/>
        </w:rPr>
        <w:t xml:space="preserve">We will create a formalized process for requesting access to </w:t>
      </w:r>
      <w:proofErr w:type="gramStart"/>
      <w:r w:rsidRPr="0072532A">
        <w:rPr>
          <w:rFonts w:cstheme="minorHAnsi"/>
          <w:color w:val="000000" w:themeColor="text1"/>
        </w:rPr>
        <w:t>data, and</w:t>
      </w:r>
      <w:proofErr w:type="gramEnd"/>
      <w:r w:rsidRPr="0072532A">
        <w:rPr>
          <w:rFonts w:cstheme="minorHAnsi"/>
          <w:color w:val="000000" w:themeColor="text1"/>
        </w:rPr>
        <w:t xml:space="preserve"> enhance access controls through role-based access management (RBAC) to ensure that only authorized personnel can access specific datasets (Zhu et al., 2015). In addition to this, we will also implement multi-factor authentication (MFA) for access to personal and sensitive systems (</w:t>
      </w:r>
      <w:proofErr w:type="spellStart"/>
      <w:r w:rsidR="000B0605">
        <w:rPr>
          <w:rFonts w:cstheme="minorHAnsi"/>
          <w:color w:val="000000" w:themeColor="text1"/>
        </w:rPr>
        <w:t>Banyal</w:t>
      </w:r>
      <w:proofErr w:type="spellEnd"/>
      <w:r w:rsidR="000B0605">
        <w:rPr>
          <w:rFonts w:cstheme="minorHAnsi"/>
          <w:color w:val="000000" w:themeColor="text1"/>
        </w:rPr>
        <w:t xml:space="preserve"> et al., 2013</w:t>
      </w:r>
      <w:r w:rsidRPr="0072532A">
        <w:rPr>
          <w:rFonts w:cstheme="minorHAnsi"/>
          <w:color w:val="000000" w:themeColor="text1"/>
        </w:rPr>
        <w:t xml:space="preserve">). </w:t>
      </w:r>
    </w:p>
    <w:p w14:paraId="1919B3B0" w14:textId="7F705A0E" w:rsidR="00D364A8" w:rsidRPr="0072532A" w:rsidRDefault="00D364A8" w:rsidP="00D364A8">
      <w:pPr>
        <w:pStyle w:val="Heading2"/>
        <w:rPr>
          <w:rFonts w:asciiTheme="minorHAnsi" w:hAnsiTheme="minorHAnsi" w:cstheme="minorHAnsi"/>
          <w:color w:val="000000" w:themeColor="text1"/>
          <w:sz w:val="24"/>
          <w:szCs w:val="24"/>
        </w:rPr>
      </w:pPr>
      <w:r w:rsidRPr="0072532A">
        <w:rPr>
          <w:rFonts w:asciiTheme="minorHAnsi" w:hAnsiTheme="minorHAnsi" w:cstheme="minorHAnsi"/>
          <w:color w:val="000000" w:themeColor="text1"/>
          <w:sz w:val="24"/>
          <w:szCs w:val="24"/>
        </w:rPr>
        <w:t>Data Usage Policies</w:t>
      </w:r>
    </w:p>
    <w:p w14:paraId="71B797E8" w14:textId="0995F2A8" w:rsidR="00171693" w:rsidRPr="0072532A" w:rsidRDefault="00171693" w:rsidP="00171693">
      <w:pPr>
        <w:ind w:left="720"/>
        <w:rPr>
          <w:rFonts w:cstheme="minorHAnsi"/>
          <w:color w:val="000000" w:themeColor="text1"/>
        </w:rPr>
      </w:pPr>
      <w:r w:rsidRPr="0072532A">
        <w:rPr>
          <w:rFonts w:cstheme="minorHAnsi"/>
          <w:color w:val="000000" w:themeColor="text1"/>
        </w:rPr>
        <w:t xml:space="preserve">An Acceptable Data Use policy will be defined and implemented, which </w:t>
      </w:r>
      <w:r w:rsidR="00046BB6" w:rsidRPr="0072532A">
        <w:rPr>
          <w:rFonts w:cstheme="minorHAnsi"/>
          <w:color w:val="000000" w:themeColor="text1"/>
        </w:rPr>
        <w:t xml:space="preserve">defines the intended purposes for which data can be used. Furthermore, data usage will be </w:t>
      </w:r>
      <w:r w:rsidR="00046BB6" w:rsidRPr="0072532A">
        <w:rPr>
          <w:rFonts w:cstheme="minorHAnsi"/>
          <w:color w:val="000000" w:themeColor="text1"/>
        </w:rPr>
        <w:lastRenderedPageBreak/>
        <w:t>monitored and audited to detect any unauthorized or suspicious activities (</w:t>
      </w:r>
      <w:proofErr w:type="spellStart"/>
      <w:r w:rsidR="00046BB6" w:rsidRPr="0072532A">
        <w:rPr>
          <w:rFonts w:cstheme="minorHAnsi"/>
          <w:color w:val="000000" w:themeColor="text1"/>
        </w:rPr>
        <w:t>Hosseinzadeh</w:t>
      </w:r>
      <w:proofErr w:type="spellEnd"/>
      <w:r w:rsidR="00046BB6" w:rsidRPr="0072532A">
        <w:rPr>
          <w:rFonts w:cstheme="minorHAnsi"/>
          <w:color w:val="000000" w:themeColor="text1"/>
        </w:rPr>
        <w:t xml:space="preserve"> et al., 2020).</w:t>
      </w:r>
    </w:p>
    <w:p w14:paraId="5C9DA21F" w14:textId="790AF760" w:rsidR="00E37086" w:rsidRPr="0072532A" w:rsidRDefault="00D364A8" w:rsidP="00E37086">
      <w:pPr>
        <w:pStyle w:val="Heading2"/>
        <w:rPr>
          <w:rFonts w:asciiTheme="minorHAnsi" w:hAnsiTheme="minorHAnsi" w:cstheme="minorHAnsi"/>
          <w:color w:val="000000" w:themeColor="text1"/>
          <w:sz w:val="24"/>
          <w:szCs w:val="24"/>
        </w:rPr>
      </w:pPr>
      <w:r w:rsidRPr="0072532A">
        <w:rPr>
          <w:rFonts w:asciiTheme="minorHAnsi" w:hAnsiTheme="minorHAnsi" w:cstheme="minorHAnsi"/>
          <w:color w:val="000000" w:themeColor="text1"/>
          <w:sz w:val="24"/>
          <w:szCs w:val="24"/>
        </w:rPr>
        <w:t>Secure Data Sharing</w:t>
      </w:r>
    </w:p>
    <w:p w14:paraId="5E00C07C" w14:textId="6F152335" w:rsidR="00046BB6" w:rsidRPr="0072532A" w:rsidRDefault="00046BB6" w:rsidP="00046BB6">
      <w:pPr>
        <w:ind w:left="720"/>
        <w:rPr>
          <w:rFonts w:cstheme="minorHAnsi"/>
          <w:color w:val="000000" w:themeColor="text1"/>
        </w:rPr>
      </w:pPr>
      <w:r w:rsidRPr="0072532A">
        <w:rPr>
          <w:rFonts w:cstheme="minorHAnsi"/>
          <w:color w:val="000000" w:themeColor="text1"/>
        </w:rPr>
        <w:t xml:space="preserve">Secure data-sharing mechanisms will be established, ensuring that all data shared with external partners, vendors, and research institutions is completed in compliance with data privacy regulations. This includes the implementation of data anonymization techniques, where necessary </w:t>
      </w:r>
      <w:r w:rsidR="005F72AA" w:rsidRPr="0072532A">
        <w:rPr>
          <w:rFonts w:cstheme="minorHAnsi"/>
          <w:color w:val="000000" w:themeColor="text1"/>
        </w:rPr>
        <w:t>(National Science and Technology Council, 2023</w:t>
      </w:r>
      <w:r w:rsidRPr="0072532A">
        <w:rPr>
          <w:rFonts w:cstheme="minorHAnsi"/>
          <w:color w:val="000000" w:themeColor="text1"/>
        </w:rPr>
        <w:t xml:space="preserve">). </w:t>
      </w:r>
    </w:p>
    <w:p w14:paraId="01E515A1" w14:textId="7864BB09" w:rsidR="00D364A8" w:rsidRPr="0072532A" w:rsidRDefault="00D364A8" w:rsidP="00D364A8">
      <w:pPr>
        <w:pStyle w:val="Heading2"/>
        <w:rPr>
          <w:rFonts w:asciiTheme="minorHAnsi" w:hAnsiTheme="minorHAnsi" w:cstheme="minorHAnsi"/>
          <w:color w:val="000000" w:themeColor="text1"/>
          <w:sz w:val="24"/>
          <w:szCs w:val="24"/>
        </w:rPr>
      </w:pPr>
      <w:r w:rsidRPr="0072532A">
        <w:rPr>
          <w:rFonts w:asciiTheme="minorHAnsi" w:hAnsiTheme="minorHAnsi" w:cstheme="minorHAnsi"/>
          <w:color w:val="000000" w:themeColor="text1"/>
          <w:sz w:val="24"/>
          <w:szCs w:val="24"/>
        </w:rPr>
        <w:t>Employee Training</w:t>
      </w:r>
    </w:p>
    <w:p w14:paraId="62618D2C" w14:textId="586FA59E" w:rsidR="00171693" w:rsidRPr="0072532A" w:rsidRDefault="00171693" w:rsidP="00171693">
      <w:pPr>
        <w:ind w:left="720"/>
        <w:rPr>
          <w:rFonts w:cstheme="minorHAnsi"/>
          <w:color w:val="000000" w:themeColor="text1"/>
        </w:rPr>
      </w:pPr>
      <w:r w:rsidRPr="0072532A">
        <w:rPr>
          <w:rFonts w:cstheme="minorHAnsi"/>
          <w:color w:val="000000" w:themeColor="text1"/>
        </w:rPr>
        <w:t xml:space="preserve">Training will be provided to new employees within the first week of starting the position and current employees on a yearly basis. This training will cover the company’s Acceptable Use Policy (AUP) as well as other privacy rules such as HIPAA, and how to report a data breach. </w:t>
      </w:r>
      <w:r w:rsidR="00E43DC1" w:rsidRPr="0072532A">
        <w:rPr>
          <w:rFonts w:cstheme="minorHAnsi"/>
          <w:color w:val="000000" w:themeColor="text1"/>
        </w:rPr>
        <w:t>This training will be interactive and include discussion, to ensure that employees are engaged and understand objectives and policies</w:t>
      </w:r>
      <w:r w:rsidR="00D97901" w:rsidRPr="0072532A">
        <w:rPr>
          <w:rFonts w:cstheme="minorHAnsi"/>
          <w:color w:val="000000" w:themeColor="text1"/>
        </w:rPr>
        <w:t xml:space="preserve"> (National Forum on Education Statistics, 2020)</w:t>
      </w:r>
      <w:r w:rsidR="00E43DC1" w:rsidRPr="0072532A">
        <w:rPr>
          <w:rFonts w:cstheme="minorHAnsi"/>
          <w:color w:val="000000" w:themeColor="text1"/>
        </w:rPr>
        <w:t xml:space="preserve">. </w:t>
      </w:r>
      <w:r w:rsidR="00800F71">
        <w:rPr>
          <w:rFonts w:cstheme="minorHAnsi"/>
          <w:color w:val="000000" w:themeColor="text1"/>
        </w:rPr>
        <w:t xml:space="preserve">It’s crucial to ensure that employees have a solid understanding of data privacy laws and consequences, as research suggests that 80% of data leaks are due to staff (Gregory, 2011). </w:t>
      </w:r>
    </w:p>
    <w:p w14:paraId="4C7B7E1B" w14:textId="4E69F7A6" w:rsidR="00D364A8" w:rsidRPr="0072532A" w:rsidRDefault="00D364A8" w:rsidP="00D364A8">
      <w:pPr>
        <w:pStyle w:val="Heading1"/>
        <w:rPr>
          <w:rFonts w:asciiTheme="minorHAnsi" w:hAnsiTheme="minorHAnsi" w:cstheme="minorHAnsi"/>
          <w:color w:val="000000" w:themeColor="text1"/>
          <w:sz w:val="24"/>
          <w:szCs w:val="24"/>
        </w:rPr>
      </w:pPr>
      <w:r w:rsidRPr="0072532A">
        <w:rPr>
          <w:rFonts w:asciiTheme="minorHAnsi" w:hAnsiTheme="minorHAnsi" w:cstheme="minorHAnsi"/>
          <w:color w:val="000000" w:themeColor="text1"/>
          <w:sz w:val="24"/>
          <w:szCs w:val="24"/>
        </w:rPr>
        <w:t>Conclusion</w:t>
      </w:r>
    </w:p>
    <w:p w14:paraId="38A1A9A1" w14:textId="7E2E7B6D" w:rsidR="00D364A8" w:rsidRDefault="00CB27B9" w:rsidP="00D364A8">
      <w:pPr>
        <w:rPr>
          <w:rFonts w:cstheme="minorHAnsi"/>
          <w:color w:val="000000" w:themeColor="text1"/>
        </w:rPr>
      </w:pPr>
      <w:r>
        <w:rPr>
          <w:rFonts w:cstheme="minorHAnsi"/>
          <w:color w:val="000000" w:themeColor="text1"/>
        </w:rPr>
        <w:t xml:space="preserve">In conclusion, the strategic plan presented in this document for enhancing data governance and security at </w:t>
      </w:r>
      <w:proofErr w:type="spellStart"/>
      <w:r>
        <w:rPr>
          <w:rFonts w:cstheme="minorHAnsi"/>
          <w:color w:val="000000" w:themeColor="text1"/>
        </w:rPr>
        <w:t>MaineHealth</w:t>
      </w:r>
      <w:proofErr w:type="spellEnd"/>
      <w:r>
        <w:rPr>
          <w:rFonts w:cstheme="minorHAnsi"/>
          <w:color w:val="000000" w:themeColor="text1"/>
        </w:rPr>
        <w:t xml:space="preserve"> underscores our commitment to safeguarding patient data and ensuring its quality, all while adhering to regulatory requirements. Our collaborative approach involving key stakeholders through the creation of a Data Governance Committee allows for a shared responsibility in data stewardship. Furthermore, our comprehensive data governance policies and data security framework reinforce our dedication to patient privacy and security against evolving cyber threats. </w:t>
      </w:r>
      <w:r w:rsidR="00FE1512">
        <w:rPr>
          <w:rFonts w:cstheme="minorHAnsi"/>
          <w:color w:val="000000" w:themeColor="text1"/>
        </w:rPr>
        <w:t xml:space="preserve">Ultimately, </w:t>
      </w:r>
      <w:proofErr w:type="spellStart"/>
      <w:r w:rsidR="00FE1512">
        <w:rPr>
          <w:rFonts w:cstheme="minorHAnsi"/>
          <w:color w:val="000000" w:themeColor="text1"/>
        </w:rPr>
        <w:t>MaineHealth</w:t>
      </w:r>
      <w:proofErr w:type="spellEnd"/>
      <w:r w:rsidR="00FE1512">
        <w:rPr>
          <w:rFonts w:cstheme="minorHAnsi"/>
          <w:color w:val="000000" w:themeColor="text1"/>
        </w:rPr>
        <w:t xml:space="preserve"> remains committed to an ongoing and adaptive process, ensuring the security and ethical handling of data to serve our patients and communities effectively. </w:t>
      </w:r>
    </w:p>
    <w:p w14:paraId="78382D97" w14:textId="77777777" w:rsidR="00B02537" w:rsidRPr="0072532A" w:rsidRDefault="00B02537" w:rsidP="00D364A8">
      <w:pPr>
        <w:rPr>
          <w:rFonts w:cstheme="minorHAnsi"/>
          <w:color w:val="000000" w:themeColor="text1"/>
        </w:rPr>
      </w:pPr>
    </w:p>
    <w:p w14:paraId="1C5C239D" w14:textId="4C167537" w:rsidR="000A773B" w:rsidRPr="0072532A" w:rsidRDefault="00D364A8" w:rsidP="00D364A8">
      <w:pPr>
        <w:rPr>
          <w:rFonts w:cstheme="minorHAnsi"/>
          <w:color w:val="000000" w:themeColor="text1"/>
        </w:rPr>
      </w:pPr>
      <w:r w:rsidRPr="0072532A">
        <w:rPr>
          <w:rFonts w:cstheme="minorHAnsi"/>
          <w:color w:val="000000" w:themeColor="text1"/>
        </w:rPr>
        <w:t>References</w:t>
      </w:r>
      <w:r w:rsidR="008D0EE4" w:rsidRPr="0072532A">
        <w:rPr>
          <w:rFonts w:cstheme="minorHAnsi"/>
          <w:color w:val="000000" w:themeColor="text1"/>
        </w:rPr>
        <w:t xml:space="preserve">: </w:t>
      </w:r>
    </w:p>
    <w:p w14:paraId="6181903A" w14:textId="0AB0025F" w:rsidR="00F7480D" w:rsidRPr="00F7480D" w:rsidRDefault="00F7480D" w:rsidP="00F7480D">
      <w:pPr>
        <w:ind w:left="720" w:hanging="720"/>
        <w:rPr>
          <w:rFonts w:cstheme="minorHAnsi"/>
          <w:color w:val="000000" w:themeColor="text1"/>
        </w:rPr>
      </w:pPr>
      <w:proofErr w:type="spellStart"/>
      <w:r w:rsidRPr="00F7480D">
        <w:rPr>
          <w:rFonts w:cstheme="minorHAnsi"/>
          <w:color w:val="000000" w:themeColor="text1"/>
        </w:rPr>
        <w:t>Abouelmehdi</w:t>
      </w:r>
      <w:proofErr w:type="spellEnd"/>
      <w:r w:rsidRPr="00F7480D">
        <w:rPr>
          <w:rFonts w:cstheme="minorHAnsi"/>
          <w:color w:val="000000" w:themeColor="text1"/>
        </w:rPr>
        <w:t>, K., Beni-</w:t>
      </w:r>
      <w:proofErr w:type="spellStart"/>
      <w:r w:rsidRPr="00F7480D">
        <w:rPr>
          <w:rFonts w:cstheme="minorHAnsi"/>
          <w:color w:val="000000" w:themeColor="text1"/>
        </w:rPr>
        <w:t>Hssane</w:t>
      </w:r>
      <w:proofErr w:type="spellEnd"/>
      <w:r w:rsidRPr="00F7480D">
        <w:rPr>
          <w:rFonts w:cstheme="minorHAnsi"/>
          <w:color w:val="000000" w:themeColor="text1"/>
        </w:rPr>
        <w:t xml:space="preserve">, A., </w:t>
      </w:r>
      <w:proofErr w:type="spellStart"/>
      <w:r w:rsidRPr="00F7480D">
        <w:rPr>
          <w:rFonts w:cstheme="minorHAnsi"/>
          <w:color w:val="000000" w:themeColor="text1"/>
        </w:rPr>
        <w:t>Khaloufi</w:t>
      </w:r>
      <w:proofErr w:type="spellEnd"/>
      <w:r w:rsidRPr="00F7480D">
        <w:rPr>
          <w:rFonts w:cstheme="minorHAnsi"/>
          <w:color w:val="000000" w:themeColor="text1"/>
        </w:rPr>
        <w:t xml:space="preserve">, H., &amp; </w:t>
      </w:r>
      <w:proofErr w:type="spellStart"/>
      <w:r w:rsidRPr="00F7480D">
        <w:rPr>
          <w:rFonts w:cstheme="minorHAnsi"/>
          <w:color w:val="000000" w:themeColor="text1"/>
        </w:rPr>
        <w:t>Saadi</w:t>
      </w:r>
      <w:proofErr w:type="spellEnd"/>
      <w:r w:rsidRPr="00F7480D">
        <w:rPr>
          <w:rFonts w:cstheme="minorHAnsi"/>
          <w:color w:val="000000" w:themeColor="text1"/>
        </w:rPr>
        <w:t xml:space="preserve">, M. (2017). Big Data Security and privacy in Healthcare: A Review. </w:t>
      </w:r>
      <w:r w:rsidRPr="00F7480D">
        <w:rPr>
          <w:rFonts w:cstheme="minorHAnsi"/>
          <w:i/>
          <w:iCs/>
          <w:color w:val="000000" w:themeColor="text1"/>
        </w:rPr>
        <w:t>Procedia Computer Science</w:t>
      </w:r>
      <w:r w:rsidRPr="00F7480D">
        <w:rPr>
          <w:rFonts w:cstheme="minorHAnsi"/>
          <w:color w:val="000000" w:themeColor="text1"/>
        </w:rPr>
        <w:t xml:space="preserve">, </w:t>
      </w:r>
      <w:r w:rsidRPr="00F7480D">
        <w:rPr>
          <w:rFonts w:cstheme="minorHAnsi"/>
          <w:i/>
          <w:iCs/>
          <w:color w:val="000000" w:themeColor="text1"/>
        </w:rPr>
        <w:t>113</w:t>
      </w:r>
      <w:r w:rsidRPr="00F7480D">
        <w:rPr>
          <w:rFonts w:cstheme="minorHAnsi"/>
          <w:color w:val="000000" w:themeColor="text1"/>
        </w:rPr>
        <w:t>, 73–80.</w:t>
      </w:r>
      <w:r>
        <w:rPr>
          <w:rFonts w:cstheme="minorHAnsi"/>
          <w:color w:val="000000" w:themeColor="text1"/>
        </w:rPr>
        <w:t xml:space="preserve"> </w:t>
      </w:r>
      <w:r w:rsidRPr="00F7480D">
        <w:rPr>
          <w:rFonts w:cstheme="minorHAnsi"/>
          <w:color w:val="000000" w:themeColor="text1"/>
        </w:rPr>
        <w:t xml:space="preserve">https://doi.org/10.1016/j.procs.2017.08.292 </w:t>
      </w:r>
    </w:p>
    <w:p w14:paraId="4286FC07" w14:textId="77777777" w:rsidR="00F7480D" w:rsidRPr="00F7480D" w:rsidRDefault="00F7480D" w:rsidP="00F7480D">
      <w:pPr>
        <w:ind w:left="720" w:hanging="720"/>
        <w:rPr>
          <w:rFonts w:cstheme="minorHAnsi"/>
          <w:color w:val="000000" w:themeColor="text1"/>
        </w:rPr>
      </w:pPr>
      <w:r w:rsidRPr="00F7480D">
        <w:rPr>
          <w:rFonts w:cstheme="minorHAnsi"/>
          <w:color w:val="000000" w:themeColor="text1"/>
        </w:rPr>
        <w:t xml:space="preserve">Abraham, R., Schneider, J., &amp; </w:t>
      </w:r>
      <w:proofErr w:type="spellStart"/>
      <w:r w:rsidRPr="00F7480D">
        <w:rPr>
          <w:rFonts w:cstheme="minorHAnsi"/>
          <w:color w:val="000000" w:themeColor="text1"/>
        </w:rPr>
        <w:t>vom</w:t>
      </w:r>
      <w:proofErr w:type="spellEnd"/>
      <w:r w:rsidRPr="00F7480D">
        <w:rPr>
          <w:rFonts w:cstheme="minorHAnsi"/>
          <w:color w:val="000000" w:themeColor="text1"/>
        </w:rPr>
        <w:t xml:space="preserve"> </w:t>
      </w:r>
      <w:proofErr w:type="spellStart"/>
      <w:r w:rsidRPr="00F7480D">
        <w:rPr>
          <w:rFonts w:cstheme="minorHAnsi"/>
          <w:color w:val="000000" w:themeColor="text1"/>
        </w:rPr>
        <w:t>Brocke</w:t>
      </w:r>
      <w:proofErr w:type="spellEnd"/>
      <w:r w:rsidRPr="00F7480D">
        <w:rPr>
          <w:rFonts w:cstheme="minorHAnsi"/>
          <w:color w:val="000000" w:themeColor="text1"/>
        </w:rPr>
        <w:t xml:space="preserve">, J. (2019). Data governance: A conceptual framework, Structured Review, and research agenda. </w:t>
      </w:r>
      <w:r w:rsidRPr="00F7480D">
        <w:rPr>
          <w:rFonts w:cstheme="minorHAnsi"/>
          <w:i/>
          <w:iCs/>
          <w:color w:val="000000" w:themeColor="text1"/>
        </w:rPr>
        <w:t>International Journal of Information Management</w:t>
      </w:r>
      <w:r w:rsidRPr="00F7480D">
        <w:rPr>
          <w:rFonts w:cstheme="minorHAnsi"/>
          <w:color w:val="000000" w:themeColor="text1"/>
        </w:rPr>
        <w:t xml:space="preserve">, </w:t>
      </w:r>
      <w:r w:rsidRPr="00F7480D">
        <w:rPr>
          <w:rFonts w:cstheme="minorHAnsi"/>
          <w:i/>
          <w:iCs/>
          <w:color w:val="000000" w:themeColor="text1"/>
        </w:rPr>
        <w:t>49</w:t>
      </w:r>
      <w:r w:rsidRPr="00F7480D">
        <w:rPr>
          <w:rFonts w:cstheme="minorHAnsi"/>
          <w:color w:val="000000" w:themeColor="text1"/>
        </w:rPr>
        <w:t xml:space="preserve">, 424–438. https://doi.org/10.1016/j.ijinfomgt.2019.07.008 </w:t>
      </w:r>
    </w:p>
    <w:p w14:paraId="4F7F7527" w14:textId="77777777" w:rsidR="00F7480D" w:rsidRPr="00F7480D" w:rsidRDefault="00F7480D" w:rsidP="00F7480D">
      <w:pPr>
        <w:ind w:left="720" w:hanging="720"/>
        <w:rPr>
          <w:rFonts w:cstheme="minorHAnsi"/>
          <w:color w:val="000000" w:themeColor="text1"/>
        </w:rPr>
      </w:pPr>
      <w:proofErr w:type="spellStart"/>
      <w:r w:rsidRPr="00F7480D">
        <w:rPr>
          <w:rFonts w:cstheme="minorHAnsi"/>
          <w:color w:val="000000" w:themeColor="text1"/>
        </w:rPr>
        <w:t>Aldeen</w:t>
      </w:r>
      <w:proofErr w:type="spellEnd"/>
      <w:r w:rsidRPr="00F7480D">
        <w:rPr>
          <w:rFonts w:cstheme="minorHAnsi"/>
          <w:color w:val="000000" w:themeColor="text1"/>
        </w:rPr>
        <w:t xml:space="preserve">, Y. A., Salleh, M., &amp; Razzaque, M. A. (2015). A comprehensive review on Privacy Preserving Data Mining. </w:t>
      </w:r>
      <w:proofErr w:type="spellStart"/>
      <w:r w:rsidRPr="00F7480D">
        <w:rPr>
          <w:rFonts w:cstheme="minorHAnsi"/>
          <w:i/>
          <w:iCs/>
          <w:color w:val="000000" w:themeColor="text1"/>
        </w:rPr>
        <w:t>SpringerPlus</w:t>
      </w:r>
      <w:proofErr w:type="spellEnd"/>
      <w:r w:rsidRPr="00F7480D">
        <w:rPr>
          <w:rFonts w:cstheme="minorHAnsi"/>
          <w:color w:val="000000" w:themeColor="text1"/>
        </w:rPr>
        <w:t xml:space="preserve">, </w:t>
      </w:r>
      <w:r w:rsidRPr="00F7480D">
        <w:rPr>
          <w:rFonts w:cstheme="minorHAnsi"/>
          <w:i/>
          <w:iCs/>
          <w:color w:val="000000" w:themeColor="text1"/>
        </w:rPr>
        <w:t>4</w:t>
      </w:r>
      <w:r w:rsidRPr="00F7480D">
        <w:rPr>
          <w:rFonts w:cstheme="minorHAnsi"/>
          <w:color w:val="000000" w:themeColor="text1"/>
        </w:rPr>
        <w:t xml:space="preserve">(1), 1–36. https://doi.org/10.1186/s40064-015-1481-x </w:t>
      </w:r>
    </w:p>
    <w:p w14:paraId="67BE467C" w14:textId="77777777" w:rsidR="00F7480D" w:rsidRPr="00F7480D" w:rsidRDefault="00F7480D" w:rsidP="00F7480D">
      <w:pPr>
        <w:ind w:left="720" w:hanging="720"/>
        <w:rPr>
          <w:rFonts w:cstheme="minorHAnsi"/>
          <w:color w:val="000000" w:themeColor="text1"/>
        </w:rPr>
      </w:pPr>
      <w:r w:rsidRPr="00F7480D">
        <w:rPr>
          <w:rFonts w:cstheme="minorHAnsi"/>
          <w:color w:val="000000" w:themeColor="text1"/>
        </w:rPr>
        <w:t xml:space="preserve">Alder, S. (2023, January 24). </w:t>
      </w:r>
      <w:r w:rsidRPr="00F7480D">
        <w:rPr>
          <w:rFonts w:cstheme="minorHAnsi"/>
          <w:i/>
          <w:iCs/>
          <w:color w:val="000000" w:themeColor="text1"/>
        </w:rPr>
        <w:t>2022 Healthcare Data Breach Report</w:t>
      </w:r>
      <w:r w:rsidRPr="00F7480D">
        <w:rPr>
          <w:rFonts w:cstheme="minorHAnsi"/>
          <w:color w:val="000000" w:themeColor="text1"/>
        </w:rPr>
        <w:t xml:space="preserve">. HIPAA Journal. https://www.hipaajournal.com/2022-healthcare-data-breach-report/ </w:t>
      </w:r>
    </w:p>
    <w:p w14:paraId="09A303C7" w14:textId="77777777" w:rsidR="00F7480D" w:rsidRPr="00F7480D" w:rsidRDefault="00F7480D" w:rsidP="00F7480D">
      <w:pPr>
        <w:ind w:left="720" w:hanging="720"/>
        <w:rPr>
          <w:rFonts w:cstheme="minorHAnsi"/>
          <w:color w:val="000000" w:themeColor="text1"/>
        </w:rPr>
      </w:pPr>
      <w:proofErr w:type="spellStart"/>
      <w:r w:rsidRPr="00F7480D">
        <w:rPr>
          <w:rFonts w:cstheme="minorHAnsi"/>
          <w:color w:val="000000" w:themeColor="text1"/>
        </w:rPr>
        <w:t>Banyal</w:t>
      </w:r>
      <w:proofErr w:type="spellEnd"/>
      <w:r w:rsidRPr="00F7480D">
        <w:rPr>
          <w:rFonts w:cstheme="minorHAnsi"/>
          <w:color w:val="000000" w:themeColor="text1"/>
        </w:rPr>
        <w:t xml:space="preserve">, R. K., Jain, P., &amp; Jain, V. K. (2013). Multi-factor Authentication Framework for cloud computing. </w:t>
      </w:r>
      <w:r w:rsidRPr="00F7480D">
        <w:rPr>
          <w:rFonts w:cstheme="minorHAnsi"/>
          <w:i/>
          <w:iCs/>
          <w:color w:val="000000" w:themeColor="text1"/>
        </w:rPr>
        <w:t>2013 Fifth International Conference on Computational Intelligence, Modelling and Simulation</w:t>
      </w:r>
      <w:r w:rsidRPr="00F7480D">
        <w:rPr>
          <w:rFonts w:cstheme="minorHAnsi"/>
          <w:color w:val="000000" w:themeColor="text1"/>
        </w:rPr>
        <w:t xml:space="preserve">. https://doi.org/10.1109/cimsim.2013.25 </w:t>
      </w:r>
    </w:p>
    <w:p w14:paraId="4DD49F04" w14:textId="77777777" w:rsidR="00F7480D" w:rsidRPr="00F7480D" w:rsidRDefault="00F7480D" w:rsidP="00F7480D">
      <w:pPr>
        <w:ind w:left="720" w:hanging="720"/>
        <w:rPr>
          <w:rFonts w:cstheme="minorHAnsi"/>
          <w:color w:val="000000" w:themeColor="text1"/>
        </w:rPr>
      </w:pPr>
      <w:r w:rsidRPr="00F7480D">
        <w:rPr>
          <w:rFonts w:cstheme="minorHAnsi"/>
          <w:i/>
          <w:iCs/>
          <w:color w:val="000000" w:themeColor="text1"/>
        </w:rPr>
        <w:t>Cost of a data breach 2023</w:t>
      </w:r>
      <w:r w:rsidRPr="00F7480D">
        <w:rPr>
          <w:rFonts w:cstheme="minorHAnsi"/>
          <w:color w:val="000000" w:themeColor="text1"/>
        </w:rPr>
        <w:t xml:space="preserve">. IBM. (2023). https://www.ibm.com/reports/data-breach </w:t>
      </w:r>
    </w:p>
    <w:p w14:paraId="70E53F5B" w14:textId="77777777" w:rsidR="00F7480D" w:rsidRPr="00F7480D" w:rsidRDefault="00F7480D" w:rsidP="00F7480D">
      <w:pPr>
        <w:ind w:left="720" w:hanging="720"/>
        <w:rPr>
          <w:rFonts w:cstheme="minorHAnsi"/>
          <w:color w:val="000000" w:themeColor="text1"/>
        </w:rPr>
      </w:pPr>
      <w:r w:rsidRPr="00F7480D">
        <w:rPr>
          <w:rFonts w:cstheme="minorHAnsi"/>
          <w:i/>
          <w:iCs/>
          <w:color w:val="000000" w:themeColor="text1"/>
        </w:rPr>
        <w:lastRenderedPageBreak/>
        <w:t>Cybersecurity framework</w:t>
      </w:r>
      <w:r w:rsidRPr="00F7480D">
        <w:rPr>
          <w:rFonts w:cstheme="minorHAnsi"/>
          <w:color w:val="000000" w:themeColor="text1"/>
        </w:rPr>
        <w:t xml:space="preserve">. National Institute of Standards and Technology (NIST). (2018, April 16). https://www.nist.gov/cyberframework </w:t>
      </w:r>
    </w:p>
    <w:p w14:paraId="25BC7D45" w14:textId="77777777" w:rsidR="00F7480D" w:rsidRPr="00F7480D" w:rsidRDefault="00F7480D" w:rsidP="00F7480D">
      <w:pPr>
        <w:ind w:left="720" w:hanging="720"/>
        <w:rPr>
          <w:rFonts w:cstheme="minorHAnsi"/>
          <w:color w:val="000000" w:themeColor="text1"/>
        </w:rPr>
      </w:pPr>
      <w:r w:rsidRPr="00F7480D">
        <w:rPr>
          <w:rFonts w:cstheme="minorHAnsi"/>
          <w:i/>
          <w:iCs/>
          <w:color w:val="000000" w:themeColor="text1"/>
        </w:rPr>
        <w:t>Data Breach Chronology</w:t>
      </w:r>
      <w:r w:rsidRPr="00F7480D">
        <w:rPr>
          <w:rFonts w:cstheme="minorHAnsi"/>
          <w:color w:val="000000" w:themeColor="text1"/>
        </w:rPr>
        <w:t xml:space="preserve">. Data Breach Chronology | Privacy Rights Clearinghouse. (n.d.). https://privacyrights.org/data-breaches </w:t>
      </w:r>
    </w:p>
    <w:p w14:paraId="4B1E999B" w14:textId="77777777" w:rsidR="00F7480D" w:rsidRPr="00F7480D" w:rsidRDefault="00F7480D" w:rsidP="00F7480D">
      <w:pPr>
        <w:ind w:left="720" w:hanging="720"/>
        <w:rPr>
          <w:rFonts w:cstheme="minorHAnsi"/>
          <w:color w:val="000000" w:themeColor="text1"/>
        </w:rPr>
      </w:pPr>
      <w:r w:rsidRPr="00F7480D">
        <w:rPr>
          <w:rFonts w:cstheme="minorHAnsi"/>
          <w:i/>
          <w:iCs/>
          <w:color w:val="000000" w:themeColor="text1"/>
        </w:rPr>
        <w:t>Data breach response: A guide for business</w:t>
      </w:r>
      <w:r w:rsidRPr="00F7480D">
        <w:rPr>
          <w:rFonts w:cstheme="minorHAnsi"/>
          <w:color w:val="000000" w:themeColor="text1"/>
        </w:rPr>
        <w:t xml:space="preserve">. Federal Trade Commission. (2023, August 10). https://www.ftc.gov/business-guidance/resources/data-breach-response-guide-business </w:t>
      </w:r>
    </w:p>
    <w:p w14:paraId="6FF7AB78" w14:textId="77777777" w:rsidR="00F7480D" w:rsidRPr="00F7480D" w:rsidRDefault="00F7480D" w:rsidP="00F7480D">
      <w:pPr>
        <w:ind w:left="720" w:hanging="720"/>
        <w:rPr>
          <w:rFonts w:cstheme="minorHAnsi"/>
          <w:color w:val="000000" w:themeColor="text1"/>
        </w:rPr>
      </w:pPr>
      <w:r w:rsidRPr="00F7480D">
        <w:rPr>
          <w:rFonts w:cstheme="minorHAnsi"/>
          <w:i/>
          <w:iCs/>
          <w:color w:val="000000" w:themeColor="text1"/>
        </w:rPr>
        <w:t>Data Encryption and the NIST Framework Comprehensive and inherent approach</w:t>
      </w:r>
      <w:r w:rsidRPr="00F7480D">
        <w:rPr>
          <w:rFonts w:cstheme="minorHAnsi"/>
          <w:color w:val="000000" w:themeColor="text1"/>
        </w:rPr>
        <w:t xml:space="preserve">. </w:t>
      </w:r>
      <w:proofErr w:type="spellStart"/>
      <w:r w:rsidRPr="00F7480D">
        <w:rPr>
          <w:rFonts w:cstheme="minorHAnsi"/>
          <w:color w:val="000000" w:themeColor="text1"/>
        </w:rPr>
        <w:t>SecureAge</w:t>
      </w:r>
      <w:proofErr w:type="spellEnd"/>
      <w:r w:rsidRPr="00F7480D">
        <w:rPr>
          <w:rFonts w:cstheme="minorHAnsi"/>
          <w:color w:val="000000" w:themeColor="text1"/>
        </w:rPr>
        <w:t xml:space="preserve">. (2020). https://www.secureage.com/secureage/pdf/Data-Encryption-NIST-Framework-Whitepaper.pdf </w:t>
      </w:r>
    </w:p>
    <w:p w14:paraId="0B7A0479" w14:textId="77777777" w:rsidR="00F7480D" w:rsidRPr="00F7480D" w:rsidRDefault="00F7480D" w:rsidP="00F7480D">
      <w:pPr>
        <w:ind w:left="720" w:hanging="720"/>
        <w:rPr>
          <w:rFonts w:cstheme="minorHAnsi"/>
          <w:color w:val="000000" w:themeColor="text1"/>
        </w:rPr>
      </w:pPr>
      <w:r w:rsidRPr="00F7480D">
        <w:rPr>
          <w:rFonts w:cstheme="minorHAnsi"/>
          <w:color w:val="000000" w:themeColor="text1"/>
        </w:rPr>
        <w:t xml:space="preserve">El </w:t>
      </w:r>
      <w:proofErr w:type="spellStart"/>
      <w:r w:rsidRPr="00F7480D">
        <w:rPr>
          <w:rFonts w:cstheme="minorHAnsi"/>
          <w:color w:val="000000" w:themeColor="text1"/>
        </w:rPr>
        <w:t>Emam</w:t>
      </w:r>
      <w:proofErr w:type="spellEnd"/>
      <w:r w:rsidRPr="00F7480D">
        <w:rPr>
          <w:rFonts w:cstheme="minorHAnsi"/>
          <w:color w:val="000000" w:themeColor="text1"/>
        </w:rPr>
        <w:t xml:space="preserve">, K., </w:t>
      </w:r>
      <w:proofErr w:type="spellStart"/>
      <w:r w:rsidRPr="00F7480D">
        <w:rPr>
          <w:rFonts w:cstheme="minorHAnsi"/>
          <w:color w:val="000000" w:themeColor="text1"/>
        </w:rPr>
        <w:t>Dankar</w:t>
      </w:r>
      <w:proofErr w:type="spellEnd"/>
      <w:r w:rsidRPr="00F7480D">
        <w:rPr>
          <w:rFonts w:cstheme="minorHAnsi"/>
          <w:color w:val="000000" w:themeColor="text1"/>
        </w:rPr>
        <w:t xml:space="preserve">, F. K., Issa, R., Jonker, E., </w:t>
      </w:r>
      <w:proofErr w:type="spellStart"/>
      <w:r w:rsidRPr="00F7480D">
        <w:rPr>
          <w:rFonts w:cstheme="minorHAnsi"/>
          <w:color w:val="000000" w:themeColor="text1"/>
        </w:rPr>
        <w:t>Amyot</w:t>
      </w:r>
      <w:proofErr w:type="spellEnd"/>
      <w:r w:rsidRPr="00F7480D">
        <w:rPr>
          <w:rFonts w:cstheme="minorHAnsi"/>
          <w:color w:val="000000" w:themeColor="text1"/>
        </w:rPr>
        <w:t xml:space="preserve">, D., </w:t>
      </w:r>
      <w:proofErr w:type="spellStart"/>
      <w:r w:rsidRPr="00F7480D">
        <w:rPr>
          <w:rFonts w:cstheme="minorHAnsi"/>
          <w:color w:val="000000" w:themeColor="text1"/>
        </w:rPr>
        <w:t>Cogo</w:t>
      </w:r>
      <w:proofErr w:type="spellEnd"/>
      <w:r w:rsidRPr="00F7480D">
        <w:rPr>
          <w:rFonts w:cstheme="minorHAnsi"/>
          <w:color w:val="000000" w:themeColor="text1"/>
        </w:rPr>
        <w:t xml:space="preserve">, E., Corriveau, J.-P., Walker, M., Chowdhury, S., Vaillancourt, R., Roffey, T., &amp; Bottomley, J. (2009). A globally optimal K-anonymity method for the de-identification of Health Data. </w:t>
      </w:r>
      <w:r w:rsidRPr="00F7480D">
        <w:rPr>
          <w:rFonts w:cstheme="minorHAnsi"/>
          <w:i/>
          <w:iCs/>
          <w:color w:val="000000" w:themeColor="text1"/>
        </w:rPr>
        <w:t>Journal of the American Medical Informatics Association</w:t>
      </w:r>
      <w:r w:rsidRPr="00F7480D">
        <w:rPr>
          <w:rFonts w:cstheme="minorHAnsi"/>
          <w:color w:val="000000" w:themeColor="text1"/>
        </w:rPr>
        <w:t xml:space="preserve">, </w:t>
      </w:r>
      <w:r w:rsidRPr="00F7480D">
        <w:rPr>
          <w:rFonts w:cstheme="minorHAnsi"/>
          <w:i/>
          <w:iCs/>
          <w:color w:val="000000" w:themeColor="text1"/>
        </w:rPr>
        <w:t>16</w:t>
      </w:r>
      <w:r w:rsidRPr="00F7480D">
        <w:rPr>
          <w:rFonts w:cstheme="minorHAnsi"/>
          <w:color w:val="000000" w:themeColor="text1"/>
        </w:rPr>
        <w:t xml:space="preserve">(5), 670–682. https://doi.org/10.1197/jamia.m3144 </w:t>
      </w:r>
    </w:p>
    <w:p w14:paraId="630A3C65" w14:textId="77777777" w:rsidR="00F7480D" w:rsidRPr="00F7480D" w:rsidRDefault="00F7480D" w:rsidP="00F7480D">
      <w:pPr>
        <w:ind w:left="720" w:hanging="720"/>
        <w:rPr>
          <w:rFonts w:cstheme="minorHAnsi"/>
          <w:color w:val="000000" w:themeColor="text1"/>
        </w:rPr>
      </w:pPr>
      <w:r w:rsidRPr="00F7480D">
        <w:rPr>
          <w:rFonts w:cstheme="minorHAnsi"/>
          <w:color w:val="000000" w:themeColor="text1"/>
        </w:rPr>
        <w:t xml:space="preserve">Gordon, L. A., Loeb, M. P., &amp; Zhou, L. (2011). The impact of information security breaches: Has there been a downward shift in costs? </w:t>
      </w:r>
      <w:r w:rsidRPr="00F7480D">
        <w:rPr>
          <w:rFonts w:cstheme="minorHAnsi"/>
          <w:i/>
          <w:iCs/>
          <w:color w:val="000000" w:themeColor="text1"/>
        </w:rPr>
        <w:t>Journal of Computer Security</w:t>
      </w:r>
      <w:r w:rsidRPr="00F7480D">
        <w:rPr>
          <w:rFonts w:cstheme="minorHAnsi"/>
          <w:color w:val="000000" w:themeColor="text1"/>
        </w:rPr>
        <w:t xml:space="preserve">, </w:t>
      </w:r>
      <w:r w:rsidRPr="00F7480D">
        <w:rPr>
          <w:rFonts w:cstheme="minorHAnsi"/>
          <w:i/>
          <w:iCs/>
          <w:color w:val="000000" w:themeColor="text1"/>
        </w:rPr>
        <w:t>19</w:t>
      </w:r>
      <w:r w:rsidRPr="00F7480D">
        <w:rPr>
          <w:rFonts w:cstheme="minorHAnsi"/>
          <w:color w:val="000000" w:themeColor="text1"/>
        </w:rPr>
        <w:t xml:space="preserve">(1), 33–56. https://doi.org/10.3233/jcs-2009-0398 </w:t>
      </w:r>
    </w:p>
    <w:p w14:paraId="1ABBCF80" w14:textId="77777777" w:rsidR="00F7480D" w:rsidRPr="00F7480D" w:rsidRDefault="00F7480D" w:rsidP="00F7480D">
      <w:pPr>
        <w:ind w:left="720" w:hanging="720"/>
        <w:rPr>
          <w:rFonts w:cstheme="minorHAnsi"/>
          <w:color w:val="000000" w:themeColor="text1"/>
        </w:rPr>
      </w:pPr>
      <w:r w:rsidRPr="00F7480D">
        <w:rPr>
          <w:rFonts w:cstheme="minorHAnsi"/>
          <w:color w:val="000000" w:themeColor="text1"/>
        </w:rPr>
        <w:t xml:space="preserve">Gregory, A. (2011). Data governance — protecting and unleashing the value of your Customer Data assets. </w:t>
      </w:r>
      <w:r w:rsidRPr="00F7480D">
        <w:rPr>
          <w:rFonts w:cstheme="minorHAnsi"/>
          <w:i/>
          <w:iCs/>
          <w:color w:val="000000" w:themeColor="text1"/>
        </w:rPr>
        <w:t>Journal of Direct, Data and Digital Marketing Practice</w:t>
      </w:r>
      <w:r w:rsidRPr="00F7480D">
        <w:rPr>
          <w:rFonts w:cstheme="minorHAnsi"/>
          <w:color w:val="000000" w:themeColor="text1"/>
        </w:rPr>
        <w:t xml:space="preserve">, </w:t>
      </w:r>
      <w:r w:rsidRPr="00F7480D">
        <w:rPr>
          <w:rFonts w:cstheme="minorHAnsi"/>
          <w:i/>
          <w:iCs/>
          <w:color w:val="000000" w:themeColor="text1"/>
        </w:rPr>
        <w:t>12</w:t>
      </w:r>
      <w:r w:rsidRPr="00F7480D">
        <w:rPr>
          <w:rFonts w:cstheme="minorHAnsi"/>
          <w:color w:val="000000" w:themeColor="text1"/>
        </w:rPr>
        <w:t xml:space="preserve">(3), 230–248. https://doi.org/10.1057/dddmp.2010.41 </w:t>
      </w:r>
    </w:p>
    <w:p w14:paraId="32142F0D" w14:textId="77777777" w:rsidR="00F7480D" w:rsidRPr="00F7480D" w:rsidRDefault="00F7480D" w:rsidP="00F7480D">
      <w:pPr>
        <w:ind w:left="720" w:hanging="720"/>
        <w:rPr>
          <w:rFonts w:cstheme="minorHAnsi"/>
          <w:color w:val="000000" w:themeColor="text1"/>
        </w:rPr>
      </w:pPr>
      <w:proofErr w:type="spellStart"/>
      <w:r w:rsidRPr="00F7480D">
        <w:rPr>
          <w:rFonts w:cstheme="minorHAnsi"/>
          <w:color w:val="000000" w:themeColor="text1"/>
        </w:rPr>
        <w:t>Hatzivasilis</w:t>
      </w:r>
      <w:proofErr w:type="spellEnd"/>
      <w:r w:rsidRPr="00F7480D">
        <w:rPr>
          <w:rFonts w:cstheme="minorHAnsi"/>
          <w:color w:val="000000" w:themeColor="text1"/>
        </w:rPr>
        <w:t xml:space="preserve">, G., </w:t>
      </w:r>
      <w:proofErr w:type="spellStart"/>
      <w:r w:rsidRPr="00F7480D">
        <w:rPr>
          <w:rFonts w:cstheme="minorHAnsi"/>
          <w:color w:val="000000" w:themeColor="text1"/>
        </w:rPr>
        <w:t>Soultatos</w:t>
      </w:r>
      <w:proofErr w:type="spellEnd"/>
      <w:r w:rsidRPr="00F7480D">
        <w:rPr>
          <w:rFonts w:cstheme="minorHAnsi"/>
          <w:color w:val="000000" w:themeColor="text1"/>
        </w:rPr>
        <w:t xml:space="preserve">, O., Ioannidis, S., </w:t>
      </w:r>
      <w:proofErr w:type="spellStart"/>
      <w:r w:rsidRPr="00F7480D">
        <w:rPr>
          <w:rFonts w:cstheme="minorHAnsi"/>
          <w:color w:val="000000" w:themeColor="text1"/>
        </w:rPr>
        <w:t>Verikoukis</w:t>
      </w:r>
      <w:proofErr w:type="spellEnd"/>
      <w:r w:rsidRPr="00F7480D">
        <w:rPr>
          <w:rFonts w:cstheme="minorHAnsi"/>
          <w:color w:val="000000" w:themeColor="text1"/>
        </w:rPr>
        <w:t xml:space="preserve">, C., Demetriou, G., &amp; </w:t>
      </w:r>
      <w:proofErr w:type="spellStart"/>
      <w:r w:rsidRPr="00F7480D">
        <w:rPr>
          <w:rFonts w:cstheme="minorHAnsi"/>
          <w:color w:val="000000" w:themeColor="text1"/>
        </w:rPr>
        <w:t>Tsatsoulis</w:t>
      </w:r>
      <w:proofErr w:type="spellEnd"/>
      <w:r w:rsidRPr="00F7480D">
        <w:rPr>
          <w:rFonts w:cstheme="minorHAnsi"/>
          <w:color w:val="000000" w:themeColor="text1"/>
        </w:rPr>
        <w:t xml:space="preserve">, C. (2019). Review of Security and privacy for the internet of medical things (IOMT). </w:t>
      </w:r>
      <w:r w:rsidRPr="00F7480D">
        <w:rPr>
          <w:rFonts w:cstheme="minorHAnsi"/>
          <w:i/>
          <w:iCs/>
          <w:color w:val="000000" w:themeColor="text1"/>
        </w:rPr>
        <w:t>2019 15th International Conference on Distributed Computing in Sensor Systems (DCOSS)</w:t>
      </w:r>
      <w:r w:rsidRPr="00F7480D">
        <w:rPr>
          <w:rFonts w:cstheme="minorHAnsi"/>
          <w:color w:val="000000" w:themeColor="text1"/>
        </w:rPr>
        <w:t xml:space="preserve">. https://doi.org/10.1109/dcoss.2019.00091 </w:t>
      </w:r>
    </w:p>
    <w:p w14:paraId="4B5DDF7D" w14:textId="77777777" w:rsidR="00F7480D" w:rsidRPr="00F7480D" w:rsidRDefault="00F7480D" w:rsidP="00F7480D">
      <w:pPr>
        <w:ind w:left="720" w:hanging="720"/>
        <w:rPr>
          <w:rFonts w:cstheme="minorHAnsi"/>
          <w:color w:val="000000" w:themeColor="text1"/>
        </w:rPr>
      </w:pPr>
      <w:proofErr w:type="spellStart"/>
      <w:r w:rsidRPr="00F7480D">
        <w:rPr>
          <w:rFonts w:cstheme="minorHAnsi"/>
          <w:color w:val="000000" w:themeColor="text1"/>
        </w:rPr>
        <w:t>Hosseinzadeh</w:t>
      </w:r>
      <w:proofErr w:type="spellEnd"/>
      <w:r w:rsidRPr="00F7480D">
        <w:rPr>
          <w:rFonts w:cstheme="minorHAnsi"/>
          <w:color w:val="000000" w:themeColor="text1"/>
        </w:rPr>
        <w:t xml:space="preserve">, A., </w:t>
      </w:r>
      <w:proofErr w:type="spellStart"/>
      <w:r w:rsidRPr="00F7480D">
        <w:rPr>
          <w:rFonts w:cstheme="minorHAnsi"/>
          <w:color w:val="000000" w:themeColor="text1"/>
        </w:rPr>
        <w:t>Eitel</w:t>
      </w:r>
      <w:proofErr w:type="spellEnd"/>
      <w:r w:rsidRPr="00F7480D">
        <w:rPr>
          <w:rFonts w:cstheme="minorHAnsi"/>
          <w:color w:val="000000" w:themeColor="text1"/>
        </w:rPr>
        <w:t xml:space="preserve">, A., &amp; Jung, C. (2020). A systematic approach toward extracting technically enforceable policies from data usage control requirements. </w:t>
      </w:r>
      <w:r w:rsidRPr="00F7480D">
        <w:rPr>
          <w:rFonts w:cstheme="minorHAnsi"/>
          <w:i/>
          <w:iCs/>
          <w:color w:val="000000" w:themeColor="text1"/>
        </w:rPr>
        <w:t>Proceedings of the 6th International Conference on Information Systems Security and Privacy</w:t>
      </w:r>
      <w:r w:rsidRPr="00F7480D">
        <w:rPr>
          <w:rFonts w:cstheme="minorHAnsi"/>
          <w:color w:val="000000" w:themeColor="text1"/>
        </w:rPr>
        <w:t xml:space="preserve">. https://doi.org/10.5220/0008936003970405 </w:t>
      </w:r>
    </w:p>
    <w:p w14:paraId="6B53891D" w14:textId="77777777" w:rsidR="00F7480D" w:rsidRPr="00F7480D" w:rsidRDefault="00F7480D" w:rsidP="00F7480D">
      <w:pPr>
        <w:ind w:left="720" w:hanging="720"/>
        <w:rPr>
          <w:rFonts w:cstheme="minorHAnsi"/>
          <w:color w:val="000000" w:themeColor="text1"/>
        </w:rPr>
      </w:pPr>
      <w:r w:rsidRPr="00F7480D">
        <w:rPr>
          <w:rFonts w:cstheme="minorHAnsi"/>
          <w:color w:val="000000" w:themeColor="text1"/>
        </w:rPr>
        <w:t xml:space="preserve">Kaplan, B. A., Gilroy, S. P., DeHart, W. B., Brown, J. M., &amp; </w:t>
      </w:r>
      <w:proofErr w:type="spellStart"/>
      <w:r w:rsidRPr="00F7480D">
        <w:rPr>
          <w:rFonts w:cstheme="minorHAnsi"/>
          <w:color w:val="000000" w:themeColor="text1"/>
        </w:rPr>
        <w:t>Koffarnus</w:t>
      </w:r>
      <w:proofErr w:type="spellEnd"/>
      <w:r w:rsidRPr="00F7480D">
        <w:rPr>
          <w:rFonts w:cstheme="minorHAnsi"/>
          <w:color w:val="000000" w:themeColor="text1"/>
        </w:rPr>
        <w:t xml:space="preserve">, M. N. (2023). Data handling: Ethical principles, guidelines, and recommended practices. </w:t>
      </w:r>
      <w:r w:rsidRPr="00F7480D">
        <w:rPr>
          <w:rFonts w:cstheme="minorHAnsi"/>
          <w:i/>
          <w:iCs/>
          <w:color w:val="000000" w:themeColor="text1"/>
        </w:rPr>
        <w:t>Research Ethics in Behavior Analysis</w:t>
      </w:r>
      <w:r w:rsidRPr="00F7480D">
        <w:rPr>
          <w:rFonts w:cstheme="minorHAnsi"/>
          <w:color w:val="000000" w:themeColor="text1"/>
        </w:rPr>
        <w:t xml:space="preserve">, 191–214. https://doi.org/10.1016/b978-0-323-90969-3.00006-2 </w:t>
      </w:r>
    </w:p>
    <w:p w14:paraId="7EBFFB0B" w14:textId="77777777" w:rsidR="00F7480D" w:rsidRPr="00F7480D" w:rsidRDefault="00F7480D" w:rsidP="00F7480D">
      <w:pPr>
        <w:ind w:left="720" w:hanging="720"/>
        <w:rPr>
          <w:rFonts w:cstheme="minorHAnsi"/>
          <w:color w:val="000000" w:themeColor="text1"/>
        </w:rPr>
      </w:pPr>
      <w:r w:rsidRPr="00F7480D">
        <w:rPr>
          <w:rFonts w:cstheme="minorHAnsi"/>
          <w:color w:val="000000" w:themeColor="text1"/>
        </w:rPr>
        <w:t xml:space="preserve">Khan, F., Kim, J. H., </w:t>
      </w:r>
      <w:proofErr w:type="spellStart"/>
      <w:r w:rsidRPr="00F7480D">
        <w:rPr>
          <w:rFonts w:cstheme="minorHAnsi"/>
          <w:color w:val="000000" w:themeColor="text1"/>
        </w:rPr>
        <w:t>Mathiassen</w:t>
      </w:r>
      <w:proofErr w:type="spellEnd"/>
      <w:r w:rsidRPr="00F7480D">
        <w:rPr>
          <w:rFonts w:cstheme="minorHAnsi"/>
          <w:color w:val="000000" w:themeColor="text1"/>
        </w:rPr>
        <w:t xml:space="preserve">, L., &amp; Moore, R. (2021). Data Breach Management: An integrated risk model. </w:t>
      </w:r>
      <w:r w:rsidRPr="00F7480D">
        <w:rPr>
          <w:rFonts w:cstheme="minorHAnsi"/>
          <w:i/>
          <w:iCs/>
          <w:color w:val="000000" w:themeColor="text1"/>
        </w:rPr>
        <w:t>Information &amp; Management</w:t>
      </w:r>
      <w:r w:rsidRPr="00F7480D">
        <w:rPr>
          <w:rFonts w:cstheme="minorHAnsi"/>
          <w:color w:val="000000" w:themeColor="text1"/>
        </w:rPr>
        <w:t xml:space="preserve">, </w:t>
      </w:r>
      <w:r w:rsidRPr="00F7480D">
        <w:rPr>
          <w:rFonts w:cstheme="minorHAnsi"/>
          <w:i/>
          <w:iCs/>
          <w:color w:val="000000" w:themeColor="text1"/>
        </w:rPr>
        <w:t>58</w:t>
      </w:r>
      <w:r w:rsidRPr="00F7480D">
        <w:rPr>
          <w:rFonts w:cstheme="minorHAnsi"/>
          <w:color w:val="000000" w:themeColor="text1"/>
        </w:rPr>
        <w:t xml:space="preserve">(1), 103392. https://doi.org/10.1016/j.im.2020.103392 </w:t>
      </w:r>
    </w:p>
    <w:p w14:paraId="260EC936" w14:textId="77777777" w:rsidR="00F7480D" w:rsidRPr="00F7480D" w:rsidRDefault="00F7480D" w:rsidP="00F7480D">
      <w:pPr>
        <w:ind w:left="720" w:hanging="720"/>
        <w:rPr>
          <w:rFonts w:cstheme="minorHAnsi"/>
          <w:color w:val="000000" w:themeColor="text1"/>
        </w:rPr>
      </w:pPr>
      <w:r w:rsidRPr="00F7480D">
        <w:rPr>
          <w:rFonts w:cstheme="minorHAnsi"/>
          <w:color w:val="000000" w:themeColor="text1"/>
        </w:rPr>
        <w:t xml:space="preserve">Markiewicz, D. (2011, September 15). </w:t>
      </w:r>
      <w:r w:rsidRPr="00F7480D">
        <w:rPr>
          <w:rFonts w:cstheme="minorHAnsi"/>
          <w:i/>
          <w:iCs/>
          <w:color w:val="000000" w:themeColor="text1"/>
        </w:rPr>
        <w:t>Guidelines for Data Classification</w:t>
      </w:r>
      <w:r w:rsidRPr="00F7480D">
        <w:rPr>
          <w:rFonts w:cstheme="minorHAnsi"/>
          <w:color w:val="000000" w:themeColor="text1"/>
        </w:rPr>
        <w:t xml:space="preserve">. Carnegie Mellon University. https://www.cmu.edu/iso/governance/guidelines/docs/DataClassificationGuidelines_FINALv1.0.doc </w:t>
      </w:r>
    </w:p>
    <w:p w14:paraId="2049EBF8" w14:textId="77777777" w:rsidR="00F7480D" w:rsidRPr="00F7480D" w:rsidRDefault="00F7480D" w:rsidP="00F7480D">
      <w:pPr>
        <w:ind w:left="720" w:hanging="720"/>
        <w:rPr>
          <w:rFonts w:cstheme="minorHAnsi"/>
          <w:color w:val="000000" w:themeColor="text1"/>
        </w:rPr>
      </w:pPr>
      <w:r w:rsidRPr="00F7480D">
        <w:rPr>
          <w:rFonts w:cstheme="minorHAnsi"/>
          <w:color w:val="000000" w:themeColor="text1"/>
        </w:rPr>
        <w:t xml:space="preserve">National Science and Technology Council. (2023, March). National strategy to advance privacy-preserving data sharing and analytics. https://www.whitehouse.gov/wp-content/uploads/2023/03/National-Strategy-to-Advance-Privacy-Preserving-Data-Sharing-and-Analytics.pdf </w:t>
      </w:r>
    </w:p>
    <w:p w14:paraId="4EEE4A48" w14:textId="77777777" w:rsidR="00F7480D" w:rsidRPr="00F7480D" w:rsidRDefault="00F7480D" w:rsidP="00F7480D">
      <w:pPr>
        <w:ind w:left="720" w:hanging="720"/>
        <w:rPr>
          <w:rFonts w:cstheme="minorHAnsi"/>
          <w:color w:val="000000" w:themeColor="text1"/>
        </w:rPr>
      </w:pPr>
      <w:proofErr w:type="spellStart"/>
      <w:r w:rsidRPr="00F7480D">
        <w:rPr>
          <w:rFonts w:cstheme="minorHAnsi"/>
          <w:color w:val="000000" w:themeColor="text1"/>
        </w:rPr>
        <w:t>Seh</w:t>
      </w:r>
      <w:proofErr w:type="spellEnd"/>
      <w:r w:rsidRPr="00F7480D">
        <w:rPr>
          <w:rFonts w:cstheme="minorHAnsi"/>
          <w:color w:val="000000" w:themeColor="text1"/>
        </w:rPr>
        <w:t xml:space="preserve">, A. H., </w:t>
      </w:r>
      <w:proofErr w:type="spellStart"/>
      <w:r w:rsidRPr="00F7480D">
        <w:rPr>
          <w:rFonts w:cstheme="minorHAnsi"/>
          <w:color w:val="000000" w:themeColor="text1"/>
        </w:rPr>
        <w:t>Zarour</w:t>
      </w:r>
      <w:proofErr w:type="spellEnd"/>
      <w:r w:rsidRPr="00F7480D">
        <w:rPr>
          <w:rFonts w:cstheme="minorHAnsi"/>
          <w:color w:val="000000" w:themeColor="text1"/>
        </w:rPr>
        <w:t xml:space="preserve">, M., </w:t>
      </w:r>
      <w:proofErr w:type="spellStart"/>
      <w:r w:rsidRPr="00F7480D">
        <w:rPr>
          <w:rFonts w:cstheme="minorHAnsi"/>
          <w:color w:val="000000" w:themeColor="text1"/>
        </w:rPr>
        <w:t>Alenezi</w:t>
      </w:r>
      <w:proofErr w:type="spellEnd"/>
      <w:r w:rsidRPr="00F7480D">
        <w:rPr>
          <w:rFonts w:cstheme="minorHAnsi"/>
          <w:color w:val="000000" w:themeColor="text1"/>
        </w:rPr>
        <w:t xml:space="preserve">, M., Sarkar, A. K., Agrawal, A., Kumar, R., &amp; Ahmad Khan, R. (2020). Healthcare data breaches: Insights and implications. </w:t>
      </w:r>
      <w:r w:rsidRPr="00F7480D">
        <w:rPr>
          <w:rFonts w:cstheme="minorHAnsi"/>
          <w:i/>
          <w:iCs/>
          <w:color w:val="000000" w:themeColor="text1"/>
        </w:rPr>
        <w:t>Healthcare</w:t>
      </w:r>
      <w:r w:rsidRPr="00F7480D">
        <w:rPr>
          <w:rFonts w:cstheme="minorHAnsi"/>
          <w:color w:val="000000" w:themeColor="text1"/>
        </w:rPr>
        <w:t xml:space="preserve">, </w:t>
      </w:r>
      <w:r w:rsidRPr="00F7480D">
        <w:rPr>
          <w:rFonts w:cstheme="minorHAnsi"/>
          <w:i/>
          <w:iCs/>
          <w:color w:val="000000" w:themeColor="text1"/>
        </w:rPr>
        <w:t>8</w:t>
      </w:r>
      <w:r w:rsidRPr="00F7480D">
        <w:rPr>
          <w:rFonts w:cstheme="minorHAnsi"/>
          <w:color w:val="000000" w:themeColor="text1"/>
        </w:rPr>
        <w:t xml:space="preserve">(2), 133. https://doi.org/10.3390/healthcare8020133 </w:t>
      </w:r>
    </w:p>
    <w:p w14:paraId="26A4870C" w14:textId="77777777" w:rsidR="00F7480D" w:rsidRPr="00F7480D" w:rsidRDefault="00F7480D" w:rsidP="00F7480D">
      <w:pPr>
        <w:ind w:left="720" w:hanging="720"/>
        <w:rPr>
          <w:rFonts w:cstheme="minorHAnsi"/>
          <w:color w:val="000000" w:themeColor="text1"/>
        </w:rPr>
      </w:pPr>
      <w:proofErr w:type="spellStart"/>
      <w:r w:rsidRPr="00F7480D">
        <w:rPr>
          <w:rFonts w:cstheme="minorHAnsi"/>
          <w:color w:val="000000" w:themeColor="text1"/>
        </w:rPr>
        <w:lastRenderedPageBreak/>
        <w:t>Sood</w:t>
      </w:r>
      <w:proofErr w:type="spellEnd"/>
      <w:r w:rsidRPr="00F7480D">
        <w:rPr>
          <w:rFonts w:cstheme="minorHAnsi"/>
          <w:color w:val="000000" w:themeColor="text1"/>
        </w:rPr>
        <w:t xml:space="preserve">, S. K. (2012). A combined approach to ensure data security in cloud computing. </w:t>
      </w:r>
      <w:r w:rsidRPr="00F7480D">
        <w:rPr>
          <w:rFonts w:cstheme="minorHAnsi"/>
          <w:i/>
          <w:iCs/>
          <w:color w:val="000000" w:themeColor="text1"/>
        </w:rPr>
        <w:t>Journal of Network and Computer Applications</w:t>
      </w:r>
      <w:r w:rsidRPr="00F7480D">
        <w:rPr>
          <w:rFonts w:cstheme="minorHAnsi"/>
          <w:color w:val="000000" w:themeColor="text1"/>
        </w:rPr>
        <w:t xml:space="preserve">, </w:t>
      </w:r>
      <w:r w:rsidRPr="00F7480D">
        <w:rPr>
          <w:rFonts w:cstheme="minorHAnsi"/>
          <w:i/>
          <w:iCs/>
          <w:color w:val="000000" w:themeColor="text1"/>
        </w:rPr>
        <w:t>35</w:t>
      </w:r>
      <w:r w:rsidRPr="00F7480D">
        <w:rPr>
          <w:rFonts w:cstheme="minorHAnsi"/>
          <w:color w:val="000000" w:themeColor="text1"/>
        </w:rPr>
        <w:t xml:space="preserve">(6), 1831–1838. https://doi.org/10.1016/j.jnca.2012.07.007 </w:t>
      </w:r>
    </w:p>
    <w:p w14:paraId="10DD9780" w14:textId="77777777" w:rsidR="00F7480D" w:rsidRPr="00F7480D" w:rsidRDefault="00F7480D" w:rsidP="00F7480D">
      <w:pPr>
        <w:ind w:left="720" w:hanging="720"/>
        <w:rPr>
          <w:rFonts w:cstheme="minorHAnsi"/>
          <w:color w:val="000000" w:themeColor="text1"/>
        </w:rPr>
      </w:pPr>
      <w:r w:rsidRPr="00F7480D">
        <w:rPr>
          <w:rFonts w:cstheme="minorHAnsi"/>
          <w:color w:val="000000" w:themeColor="text1"/>
        </w:rPr>
        <w:t xml:space="preserve">SWEENEY, L. (2002). K-anonymity: A model for protecting privacy. </w:t>
      </w:r>
      <w:r w:rsidRPr="00F7480D">
        <w:rPr>
          <w:rFonts w:cstheme="minorHAnsi"/>
          <w:i/>
          <w:iCs/>
          <w:color w:val="000000" w:themeColor="text1"/>
        </w:rPr>
        <w:t>International Journal of Uncertainty, Fuzziness and Knowledge-Based Systems</w:t>
      </w:r>
      <w:r w:rsidRPr="00F7480D">
        <w:rPr>
          <w:rFonts w:cstheme="minorHAnsi"/>
          <w:color w:val="000000" w:themeColor="text1"/>
        </w:rPr>
        <w:t xml:space="preserve">, </w:t>
      </w:r>
      <w:r w:rsidRPr="00F7480D">
        <w:rPr>
          <w:rFonts w:cstheme="minorHAnsi"/>
          <w:i/>
          <w:iCs/>
          <w:color w:val="000000" w:themeColor="text1"/>
        </w:rPr>
        <w:t>10</w:t>
      </w:r>
      <w:r w:rsidRPr="00F7480D">
        <w:rPr>
          <w:rFonts w:cstheme="minorHAnsi"/>
          <w:color w:val="000000" w:themeColor="text1"/>
        </w:rPr>
        <w:t xml:space="preserve">(05), 557–570. https://doi.org/10.1142/s0218488502001648 </w:t>
      </w:r>
    </w:p>
    <w:p w14:paraId="2009CF8F" w14:textId="77777777" w:rsidR="00F7480D" w:rsidRPr="00F7480D" w:rsidRDefault="00F7480D" w:rsidP="00F7480D">
      <w:pPr>
        <w:ind w:left="720" w:hanging="720"/>
        <w:rPr>
          <w:rFonts w:cstheme="minorHAnsi"/>
          <w:color w:val="000000" w:themeColor="text1"/>
        </w:rPr>
      </w:pPr>
      <w:r w:rsidRPr="00F7480D">
        <w:rPr>
          <w:rFonts w:cstheme="minorHAnsi"/>
          <w:color w:val="000000" w:themeColor="text1"/>
        </w:rPr>
        <w:t xml:space="preserve">U.S. Department of Education. (2020). </w:t>
      </w:r>
      <w:r w:rsidRPr="00F7480D">
        <w:rPr>
          <w:rFonts w:cstheme="minorHAnsi"/>
          <w:i/>
          <w:iCs/>
          <w:color w:val="000000" w:themeColor="text1"/>
        </w:rPr>
        <w:t>Forum guide to data governance - national center for education ...</w:t>
      </w:r>
      <w:r w:rsidRPr="00F7480D">
        <w:rPr>
          <w:rFonts w:cstheme="minorHAnsi"/>
          <w:color w:val="000000" w:themeColor="text1"/>
        </w:rPr>
        <w:t xml:space="preserve"> National Forum on Education Statistics. https://nces.ed.gov/forum/pdf/Forum_Guide_to_Data_Governance.pdf </w:t>
      </w:r>
    </w:p>
    <w:p w14:paraId="336C746C" w14:textId="77777777" w:rsidR="00F7480D" w:rsidRPr="00F7480D" w:rsidRDefault="00F7480D" w:rsidP="00F7480D">
      <w:pPr>
        <w:ind w:left="720" w:hanging="720"/>
        <w:rPr>
          <w:rFonts w:cstheme="minorHAnsi"/>
          <w:color w:val="000000" w:themeColor="text1"/>
        </w:rPr>
      </w:pPr>
      <w:r w:rsidRPr="00F7480D">
        <w:rPr>
          <w:rFonts w:cstheme="minorHAnsi"/>
          <w:color w:val="000000" w:themeColor="text1"/>
        </w:rPr>
        <w:t xml:space="preserve">Wood, A., Altman, M., </w:t>
      </w:r>
      <w:proofErr w:type="spellStart"/>
      <w:r w:rsidRPr="00F7480D">
        <w:rPr>
          <w:rFonts w:cstheme="minorHAnsi"/>
          <w:color w:val="000000" w:themeColor="text1"/>
        </w:rPr>
        <w:t>Bembenek</w:t>
      </w:r>
      <w:proofErr w:type="spellEnd"/>
      <w:r w:rsidRPr="00F7480D">
        <w:rPr>
          <w:rFonts w:cstheme="minorHAnsi"/>
          <w:color w:val="000000" w:themeColor="text1"/>
        </w:rPr>
        <w:t xml:space="preserve">, A., Bun, M., </w:t>
      </w:r>
      <w:proofErr w:type="spellStart"/>
      <w:r w:rsidRPr="00F7480D">
        <w:rPr>
          <w:rFonts w:cstheme="minorHAnsi"/>
          <w:color w:val="000000" w:themeColor="text1"/>
        </w:rPr>
        <w:t>Gaboardi</w:t>
      </w:r>
      <w:proofErr w:type="spellEnd"/>
      <w:r w:rsidRPr="00F7480D">
        <w:rPr>
          <w:rFonts w:cstheme="minorHAnsi"/>
          <w:color w:val="000000" w:themeColor="text1"/>
        </w:rPr>
        <w:t xml:space="preserve">, M., Honaker, J., Nissim, K., O’Brien, D., Steinke, T., &amp; </w:t>
      </w:r>
      <w:proofErr w:type="spellStart"/>
      <w:r w:rsidRPr="00F7480D">
        <w:rPr>
          <w:rFonts w:cstheme="minorHAnsi"/>
          <w:color w:val="000000" w:themeColor="text1"/>
        </w:rPr>
        <w:t>Vadhan</w:t>
      </w:r>
      <w:proofErr w:type="spellEnd"/>
      <w:r w:rsidRPr="00F7480D">
        <w:rPr>
          <w:rFonts w:cstheme="minorHAnsi"/>
          <w:color w:val="000000" w:themeColor="text1"/>
        </w:rPr>
        <w:t xml:space="preserve">, S. (2018). Differential Privacy: A Primer for a non-technical audience. </w:t>
      </w:r>
      <w:r w:rsidRPr="00F7480D">
        <w:rPr>
          <w:rFonts w:cstheme="minorHAnsi"/>
          <w:i/>
          <w:iCs/>
          <w:color w:val="000000" w:themeColor="text1"/>
        </w:rPr>
        <w:t>SSRN Electronic Journal</w:t>
      </w:r>
      <w:r w:rsidRPr="00F7480D">
        <w:rPr>
          <w:rFonts w:cstheme="minorHAnsi"/>
          <w:color w:val="000000" w:themeColor="text1"/>
        </w:rPr>
        <w:t xml:space="preserve">. https://doi.org/10.2139/ssrn.3338027 </w:t>
      </w:r>
    </w:p>
    <w:p w14:paraId="62BB140C" w14:textId="77777777" w:rsidR="00F7480D" w:rsidRPr="00F7480D" w:rsidRDefault="00F7480D" w:rsidP="00F7480D">
      <w:pPr>
        <w:ind w:left="720" w:hanging="720"/>
        <w:rPr>
          <w:rFonts w:cstheme="minorHAnsi"/>
          <w:color w:val="000000" w:themeColor="text1"/>
        </w:rPr>
      </w:pPr>
      <w:r w:rsidRPr="00F7480D">
        <w:rPr>
          <w:rFonts w:cstheme="minorHAnsi"/>
          <w:color w:val="000000" w:themeColor="text1"/>
        </w:rPr>
        <w:t xml:space="preserve">Zhu, Y., Huang, D., Hu, C.-J., &amp; Wang, X. (2015). From RBAC to ABAC: Constructing flexible data access control for cloud storage services. </w:t>
      </w:r>
      <w:r w:rsidRPr="00F7480D">
        <w:rPr>
          <w:rFonts w:cstheme="minorHAnsi"/>
          <w:i/>
          <w:iCs/>
          <w:color w:val="000000" w:themeColor="text1"/>
        </w:rPr>
        <w:t>IEEE Transactions on Services Computing</w:t>
      </w:r>
      <w:r w:rsidRPr="00F7480D">
        <w:rPr>
          <w:rFonts w:cstheme="minorHAnsi"/>
          <w:color w:val="000000" w:themeColor="text1"/>
        </w:rPr>
        <w:t xml:space="preserve">, </w:t>
      </w:r>
      <w:r w:rsidRPr="00F7480D">
        <w:rPr>
          <w:rFonts w:cstheme="minorHAnsi"/>
          <w:i/>
          <w:iCs/>
          <w:color w:val="000000" w:themeColor="text1"/>
        </w:rPr>
        <w:t>8</w:t>
      </w:r>
      <w:r w:rsidRPr="00F7480D">
        <w:rPr>
          <w:rFonts w:cstheme="minorHAnsi"/>
          <w:color w:val="000000" w:themeColor="text1"/>
        </w:rPr>
        <w:t xml:space="preserve">(4), 601–616. https://doi.org/10.1109/tsc.2014.2363474 </w:t>
      </w:r>
    </w:p>
    <w:p w14:paraId="13E6DF74" w14:textId="77777777" w:rsidR="00E833C3" w:rsidRPr="0072532A" w:rsidRDefault="00E833C3" w:rsidP="00D364A8">
      <w:pPr>
        <w:rPr>
          <w:rFonts w:cstheme="minorHAnsi"/>
          <w:color w:val="000000" w:themeColor="text1"/>
        </w:rPr>
      </w:pPr>
    </w:p>
    <w:sectPr w:rsidR="00E833C3" w:rsidRPr="00725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207E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403E52C0"/>
    <w:multiLevelType w:val="hybridMultilevel"/>
    <w:tmpl w:val="989ADA28"/>
    <w:lvl w:ilvl="0" w:tplc="69009E2E">
      <w:start w:val="1"/>
      <w:numFmt w:val="upperRoman"/>
      <w:lvlText w:val="%1."/>
      <w:lvlJc w:val="left"/>
      <w:pPr>
        <w:ind w:left="1080" w:hanging="720"/>
      </w:pPr>
      <w:rPr>
        <w:rFonts w:hint="default"/>
      </w:rPr>
    </w:lvl>
    <w:lvl w:ilvl="1" w:tplc="D004A02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8F0FC2"/>
    <w:multiLevelType w:val="hybridMultilevel"/>
    <w:tmpl w:val="8F683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1016460">
    <w:abstractNumId w:val="2"/>
  </w:num>
  <w:num w:numId="2" w16cid:durableId="2010790179">
    <w:abstractNumId w:val="1"/>
  </w:num>
  <w:num w:numId="3" w16cid:durableId="729495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4A8"/>
    <w:rsid w:val="00046BB6"/>
    <w:rsid w:val="000500F8"/>
    <w:rsid w:val="00090EFF"/>
    <w:rsid w:val="000A773B"/>
    <w:rsid w:val="000B0605"/>
    <w:rsid w:val="000F320D"/>
    <w:rsid w:val="000F6A6E"/>
    <w:rsid w:val="001165D9"/>
    <w:rsid w:val="001471B4"/>
    <w:rsid w:val="00171693"/>
    <w:rsid w:val="001D104C"/>
    <w:rsid w:val="001D2B79"/>
    <w:rsid w:val="001E2FAB"/>
    <w:rsid w:val="001E2FD5"/>
    <w:rsid w:val="00257DBE"/>
    <w:rsid w:val="00262073"/>
    <w:rsid w:val="002A1B16"/>
    <w:rsid w:val="002E70D5"/>
    <w:rsid w:val="00312EA3"/>
    <w:rsid w:val="00347D1E"/>
    <w:rsid w:val="003637A5"/>
    <w:rsid w:val="0038451B"/>
    <w:rsid w:val="003C7BCA"/>
    <w:rsid w:val="003F1C38"/>
    <w:rsid w:val="00430AB7"/>
    <w:rsid w:val="004362CE"/>
    <w:rsid w:val="00486D21"/>
    <w:rsid w:val="00513B5F"/>
    <w:rsid w:val="005365DD"/>
    <w:rsid w:val="005418B6"/>
    <w:rsid w:val="00572AE7"/>
    <w:rsid w:val="005F72AA"/>
    <w:rsid w:val="00655615"/>
    <w:rsid w:val="006E6393"/>
    <w:rsid w:val="0072532A"/>
    <w:rsid w:val="00736A1D"/>
    <w:rsid w:val="007952D3"/>
    <w:rsid w:val="00800F71"/>
    <w:rsid w:val="00804CB5"/>
    <w:rsid w:val="008D0EE4"/>
    <w:rsid w:val="008D4089"/>
    <w:rsid w:val="008F613E"/>
    <w:rsid w:val="00920073"/>
    <w:rsid w:val="00966718"/>
    <w:rsid w:val="009C35B4"/>
    <w:rsid w:val="00B02537"/>
    <w:rsid w:val="00B026CD"/>
    <w:rsid w:val="00BC7CFC"/>
    <w:rsid w:val="00C41CDD"/>
    <w:rsid w:val="00CA6560"/>
    <w:rsid w:val="00CB0FC5"/>
    <w:rsid w:val="00CB27B9"/>
    <w:rsid w:val="00CB2EF6"/>
    <w:rsid w:val="00CC4C7B"/>
    <w:rsid w:val="00CE6B8D"/>
    <w:rsid w:val="00D364A8"/>
    <w:rsid w:val="00D97901"/>
    <w:rsid w:val="00E1516F"/>
    <w:rsid w:val="00E37086"/>
    <w:rsid w:val="00E43DC1"/>
    <w:rsid w:val="00E833C3"/>
    <w:rsid w:val="00EC3658"/>
    <w:rsid w:val="00F34A7B"/>
    <w:rsid w:val="00F514ED"/>
    <w:rsid w:val="00F7480D"/>
    <w:rsid w:val="00FE1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8446BA"/>
  <w15:chartTrackingRefBased/>
  <w15:docId w15:val="{94E32818-0312-AE42-899C-639F2CA62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4A8"/>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64A8"/>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364A8"/>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364A8"/>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364A8"/>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364A8"/>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364A8"/>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364A8"/>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64A8"/>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4A8"/>
    <w:pPr>
      <w:ind w:left="720"/>
      <w:contextualSpacing/>
    </w:pPr>
  </w:style>
  <w:style w:type="character" w:customStyle="1" w:styleId="Heading1Char">
    <w:name w:val="Heading 1 Char"/>
    <w:basedOn w:val="DefaultParagraphFont"/>
    <w:link w:val="Heading1"/>
    <w:uiPriority w:val="9"/>
    <w:rsid w:val="00D364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64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364A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D364A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364A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364A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364A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364A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364A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27119">
      <w:bodyDiv w:val="1"/>
      <w:marLeft w:val="0"/>
      <w:marRight w:val="0"/>
      <w:marTop w:val="0"/>
      <w:marBottom w:val="0"/>
      <w:divBdr>
        <w:top w:val="none" w:sz="0" w:space="0" w:color="auto"/>
        <w:left w:val="none" w:sz="0" w:space="0" w:color="auto"/>
        <w:bottom w:val="none" w:sz="0" w:space="0" w:color="auto"/>
        <w:right w:val="none" w:sz="0" w:space="0" w:color="auto"/>
      </w:divBdr>
    </w:div>
    <w:div w:id="487943803">
      <w:bodyDiv w:val="1"/>
      <w:marLeft w:val="0"/>
      <w:marRight w:val="0"/>
      <w:marTop w:val="0"/>
      <w:marBottom w:val="0"/>
      <w:divBdr>
        <w:top w:val="none" w:sz="0" w:space="0" w:color="auto"/>
        <w:left w:val="none" w:sz="0" w:space="0" w:color="auto"/>
        <w:bottom w:val="none" w:sz="0" w:space="0" w:color="auto"/>
        <w:right w:val="none" w:sz="0" w:space="0" w:color="auto"/>
      </w:divBdr>
      <w:divsChild>
        <w:div w:id="535317855">
          <w:marLeft w:val="0"/>
          <w:marRight w:val="0"/>
          <w:marTop w:val="0"/>
          <w:marBottom w:val="0"/>
          <w:divBdr>
            <w:top w:val="none" w:sz="0" w:space="0" w:color="auto"/>
            <w:left w:val="none" w:sz="0" w:space="0" w:color="auto"/>
            <w:bottom w:val="none" w:sz="0" w:space="0" w:color="auto"/>
            <w:right w:val="none" w:sz="0" w:space="0" w:color="auto"/>
          </w:divBdr>
        </w:div>
        <w:div w:id="1145438761">
          <w:marLeft w:val="0"/>
          <w:marRight w:val="0"/>
          <w:marTop w:val="0"/>
          <w:marBottom w:val="0"/>
          <w:divBdr>
            <w:top w:val="none" w:sz="0" w:space="0" w:color="auto"/>
            <w:left w:val="none" w:sz="0" w:space="0" w:color="auto"/>
            <w:bottom w:val="none" w:sz="0" w:space="0" w:color="auto"/>
            <w:right w:val="none" w:sz="0" w:space="0" w:color="auto"/>
          </w:divBdr>
        </w:div>
        <w:div w:id="1437099812">
          <w:marLeft w:val="0"/>
          <w:marRight w:val="0"/>
          <w:marTop w:val="0"/>
          <w:marBottom w:val="0"/>
          <w:divBdr>
            <w:top w:val="none" w:sz="0" w:space="0" w:color="auto"/>
            <w:left w:val="none" w:sz="0" w:space="0" w:color="auto"/>
            <w:bottom w:val="none" w:sz="0" w:space="0" w:color="auto"/>
            <w:right w:val="none" w:sz="0" w:space="0" w:color="auto"/>
          </w:divBdr>
        </w:div>
        <w:div w:id="1760103823">
          <w:marLeft w:val="0"/>
          <w:marRight w:val="0"/>
          <w:marTop w:val="0"/>
          <w:marBottom w:val="0"/>
          <w:divBdr>
            <w:top w:val="none" w:sz="0" w:space="0" w:color="auto"/>
            <w:left w:val="none" w:sz="0" w:space="0" w:color="auto"/>
            <w:bottom w:val="none" w:sz="0" w:space="0" w:color="auto"/>
            <w:right w:val="none" w:sz="0" w:space="0" w:color="auto"/>
          </w:divBdr>
        </w:div>
        <w:div w:id="1174801501">
          <w:marLeft w:val="0"/>
          <w:marRight w:val="0"/>
          <w:marTop w:val="0"/>
          <w:marBottom w:val="0"/>
          <w:divBdr>
            <w:top w:val="none" w:sz="0" w:space="0" w:color="auto"/>
            <w:left w:val="none" w:sz="0" w:space="0" w:color="auto"/>
            <w:bottom w:val="none" w:sz="0" w:space="0" w:color="auto"/>
            <w:right w:val="none" w:sz="0" w:space="0" w:color="auto"/>
          </w:divBdr>
        </w:div>
        <w:div w:id="1260018879">
          <w:marLeft w:val="0"/>
          <w:marRight w:val="0"/>
          <w:marTop w:val="0"/>
          <w:marBottom w:val="0"/>
          <w:divBdr>
            <w:top w:val="none" w:sz="0" w:space="0" w:color="auto"/>
            <w:left w:val="none" w:sz="0" w:space="0" w:color="auto"/>
            <w:bottom w:val="none" w:sz="0" w:space="0" w:color="auto"/>
            <w:right w:val="none" w:sz="0" w:space="0" w:color="auto"/>
          </w:divBdr>
        </w:div>
        <w:div w:id="878858123">
          <w:marLeft w:val="0"/>
          <w:marRight w:val="0"/>
          <w:marTop w:val="0"/>
          <w:marBottom w:val="0"/>
          <w:divBdr>
            <w:top w:val="none" w:sz="0" w:space="0" w:color="auto"/>
            <w:left w:val="none" w:sz="0" w:space="0" w:color="auto"/>
            <w:bottom w:val="none" w:sz="0" w:space="0" w:color="auto"/>
            <w:right w:val="none" w:sz="0" w:space="0" w:color="auto"/>
          </w:divBdr>
        </w:div>
        <w:div w:id="952707417">
          <w:marLeft w:val="0"/>
          <w:marRight w:val="0"/>
          <w:marTop w:val="0"/>
          <w:marBottom w:val="0"/>
          <w:divBdr>
            <w:top w:val="none" w:sz="0" w:space="0" w:color="auto"/>
            <w:left w:val="none" w:sz="0" w:space="0" w:color="auto"/>
            <w:bottom w:val="none" w:sz="0" w:space="0" w:color="auto"/>
            <w:right w:val="none" w:sz="0" w:space="0" w:color="auto"/>
          </w:divBdr>
        </w:div>
        <w:div w:id="1110931214">
          <w:marLeft w:val="0"/>
          <w:marRight w:val="0"/>
          <w:marTop w:val="0"/>
          <w:marBottom w:val="0"/>
          <w:divBdr>
            <w:top w:val="none" w:sz="0" w:space="0" w:color="auto"/>
            <w:left w:val="none" w:sz="0" w:space="0" w:color="auto"/>
            <w:bottom w:val="none" w:sz="0" w:space="0" w:color="auto"/>
            <w:right w:val="none" w:sz="0" w:space="0" w:color="auto"/>
          </w:divBdr>
        </w:div>
        <w:div w:id="1900482422">
          <w:marLeft w:val="0"/>
          <w:marRight w:val="0"/>
          <w:marTop w:val="0"/>
          <w:marBottom w:val="0"/>
          <w:divBdr>
            <w:top w:val="none" w:sz="0" w:space="0" w:color="auto"/>
            <w:left w:val="none" w:sz="0" w:space="0" w:color="auto"/>
            <w:bottom w:val="none" w:sz="0" w:space="0" w:color="auto"/>
            <w:right w:val="none" w:sz="0" w:space="0" w:color="auto"/>
          </w:divBdr>
        </w:div>
        <w:div w:id="523639528">
          <w:marLeft w:val="0"/>
          <w:marRight w:val="0"/>
          <w:marTop w:val="0"/>
          <w:marBottom w:val="0"/>
          <w:divBdr>
            <w:top w:val="none" w:sz="0" w:space="0" w:color="auto"/>
            <w:left w:val="none" w:sz="0" w:space="0" w:color="auto"/>
            <w:bottom w:val="none" w:sz="0" w:space="0" w:color="auto"/>
            <w:right w:val="none" w:sz="0" w:space="0" w:color="auto"/>
          </w:divBdr>
        </w:div>
        <w:div w:id="1127553871">
          <w:marLeft w:val="0"/>
          <w:marRight w:val="0"/>
          <w:marTop w:val="0"/>
          <w:marBottom w:val="0"/>
          <w:divBdr>
            <w:top w:val="none" w:sz="0" w:space="0" w:color="auto"/>
            <w:left w:val="none" w:sz="0" w:space="0" w:color="auto"/>
            <w:bottom w:val="none" w:sz="0" w:space="0" w:color="auto"/>
            <w:right w:val="none" w:sz="0" w:space="0" w:color="auto"/>
          </w:divBdr>
        </w:div>
        <w:div w:id="791748621">
          <w:marLeft w:val="0"/>
          <w:marRight w:val="0"/>
          <w:marTop w:val="0"/>
          <w:marBottom w:val="0"/>
          <w:divBdr>
            <w:top w:val="none" w:sz="0" w:space="0" w:color="auto"/>
            <w:left w:val="none" w:sz="0" w:space="0" w:color="auto"/>
            <w:bottom w:val="none" w:sz="0" w:space="0" w:color="auto"/>
            <w:right w:val="none" w:sz="0" w:space="0" w:color="auto"/>
          </w:divBdr>
        </w:div>
        <w:div w:id="628390928">
          <w:marLeft w:val="0"/>
          <w:marRight w:val="0"/>
          <w:marTop w:val="0"/>
          <w:marBottom w:val="0"/>
          <w:divBdr>
            <w:top w:val="none" w:sz="0" w:space="0" w:color="auto"/>
            <w:left w:val="none" w:sz="0" w:space="0" w:color="auto"/>
            <w:bottom w:val="none" w:sz="0" w:space="0" w:color="auto"/>
            <w:right w:val="none" w:sz="0" w:space="0" w:color="auto"/>
          </w:divBdr>
        </w:div>
        <w:div w:id="285818791">
          <w:marLeft w:val="0"/>
          <w:marRight w:val="0"/>
          <w:marTop w:val="0"/>
          <w:marBottom w:val="0"/>
          <w:divBdr>
            <w:top w:val="none" w:sz="0" w:space="0" w:color="auto"/>
            <w:left w:val="none" w:sz="0" w:space="0" w:color="auto"/>
            <w:bottom w:val="none" w:sz="0" w:space="0" w:color="auto"/>
            <w:right w:val="none" w:sz="0" w:space="0" w:color="auto"/>
          </w:divBdr>
        </w:div>
        <w:div w:id="327249331">
          <w:marLeft w:val="0"/>
          <w:marRight w:val="0"/>
          <w:marTop w:val="0"/>
          <w:marBottom w:val="0"/>
          <w:divBdr>
            <w:top w:val="none" w:sz="0" w:space="0" w:color="auto"/>
            <w:left w:val="none" w:sz="0" w:space="0" w:color="auto"/>
            <w:bottom w:val="none" w:sz="0" w:space="0" w:color="auto"/>
            <w:right w:val="none" w:sz="0" w:space="0" w:color="auto"/>
          </w:divBdr>
        </w:div>
        <w:div w:id="324944281">
          <w:marLeft w:val="0"/>
          <w:marRight w:val="0"/>
          <w:marTop w:val="0"/>
          <w:marBottom w:val="0"/>
          <w:divBdr>
            <w:top w:val="none" w:sz="0" w:space="0" w:color="auto"/>
            <w:left w:val="none" w:sz="0" w:space="0" w:color="auto"/>
            <w:bottom w:val="none" w:sz="0" w:space="0" w:color="auto"/>
            <w:right w:val="none" w:sz="0" w:space="0" w:color="auto"/>
          </w:divBdr>
        </w:div>
        <w:div w:id="724063735">
          <w:marLeft w:val="0"/>
          <w:marRight w:val="0"/>
          <w:marTop w:val="0"/>
          <w:marBottom w:val="0"/>
          <w:divBdr>
            <w:top w:val="none" w:sz="0" w:space="0" w:color="auto"/>
            <w:left w:val="none" w:sz="0" w:space="0" w:color="auto"/>
            <w:bottom w:val="none" w:sz="0" w:space="0" w:color="auto"/>
            <w:right w:val="none" w:sz="0" w:space="0" w:color="auto"/>
          </w:divBdr>
        </w:div>
        <w:div w:id="2052724388">
          <w:marLeft w:val="0"/>
          <w:marRight w:val="0"/>
          <w:marTop w:val="0"/>
          <w:marBottom w:val="0"/>
          <w:divBdr>
            <w:top w:val="none" w:sz="0" w:space="0" w:color="auto"/>
            <w:left w:val="none" w:sz="0" w:space="0" w:color="auto"/>
            <w:bottom w:val="none" w:sz="0" w:space="0" w:color="auto"/>
            <w:right w:val="none" w:sz="0" w:space="0" w:color="auto"/>
          </w:divBdr>
        </w:div>
        <w:div w:id="492332229">
          <w:marLeft w:val="0"/>
          <w:marRight w:val="0"/>
          <w:marTop w:val="0"/>
          <w:marBottom w:val="0"/>
          <w:divBdr>
            <w:top w:val="none" w:sz="0" w:space="0" w:color="auto"/>
            <w:left w:val="none" w:sz="0" w:space="0" w:color="auto"/>
            <w:bottom w:val="none" w:sz="0" w:space="0" w:color="auto"/>
            <w:right w:val="none" w:sz="0" w:space="0" w:color="auto"/>
          </w:divBdr>
        </w:div>
        <w:div w:id="2071611031">
          <w:marLeft w:val="0"/>
          <w:marRight w:val="0"/>
          <w:marTop w:val="0"/>
          <w:marBottom w:val="0"/>
          <w:divBdr>
            <w:top w:val="none" w:sz="0" w:space="0" w:color="auto"/>
            <w:left w:val="none" w:sz="0" w:space="0" w:color="auto"/>
            <w:bottom w:val="none" w:sz="0" w:space="0" w:color="auto"/>
            <w:right w:val="none" w:sz="0" w:space="0" w:color="auto"/>
          </w:divBdr>
        </w:div>
      </w:divsChild>
    </w:div>
    <w:div w:id="773331333">
      <w:bodyDiv w:val="1"/>
      <w:marLeft w:val="0"/>
      <w:marRight w:val="0"/>
      <w:marTop w:val="0"/>
      <w:marBottom w:val="0"/>
      <w:divBdr>
        <w:top w:val="none" w:sz="0" w:space="0" w:color="auto"/>
        <w:left w:val="none" w:sz="0" w:space="0" w:color="auto"/>
        <w:bottom w:val="none" w:sz="0" w:space="0" w:color="auto"/>
        <w:right w:val="none" w:sz="0" w:space="0" w:color="auto"/>
      </w:divBdr>
    </w:div>
    <w:div w:id="1195072810">
      <w:bodyDiv w:val="1"/>
      <w:marLeft w:val="0"/>
      <w:marRight w:val="0"/>
      <w:marTop w:val="0"/>
      <w:marBottom w:val="0"/>
      <w:divBdr>
        <w:top w:val="none" w:sz="0" w:space="0" w:color="auto"/>
        <w:left w:val="none" w:sz="0" w:space="0" w:color="auto"/>
        <w:bottom w:val="none" w:sz="0" w:space="0" w:color="auto"/>
        <w:right w:val="none" w:sz="0" w:space="0" w:color="auto"/>
      </w:divBdr>
    </w:div>
    <w:div w:id="1401369719">
      <w:bodyDiv w:val="1"/>
      <w:marLeft w:val="0"/>
      <w:marRight w:val="0"/>
      <w:marTop w:val="0"/>
      <w:marBottom w:val="0"/>
      <w:divBdr>
        <w:top w:val="none" w:sz="0" w:space="0" w:color="auto"/>
        <w:left w:val="none" w:sz="0" w:space="0" w:color="auto"/>
        <w:bottom w:val="none" w:sz="0" w:space="0" w:color="auto"/>
        <w:right w:val="none" w:sz="0" w:space="0" w:color="auto"/>
      </w:divBdr>
    </w:div>
    <w:div w:id="164281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6</Pages>
  <Words>2404</Words>
  <Characters>13708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Adeline R Casali</dc:creator>
  <cp:keywords/>
  <dc:description/>
  <cp:lastModifiedBy>Adeline R Casali</cp:lastModifiedBy>
  <cp:revision>49</cp:revision>
  <dcterms:created xsi:type="dcterms:W3CDTF">2023-09-11T16:08:00Z</dcterms:created>
  <dcterms:modified xsi:type="dcterms:W3CDTF">2023-09-17T14:29:00Z</dcterms:modified>
</cp:coreProperties>
</file>