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agrama-de-arquitetura-de-alto-nível"/>
    <w:p>
      <w:pPr>
        <w:pStyle w:val="Heading1"/>
      </w:pPr>
      <w:r>
        <w:t xml:space="preserve">03 — Diagrama de Arquitetura de Alto Nível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lockText"/>
      </w:pPr>
      <w:r>
        <w:t xml:space="preserve">Este documento apresenta a arquitetura em</w:t>
      </w:r>
      <w:r>
        <w:t xml:space="preserve"> </w:t>
      </w:r>
      <w:r>
        <w:rPr>
          <w:b/>
          <w:bCs/>
        </w:rPr>
        <w:t xml:space="preserve">nível conceitual</w:t>
      </w:r>
      <w:r>
        <w:t xml:space="preserve">. Não expõe</w:t>
      </w:r>
      <w:r>
        <w:t xml:space="preserve"> </w:t>
      </w:r>
      <w:r>
        <w:t xml:space="preserve">segredos de implementação, endpoints internos, credenciais ou configurações</w:t>
      </w:r>
      <w:r>
        <w:t xml:space="preserve"> </w:t>
      </w:r>
      <w:r>
        <w:t xml:space="preserve">sensíveis.</w:t>
      </w:r>
    </w:p>
    <w:p>
      <w:r>
        <w:pict>
          <v:rect style="width:0;height:1.5pt" o:hralign="center" o:hrstd="t" o:hr="t"/>
        </w:pict>
      </w:r>
    </w:p>
    <w:bookmarkStart w:id="9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A EVNTTZ. adota uma arquitetura de</w:t>
      </w:r>
      <w:r>
        <w:t xml:space="preserve"> </w:t>
      </w:r>
      <w:r>
        <w:rPr>
          <w:b/>
          <w:bCs/>
        </w:rPr>
        <w:t xml:space="preserve">aplicações desacopladas</w:t>
      </w:r>
      <w:r>
        <w:t xml:space="preserve"> </w:t>
      </w:r>
      <w:r>
        <w:t xml:space="preserve">orientada a</w:t>
      </w:r>
      <w:r>
        <w:t xml:space="preserve"> </w:t>
      </w:r>
      <w:r>
        <w:t xml:space="preserve">capacidades de negócio. Uma</w:t>
      </w:r>
      <w:r>
        <w:t xml:space="preserve"> </w:t>
      </w:r>
      <w:r>
        <w:rPr>
          <w:b/>
          <w:bCs/>
        </w:rPr>
        <w:t xml:space="preserve">API central</w:t>
      </w:r>
      <w:r>
        <w:t xml:space="preserve"> </w:t>
      </w:r>
      <w:r>
        <w:t xml:space="preserve">concentra as regras de negócio e os</w:t>
      </w:r>
      <w:r>
        <w:t xml:space="preserve"> </w:t>
      </w:r>
      <w:r>
        <w:t xml:space="preserve">dados, enquanto múltiplas</w:t>
      </w:r>
      <w:r>
        <w:t xml:space="preserve"> </w:t>
      </w:r>
      <w:r>
        <w:rPr>
          <w:b/>
          <w:bCs/>
        </w:rPr>
        <w:t xml:space="preserve">aplicações de front-end</w:t>
      </w:r>
      <w:r>
        <w:t xml:space="preserve"> </w:t>
      </w:r>
      <w:r>
        <w:t xml:space="preserve">atendem a diferentes</w:t>
      </w:r>
      <w:r>
        <w:t xml:space="preserve"> </w:t>
      </w:r>
      <w:r>
        <w:t xml:space="preserve">personas e casos de uso. As aplicações são</w:t>
      </w:r>
      <w:r>
        <w:t xml:space="preserve"> </w:t>
      </w:r>
      <w:r>
        <w:rPr>
          <w:b/>
          <w:bCs/>
        </w:rPr>
        <w:t xml:space="preserve">independentemente implantáveis</w:t>
      </w:r>
      <w:r>
        <w:t xml:space="preserve"> </w:t>
      </w:r>
      <w:r>
        <w:t xml:space="preserve">e</w:t>
      </w:r>
      <w:r>
        <w:t xml:space="preserve"> </w:t>
      </w:r>
      <w:r>
        <w:t xml:space="preserve">não compartilham estado em tempo de execução.</w:t>
      </w:r>
    </w:p>
    <w:bookmarkEnd w:id="9"/>
    <w:bookmarkStart w:id="10" w:name="diagrama-de-arquitetura"/>
    <w:p>
      <w:pPr>
        <w:pStyle w:val="Heading2"/>
      </w:pPr>
      <w:r>
        <w:t xml:space="preserve">2. Diagrama de Arquitetura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Clientes["Camada de Apresentação"]</w:t>
      </w:r>
      <w:r>
        <w:br/>
      </w:r>
      <w:r>
        <w:rPr>
          <w:rStyle w:val="VerbatimChar"/>
        </w:rPr>
        <w:t xml:space="preserve">        Webapp[Webapp&lt;br/&gt;Administração e Produtor]</w:t>
      </w:r>
      <w:r>
        <w:br/>
      </w:r>
      <w:r>
        <w:rPr>
          <w:rStyle w:val="VerbatimChar"/>
        </w:rPr>
        <w:t xml:space="preserve">        Sales[Sales&lt;br/&gt;Checkout e Vendas]</w:t>
      </w:r>
      <w:r>
        <w:br/>
      </w:r>
      <w:r>
        <w:rPr>
          <w:rStyle w:val="VerbatimChar"/>
        </w:rPr>
        <w:t xml:space="preserve">        Gamification[Gamification&lt;br/&gt;Experiência Gamificada]</w:t>
      </w:r>
      <w:r>
        <w:br/>
      </w:r>
      <w:r>
        <w:rPr>
          <w:rStyle w:val="VerbatimChar"/>
        </w:rPr>
        <w:t xml:space="preserve">        Mobile[Apps Mobile&lt;br/&gt;Participante e Gamificação]</w:t>
      </w:r>
      <w:r>
        <w:br/>
      </w:r>
      <w:r>
        <w:rPr>
          <w:rStyle w:val="VerbatimChar"/>
        </w:rPr>
        <w:t xml:space="preserve">        Site[Site Institucional]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Nucleo["Camada de Aplicação"]</w:t>
      </w:r>
      <w:r>
        <w:br/>
      </w:r>
      <w:r>
        <w:rPr>
          <w:rStyle w:val="VerbatimChar"/>
        </w:rPr>
        <w:t xml:space="preserve">        API[API Central&lt;br/&gt;Regras de Negócio e Autenticação]</w:t>
      </w:r>
      <w:r>
        <w:br/>
      </w:r>
      <w:r>
        <w:rPr>
          <w:rStyle w:val="VerbatimChar"/>
        </w:rPr>
        <w:t xml:space="preserve">        Jobs[Processamento Assíncrono&lt;br/&gt;Tarefas em segundo plano]</w:t>
      </w:r>
      <w:r>
        <w:br/>
      </w:r>
      <w:r>
        <w:rPr>
          <w:rStyle w:val="VerbatimChar"/>
        </w:rPr>
        <w:t xml:space="preserve">        CMS[CMS Headless&lt;br/&gt;Gestão de Conteúdo]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Dados["Camada de Dados"]</w:t>
      </w:r>
      <w:r>
        <w:br/>
      </w:r>
      <w:r>
        <w:rPr>
          <w:rStyle w:val="VerbatimChar"/>
        </w:rPr>
        <w:t xml:space="preserve">        DB[(Banco de Dados Relacional)]</w:t>
      </w:r>
      <w:r>
        <w:br/>
      </w:r>
      <w:r>
        <w:rPr>
          <w:rStyle w:val="VerbatimChar"/>
        </w:rPr>
        <w:t xml:space="preserve">        Cache[(Cache / Fila)]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Externos["Serviços Externos"]</w:t>
      </w:r>
      <w:r>
        <w:br/>
      </w:r>
      <w:r>
        <w:rPr>
          <w:rStyle w:val="VerbatimChar"/>
        </w:rPr>
        <w:t xml:space="preserve">        Pagamento[Gateways de Pagamento]</w:t>
      </w:r>
      <w:r>
        <w:br/>
      </w:r>
      <w:r>
        <w:rPr>
          <w:rStyle w:val="VerbatimChar"/>
        </w:rPr>
        <w:t xml:space="preserve">        Storage[Armazenamento de Arquivos]</w:t>
      </w:r>
      <w:r>
        <w:br/>
      </w:r>
      <w:r>
        <w:rPr>
          <w:rStyle w:val="VerbatimChar"/>
        </w:rPr>
        <w:t xml:space="preserve">        Midia[Transcrição de Mídia]</w:t>
      </w:r>
      <w:r>
        <w:br/>
      </w:r>
      <w:r>
        <w:rPr>
          <w:rStyle w:val="VerbatimChar"/>
        </w:rPr>
        <w:t xml:space="preserve">        Observ[Monitoramento e Analytics]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Webapp --&gt;|HTTPS / REST| API</w:t>
      </w:r>
      <w:r>
        <w:br/>
      </w:r>
      <w:r>
        <w:rPr>
          <w:rStyle w:val="VerbatimChar"/>
        </w:rPr>
        <w:t xml:space="preserve">    Sales --&gt;|HTTPS / REST| API</w:t>
      </w:r>
      <w:r>
        <w:br/>
      </w:r>
      <w:r>
        <w:rPr>
          <w:rStyle w:val="VerbatimChar"/>
        </w:rPr>
        <w:t xml:space="preserve">    Gamification --&gt;|HTTPS / REST| API</w:t>
      </w:r>
      <w:r>
        <w:br/>
      </w:r>
      <w:r>
        <w:rPr>
          <w:rStyle w:val="VerbatimChar"/>
        </w:rPr>
        <w:t xml:space="preserve">    Mobile --&gt;|HTTPS / REST| API</w:t>
      </w:r>
      <w:r>
        <w:br/>
      </w:r>
      <w:r>
        <w:rPr>
          <w:rStyle w:val="VerbatimChar"/>
        </w:rPr>
        <w:t xml:space="preserve">    Site --&gt;|HTTPS / REST| API</w:t>
      </w:r>
      <w:r>
        <w:br/>
      </w:r>
      <w:r>
        <w:br/>
      </w:r>
      <w:r>
        <w:rPr>
          <w:rStyle w:val="VerbatimChar"/>
        </w:rPr>
        <w:t xml:space="preserve">    API --&gt; DB</w:t>
      </w:r>
      <w:r>
        <w:br/>
      </w:r>
      <w:r>
        <w:rPr>
          <w:rStyle w:val="VerbatimChar"/>
        </w:rPr>
        <w:t xml:space="preserve">    API --&gt; Cache</w:t>
      </w:r>
      <w:r>
        <w:br/>
      </w:r>
      <w:r>
        <w:rPr>
          <w:rStyle w:val="VerbatimChar"/>
        </w:rPr>
        <w:t xml:space="preserve">    API --&gt; Jobs</w:t>
      </w:r>
      <w:r>
        <w:br/>
      </w:r>
      <w:r>
        <w:rPr>
          <w:rStyle w:val="VerbatimChar"/>
        </w:rPr>
        <w:t xml:space="preserve">    Jobs --&gt; Cache</w:t>
      </w:r>
      <w:r>
        <w:br/>
      </w:r>
      <w:r>
        <w:br/>
      </w:r>
      <w:r>
        <w:rPr>
          <w:rStyle w:val="VerbatimChar"/>
        </w:rPr>
        <w:t xml:space="preserve">    API --&gt; Pagamento</w:t>
      </w:r>
      <w:r>
        <w:br/>
      </w:r>
      <w:r>
        <w:rPr>
          <w:rStyle w:val="VerbatimChar"/>
        </w:rPr>
        <w:t xml:space="preserve">    API --&gt; Storage</w:t>
      </w:r>
      <w:r>
        <w:br/>
      </w:r>
      <w:r>
        <w:rPr>
          <w:rStyle w:val="VerbatimChar"/>
        </w:rPr>
        <w:t xml:space="preserve">    API --&gt; Midia</w:t>
      </w:r>
      <w:r>
        <w:br/>
      </w:r>
      <w:r>
        <w:rPr>
          <w:rStyle w:val="VerbatimChar"/>
        </w:rPr>
        <w:t xml:space="preserve">    API --&gt; Observ</w:t>
      </w:r>
      <w:r>
        <w:br/>
      </w:r>
      <w:r>
        <w:br/>
      </w:r>
      <w:r>
        <w:rPr>
          <w:rStyle w:val="VerbatimChar"/>
        </w:rPr>
        <w:t xml:space="preserve">    CMS --&gt; Storage</w:t>
      </w:r>
      <w:r>
        <w:br/>
      </w:r>
      <w:r>
        <w:rPr>
          <w:rStyle w:val="VerbatimChar"/>
        </w:rPr>
        <w:t xml:space="preserve">    Webapp -.-&gt;|Conteúdo| CMS</w:t>
      </w:r>
      <w:r>
        <w:br/>
      </w:r>
      <w:r>
        <w:rPr>
          <w:rStyle w:val="VerbatimChar"/>
        </w:rPr>
        <w:t xml:space="preserve">    Site -.-&gt;|Conteúdo| CMS</w:t>
      </w:r>
    </w:p>
    <w:bookmarkEnd w:id="10"/>
    <w:bookmarkStart w:id="15" w:name="camadas-e-responsabilidades"/>
    <w:p>
      <w:pPr>
        <w:pStyle w:val="Heading2"/>
      </w:pPr>
      <w:r>
        <w:t xml:space="preserve">3. Camadas e Responsabilidades</w:t>
      </w:r>
    </w:p>
    <w:bookmarkStart w:id="11" w:name="camada-de-apresentação-front-ends"/>
    <w:p>
      <w:pPr>
        <w:pStyle w:val="Heading3"/>
      </w:pPr>
      <w:r>
        <w:t xml:space="preserve">3.1 Camada de Apresentação (Front-ends)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Webapp</w:t>
            </w:r>
          </w:p>
        </w:tc>
        <w:tc>
          <w:tcPr/>
          <w:p>
            <w:pPr>
              <w:pStyle w:val="Compact"/>
            </w:pPr>
            <w:r>
              <w:t xml:space="preserve">Painel administrativo e do produtor (multi-tenant).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Checkout isolado e páginas de venda otimizadas para conversão.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Experiência gamificada do participante (standalone e embarcável).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Apps Mobile</w:t>
            </w:r>
          </w:p>
        </w:tc>
        <w:tc>
          <w:tcPr/>
          <w:p>
            <w:pPr>
              <w:pStyle w:val="Compact"/>
            </w:pPr>
            <w:r>
              <w:t xml:space="preserve">Aplicativos do participante e da experiência gamificada.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Site institucional e marketing.</w:t>
            </w:r>
          </w:p>
        </w:tc>
      </w:tr>
    </w:tbl>
    <w:bookmarkEnd w:id="11"/>
    <w:bookmarkStart w:id="12" w:name="camada-de-aplicação"/>
    <w:p>
      <w:pPr>
        <w:pStyle w:val="Heading3"/>
      </w:pPr>
      <w:r>
        <w:t xml:space="preserve">3.2 Camada de Aplicação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Central</w:t>
            </w:r>
          </w:p>
        </w:tc>
        <w:tc>
          <w:tcPr/>
          <w:p>
            <w:pPr>
              <w:pStyle w:val="Compact"/>
            </w:pPr>
            <w:r>
              <w:t xml:space="preserve">Concentra regras de negócio, autenticação/autorização e exposição de dados via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Processamento Assíncrono</w:t>
            </w:r>
          </w:p>
        </w:tc>
        <w:tc>
          <w:tcPr/>
          <w:p>
            <w:pPr>
              <w:pStyle w:val="Compact"/>
            </w:pPr>
            <w:r>
              <w:t xml:space="preserve">Executa tarefas pesadas e diferidas (envios, processamentos, integrações).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 Headless</w:t>
            </w:r>
          </w:p>
        </w:tc>
        <w:tc>
          <w:tcPr/>
          <w:p>
            <w:pPr>
              <w:pStyle w:val="Compact"/>
            </w:pPr>
            <w:r>
              <w:t xml:space="preserve">Gerencia conteúdo editorial consumido pelas demais aplicações.</w:t>
            </w:r>
          </w:p>
        </w:tc>
      </w:tr>
    </w:tbl>
    <w:bookmarkEnd w:id="12"/>
    <w:bookmarkStart w:id="13" w:name="camada-de-dados"/>
    <w:p>
      <w:pPr>
        <w:pStyle w:val="Heading3"/>
      </w:pPr>
      <w:r>
        <w:t xml:space="preserve">3.3 Camada de Dados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de dados relacional</w:t>
      </w:r>
      <w:r>
        <w:t xml:space="preserve"> </w:t>
      </w:r>
      <w:r>
        <w:t xml:space="preserve">— fonte de verdade dos dados de negócio, com</w:t>
      </w:r>
      <w:r>
        <w:t xml:space="preserve"> </w:t>
      </w:r>
      <w:r>
        <w:rPr>
          <w:b/>
          <w:bCs/>
        </w:rPr>
        <w:t xml:space="preserve">isolamento multi-tenant</w:t>
      </w:r>
      <w:r>
        <w:t xml:space="preserve"> </w:t>
      </w:r>
      <w:r>
        <w:t xml:space="preserve">por organização/evento.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 / fila</w:t>
      </w:r>
      <w:r>
        <w:t xml:space="preserve"> </w:t>
      </w:r>
      <w:r>
        <w:t xml:space="preserve">— acelera leituras e suporta o processamento assíncrono.</w:t>
      </w:r>
    </w:p>
    <w:bookmarkEnd w:id="13"/>
    <w:bookmarkStart w:id="14" w:name="serviços-externos"/>
    <w:p>
      <w:pPr>
        <w:pStyle w:val="Heading3"/>
      </w:pPr>
      <w:r>
        <w:t xml:space="preserve">3.4 Serviços Externos</w:t>
      </w:r>
    </w:p>
    <w:p>
      <w:pPr>
        <w:pStyle w:val="FirstParagraph"/>
      </w:pPr>
      <w:r>
        <w:t xml:space="preserve">Pagamento, armazenamento de arquivos, transcrição de mídia e monitoramento são</w:t>
      </w:r>
      <w:r>
        <w:t xml:space="preserve"> </w:t>
      </w:r>
      <w:r>
        <w:t xml:space="preserve">consumidos pela API por meio de integrações</w:t>
      </w:r>
      <w:r>
        <w:t xml:space="preserve"> </w:t>
      </w:r>
      <w:r>
        <w:rPr>
          <w:b/>
          <w:bCs/>
        </w:rPr>
        <w:t xml:space="preserve">conceituais</w:t>
      </w:r>
      <w:r>
        <w:t xml:space="preserve"> </w:t>
      </w:r>
      <w:r>
        <w:t xml:space="preserve">— sem exposição de</w:t>
      </w:r>
      <w:r>
        <w:t xml:space="preserve"> </w:t>
      </w:r>
      <w:r>
        <w:t xml:space="preserve">credenciais ou endpoints nesta documentação.</w:t>
      </w:r>
    </w:p>
    <w:bookmarkEnd w:id="14"/>
    <w:bookmarkEnd w:id="15"/>
    <w:bookmarkStart w:id="16" w:name="princípios-arquiteturais"/>
    <w:p>
      <w:pPr>
        <w:pStyle w:val="Heading2"/>
      </w:pPr>
      <w:r>
        <w:t xml:space="preserve">4. Princípios Arquiteturais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Desacoplamento</w:t>
      </w:r>
      <w:r>
        <w:t xml:space="preserve"> </w:t>
      </w:r>
      <w:r>
        <w:t xml:space="preserve">— comunicação exclusiva via API REST sobre HTTPS.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Multi-tenancy</w:t>
      </w:r>
      <w:r>
        <w:t xml:space="preserve"> </w:t>
      </w:r>
      <w:r>
        <w:t xml:space="preserve">— isolamento de dados por organização/evento em toda consulta.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Implantação independente</w:t>
      </w:r>
      <w:r>
        <w:t xml:space="preserve"> </w:t>
      </w:r>
      <w:r>
        <w:t xml:space="preserve">— cada aplicação evolui e escala separadamente.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Segurança por padrão</w:t>
      </w:r>
      <w:r>
        <w:t xml:space="preserve"> </w:t>
      </w:r>
      <w:r>
        <w:t xml:space="preserve">— autenticação OAuth2 e autorização por perfil.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Escalabilidade horizontal</w:t>
      </w:r>
      <w:r>
        <w:t xml:space="preserve"> </w:t>
      </w:r>
      <w:r>
        <w:t xml:space="preserve">— front-ends e workers escaláveis sob demanda.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Observabilidade</w:t>
      </w:r>
      <w:r>
        <w:t xml:space="preserve"> </w:t>
      </w:r>
      <w:r>
        <w:t xml:space="preserve">— monitoramento de erros e métricas em produção.</w:t>
      </w:r>
    </w:p>
    <w:bookmarkEnd w:id="16"/>
    <w:bookmarkStart w:id="17" w:name="padrões-de-comunicação"/>
    <w:p>
      <w:pPr>
        <w:pStyle w:val="Heading2"/>
      </w:pPr>
      <w:r>
        <w:t xml:space="preserve">5. Padrões de Comunicação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Front-ends ↔ API:</w:t>
      </w:r>
      <w:r>
        <w:t xml:space="preserve"> </w:t>
      </w:r>
      <w:r>
        <w:t xml:space="preserve">HTTPS / REST com autenticação por token (OAuth2).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↔ Serviços externos:</w:t>
      </w:r>
      <w:r>
        <w:t xml:space="preserve"> </w:t>
      </w:r>
      <w:r>
        <w:t xml:space="preserve">integrações seguras server-to-server.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Tarefas assíncronas:</w:t>
      </w:r>
      <w:r>
        <w:t xml:space="preserve"> </w:t>
      </w:r>
      <w:r>
        <w:t xml:space="preserve">desacopladas por fila, sem bloquear requisições do usuário.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2026-06-10T14:12:46Z</dcterms:created>
  <dcterms:modified xsi:type="dcterms:W3CDTF">2026-06-10T14:12:46Z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