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diagrama-de-fluxo-de-dados-conceitual"/>
    <w:p>
      <w:pPr>
        <w:pStyle w:val="Heading1"/>
      </w:pPr>
      <w:r>
        <w:t xml:space="preserve">04 — Diagrama de Fluxo de Dados (Conceitual)</w:t>
      </w:r>
    </w:p>
    <w:p>
      <w:pPr>
        <w:pStyle w:val="FirstParagraph"/>
      </w:pPr>
      <w:r>
        <w:rPr>
          <w:b/>
          <w:bCs/>
        </w:rPr>
        <w:t xml:space="preserve">Plataforma:</w:t>
      </w:r>
      <w:r>
        <w:t xml:space="preserve"> </w:t>
      </w:r>
      <w:r>
        <w:t xml:space="preserve">EVNTTZ.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2026-06-09</w:t>
      </w:r>
    </w:p>
    <w:p>
      <w:pPr>
        <w:pStyle w:val="BlockText"/>
      </w:pPr>
      <w:r>
        <w:t xml:space="preserve">Fluxo de dados em</w:t>
      </w:r>
      <w:r>
        <w:t xml:space="preserve"> </w:t>
      </w:r>
      <w:r>
        <w:rPr>
          <w:b/>
          <w:bCs/>
        </w:rPr>
        <w:t xml:space="preserve">nível conceitual</w:t>
      </w:r>
      <w:r>
        <w:t xml:space="preserve">. Não expõe credenciais, endpoints</w:t>
      </w:r>
      <w:r>
        <w:t xml:space="preserve"> </w:t>
      </w:r>
      <w:r>
        <w:t xml:space="preserve">internos, esquemas de banco ou configurações sensíveis.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Descrever, de forma conceitual, como os dados trafegam entre os atores e os</w:t>
      </w:r>
      <w:r>
        <w:t xml:space="preserve"> </w:t>
      </w:r>
      <w:r>
        <w:t xml:space="preserve">componentes da plataforma nos principais fluxos de negócio:</w:t>
      </w:r>
      <w:r>
        <w:t xml:space="preserve"> </w:t>
      </w:r>
      <w:r>
        <w:rPr>
          <w:b/>
          <w:bCs/>
        </w:rPr>
        <w:t xml:space="preserve">venda</w:t>
      </w:r>
      <w:r>
        <w:t xml:space="preserve">,</w:t>
      </w:r>
      <w:r>
        <w:t xml:space="preserve"> </w:t>
      </w:r>
      <w:r>
        <w:rPr>
          <w:b/>
          <w:bCs/>
        </w:rPr>
        <w:t xml:space="preserve">check-in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gamificação</w:t>
      </w:r>
      <w:r>
        <w:t xml:space="preserve">.</w:t>
      </w:r>
    </w:p>
    <w:bookmarkEnd w:id="9"/>
    <w:bookmarkStart w:id="10" w:name="fluxo-de-dados-visão-geral"/>
    <w:p>
      <w:pPr>
        <w:pStyle w:val="Heading2"/>
      </w:pPr>
      <w:r>
        <w:t xml:space="preserve">2. Fluxo de Dados — Visão Geral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Participante((Participante)) --&gt;|Dados de compra/interação| Frontends[Aplicações de Front-end]</w:t>
      </w:r>
      <w:r>
        <w:br/>
      </w:r>
      <w:r>
        <w:rPr>
          <w:rStyle w:val="VerbatimChar"/>
        </w:rPr>
        <w:t xml:space="preserve">    Produtor((Produtor)) --&gt;|Configurações de evento| Frontends</w:t>
      </w:r>
      <w:r>
        <w:br/>
      </w:r>
      <w:r>
        <w:rPr>
          <w:rStyle w:val="VerbatimChar"/>
        </w:rPr>
        <w:t xml:space="preserve">    Frontends --&gt;|Requisições autenticadas| API[API Central]</w:t>
      </w:r>
      <w:r>
        <w:br/>
      </w:r>
      <w:r>
        <w:rPr>
          <w:rStyle w:val="VerbatimChar"/>
        </w:rPr>
        <w:t xml:space="preserve">    API --&gt;|Leitura/Escrita| Dados[(Repositório de Dados)]</w:t>
      </w:r>
      <w:r>
        <w:br/>
      </w:r>
      <w:r>
        <w:rPr>
          <w:rStyle w:val="VerbatimChar"/>
        </w:rPr>
        <w:t xml:space="preserve">    API --&gt;|Tarefas diferidas| Async[Processamento Assíncrono]</w:t>
      </w:r>
      <w:r>
        <w:br/>
      </w:r>
      <w:r>
        <w:rPr>
          <w:rStyle w:val="VerbatimChar"/>
        </w:rPr>
        <w:t xml:space="preserve">    Async --&gt; Dados</w:t>
      </w:r>
      <w:r>
        <w:br/>
      </w:r>
      <w:r>
        <w:rPr>
          <w:rStyle w:val="VerbatimChar"/>
        </w:rPr>
        <w:t xml:space="preserve">    API &lt;--&gt;|Integrações| Externos[Serviços Externos]</w:t>
      </w:r>
      <w:r>
        <w:br/>
      </w:r>
      <w:r>
        <w:rPr>
          <w:rStyle w:val="VerbatimChar"/>
        </w:rPr>
        <w:t xml:space="preserve">    API --&gt;|Respostas / Relatórios| Frontends</w:t>
      </w:r>
      <w:r>
        <w:br/>
      </w:r>
      <w:r>
        <w:rPr>
          <w:rStyle w:val="VerbatimChar"/>
        </w:rPr>
        <w:t xml:space="preserve">    Frontends --&gt;|Visualização| Participante</w:t>
      </w:r>
      <w:r>
        <w:br/>
      </w:r>
      <w:r>
        <w:rPr>
          <w:rStyle w:val="VerbatimChar"/>
        </w:rPr>
        <w:t xml:space="preserve">    Frontends --&gt;|Dashboards| Produtor</w:t>
      </w:r>
    </w:p>
    <w:bookmarkEnd w:id="10"/>
    <w:bookmarkStart w:id="11" w:name="fluxo-de-venda-conceitual"/>
    <w:p>
      <w:pPr>
        <w:pStyle w:val="Heading2"/>
      </w:pPr>
      <w:r>
        <w:t xml:space="preserve">3. Fluxo de Venda (Conceitual)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A[Participante seleciona ingresso] --&gt; B[Front-end de Vendas]</w:t>
      </w:r>
      <w:r>
        <w:br/>
      </w:r>
      <w:r>
        <w:rPr>
          <w:rStyle w:val="VerbatimChar"/>
        </w:rPr>
        <w:t xml:space="preserve">    B --&gt; C[API valida disponibilidade e regras]</w:t>
      </w:r>
      <w:r>
        <w:br/>
      </w:r>
      <w:r>
        <w:rPr>
          <w:rStyle w:val="VerbatimChar"/>
        </w:rPr>
        <w:t xml:space="preserve">    C --&gt; D[Integração com gateway de pagamento]</w:t>
      </w:r>
      <w:r>
        <w:br/>
      </w:r>
      <w:r>
        <w:rPr>
          <w:rStyle w:val="VerbatimChar"/>
        </w:rPr>
        <w:t xml:space="preserve">    D --&gt; E{Pagamento aprovado?}</w:t>
      </w:r>
      <w:r>
        <w:br/>
      </w:r>
      <w:r>
        <w:rPr>
          <w:rStyle w:val="VerbatimChar"/>
        </w:rPr>
        <w:t xml:space="preserve">    E -- Sim --&gt; F[Geração de pedido e ingresso]</w:t>
      </w:r>
      <w:r>
        <w:br/>
      </w:r>
      <w:r>
        <w:rPr>
          <w:rStyle w:val="VerbatimChar"/>
        </w:rPr>
        <w:t xml:space="preserve">    E -- Não --&gt; G[Pedido não confirmado]</w:t>
      </w:r>
      <w:r>
        <w:br/>
      </w:r>
      <w:r>
        <w:rPr>
          <w:rStyle w:val="VerbatimChar"/>
        </w:rPr>
        <w:t xml:space="preserve">    F --&gt; H[Notificação ao participante]</w:t>
      </w:r>
      <w:r>
        <w:br/>
      </w:r>
      <w:r>
        <w:rPr>
          <w:rStyle w:val="VerbatimChar"/>
        </w:rPr>
        <w:t xml:space="preserve">    F --&gt; I[Atualização de relatórios do produtor]</w:t>
      </w:r>
    </w:p>
    <w:p>
      <w:pPr>
        <w:pStyle w:val="FirstParagraph"/>
      </w:pPr>
      <w:r>
        <w:rPr>
          <w:b/>
          <w:bCs/>
        </w:rPr>
        <w:t xml:space="preserve">Dados envolvidos (categorias):</w:t>
      </w:r>
      <w:r>
        <w:t xml:space="preserve"> </w:t>
      </w:r>
      <w:r>
        <w:t xml:space="preserve">dados cadastrais do comprador, dados do</w:t>
      </w:r>
      <w:r>
        <w:t xml:space="preserve"> </w:t>
      </w:r>
      <w:r>
        <w:t xml:space="preserve">pedido/ingresso e confirmação de pagamento.</w:t>
      </w:r>
      <w:r>
        <w:t xml:space="preserve"> </w:t>
      </w:r>
      <w:r>
        <w:rPr>
          <w:b/>
          <w:bCs/>
        </w:rPr>
        <w:t xml:space="preserve">Dados sensíveis de pagamento são</w:t>
      </w:r>
      <w:r>
        <w:rPr>
          <w:b/>
          <w:bCs/>
        </w:rPr>
        <w:t xml:space="preserve"> </w:t>
      </w:r>
      <w:r>
        <w:rPr>
          <w:b/>
          <w:bCs/>
        </w:rPr>
        <w:t xml:space="preserve">tratados pelo gateway externo</w:t>
      </w:r>
      <w:r>
        <w:t xml:space="preserve">, não trafegando de forma exposta na plataforma.</w:t>
      </w:r>
    </w:p>
    <w:bookmarkEnd w:id="11"/>
    <w:bookmarkStart w:id="12" w:name="fluxo-de-check-in-conceitual"/>
    <w:p>
      <w:pPr>
        <w:pStyle w:val="Heading2"/>
      </w:pPr>
      <w:r>
        <w:t xml:space="preserve">4. Fluxo de Check-in (Conceitual)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A[Ingresso com QR Code] --&gt; B[Aplicação de Check-in]</w:t>
      </w:r>
      <w:r>
        <w:br/>
      </w:r>
      <w:r>
        <w:rPr>
          <w:rStyle w:val="VerbatimChar"/>
        </w:rPr>
        <w:t xml:space="preserve">    B --&gt; C[API valida ingresso e titularidade]</w:t>
      </w:r>
      <w:r>
        <w:br/>
      </w:r>
      <w:r>
        <w:rPr>
          <w:rStyle w:val="VerbatimChar"/>
        </w:rPr>
        <w:t xml:space="preserve">    C --&gt; D{Ingresso válido?}</w:t>
      </w:r>
      <w:r>
        <w:br/>
      </w:r>
      <w:r>
        <w:rPr>
          <w:rStyle w:val="VerbatimChar"/>
        </w:rPr>
        <w:t xml:space="preserve">    D -- Sim --&gt; E[Registro de presença]</w:t>
      </w:r>
      <w:r>
        <w:br/>
      </w:r>
      <w:r>
        <w:rPr>
          <w:rStyle w:val="VerbatimChar"/>
        </w:rPr>
        <w:t xml:space="preserve">    D -- Não --&gt; F[Acesso negado]</w:t>
      </w:r>
      <w:r>
        <w:br/>
      </w:r>
      <w:r>
        <w:rPr>
          <w:rStyle w:val="VerbatimChar"/>
        </w:rPr>
        <w:t xml:space="preserve">    E --&gt; G[Atualização de status e relatórios]</w:t>
      </w:r>
    </w:p>
    <w:bookmarkEnd w:id="12"/>
    <w:bookmarkStart w:id="13" w:name="fluxo-de-gamificação-conceitual"/>
    <w:p>
      <w:pPr>
        <w:pStyle w:val="Heading2"/>
      </w:pPr>
      <w:r>
        <w:t xml:space="preserve">5. Fluxo de Gamificação (Conceitual)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A[Ação do participante] --&gt; B[App de Gamificação]</w:t>
      </w:r>
      <w:r>
        <w:br/>
      </w:r>
      <w:r>
        <w:rPr>
          <w:rStyle w:val="VerbatimChar"/>
        </w:rPr>
        <w:t xml:space="preserve">    B --&gt; C[API registra a ação e aplica regras]</w:t>
      </w:r>
      <w:r>
        <w:br/>
      </w:r>
      <w:r>
        <w:rPr>
          <w:rStyle w:val="VerbatimChar"/>
        </w:rPr>
        <w:t xml:space="preserve">    C --&gt; D[Atualização da carteira de pontos]</w:t>
      </w:r>
      <w:r>
        <w:br/>
      </w:r>
      <w:r>
        <w:rPr>
          <w:rStyle w:val="VerbatimChar"/>
        </w:rPr>
        <w:t xml:space="preserve">    D --&gt; E[Avaliação de progresso e conquistas]</w:t>
      </w:r>
      <w:r>
        <w:br/>
      </w:r>
      <w:r>
        <w:rPr>
          <w:rStyle w:val="VerbatimChar"/>
        </w:rPr>
        <w:t xml:space="preserve">    E --&gt; F[Concessão de medalhas/níveis]</w:t>
      </w:r>
      <w:r>
        <w:br/>
      </w:r>
      <w:r>
        <w:rPr>
          <w:rStyle w:val="VerbatimChar"/>
        </w:rPr>
        <w:t xml:space="preserve">    F --&gt; G[Disponibilização na Lojinha]</w:t>
      </w:r>
      <w:r>
        <w:br/>
      </w:r>
      <w:r>
        <w:rPr>
          <w:rStyle w:val="VerbatimChar"/>
        </w:rPr>
        <w:t xml:space="preserve">    G --&gt; H[Resgate de recompensas]</w:t>
      </w:r>
      <w:r>
        <w:br/>
      </w:r>
      <w:r>
        <w:rPr>
          <w:rStyle w:val="VerbatimChar"/>
        </w:rPr>
        <w:t xml:space="preserve">    C --&gt; I[Dados de engajamento para relatórios]</w:t>
      </w:r>
    </w:p>
    <w:bookmarkEnd w:id="13"/>
    <w:bookmarkStart w:id="14" w:name="categorias-de-dados-tratados"/>
    <w:p>
      <w:pPr>
        <w:pStyle w:val="Heading2"/>
      </w:pPr>
      <w:r>
        <w:t xml:space="preserve">6. Categorias de Dados Tratados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4044"/>
        <w:gridCol w:w="20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Exemplos (conceituais)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Identidade</w:t>
            </w:r>
          </w:p>
        </w:tc>
        <w:tc>
          <w:tcPr/>
          <w:p>
            <w:pPr>
              <w:pStyle w:val="Compact"/>
            </w:pPr>
            <w:r>
              <w:t xml:space="preserve">Nome, e-mail, perfil de acesso</w:t>
            </w:r>
          </w:p>
        </w:tc>
        <w:tc>
          <w:tcPr/>
          <w:p>
            <w:pPr>
              <w:pStyle w:val="Compact"/>
            </w:pPr>
            <w:r>
              <w:t xml:space="preserve">Protegido por autenticação e LGPD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Eventos</w:t>
            </w:r>
          </w:p>
        </w:tc>
        <w:tc>
          <w:tcPr/>
          <w:p>
            <w:pPr>
              <w:pStyle w:val="Compact"/>
            </w:pPr>
            <w:r>
              <w:t xml:space="preserve">Configurações, datas, locais, programação</w:t>
            </w:r>
          </w:p>
        </w:tc>
        <w:tc>
          <w:tcPr/>
          <w:p>
            <w:pPr>
              <w:pStyle w:val="Compact"/>
            </w:pPr>
            <w:r>
              <w:t xml:space="preserve">Isolado por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Comercial</w:t>
            </w:r>
          </w:p>
        </w:tc>
        <w:tc>
          <w:tcPr/>
          <w:p>
            <w:pPr>
              <w:pStyle w:val="Compact"/>
            </w:pPr>
            <w:r>
              <w:t xml:space="preserve">Pedidos, ingressos, cupons</w:t>
            </w:r>
          </w:p>
        </w:tc>
        <w:tc>
          <w:tcPr/>
          <w:p>
            <w:pPr>
              <w:pStyle w:val="Compact"/>
            </w:pPr>
            <w:r>
              <w:t xml:space="preserve">Confirmação de pagamento via gateway externo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Gamificação</w:t>
            </w:r>
          </w:p>
        </w:tc>
        <w:tc>
          <w:tcPr/>
          <w:p>
            <w:pPr>
              <w:pStyle w:val="Compact"/>
            </w:pPr>
            <w:r>
              <w:t xml:space="preserve">Pontos, conquistas, progresso, interações</w:t>
            </w:r>
          </w:p>
        </w:tc>
        <w:tc>
          <w:tcPr/>
          <w:p>
            <w:pPr>
              <w:pStyle w:val="Compact"/>
            </w:pPr>
            <w:r>
              <w:t xml:space="preserve">Base do engajamento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Conteúdo</w:t>
            </w:r>
          </w:p>
        </w:tc>
        <w:tc>
          <w:tcPr/>
          <w:p>
            <w:pPr>
              <w:pStyle w:val="Compact"/>
            </w:pPr>
            <w:r>
              <w:t xml:space="preserve">Páginas, mídias, materiais</w:t>
            </w:r>
          </w:p>
        </w:tc>
        <w:tc>
          <w:tcPr/>
          <w:p>
            <w:pPr>
              <w:pStyle w:val="Compact"/>
            </w:pPr>
            <w:r>
              <w:t xml:space="preserve">Gerenciado no 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Operacional</w:t>
            </w:r>
          </w:p>
        </w:tc>
        <w:tc>
          <w:tcPr/>
          <w:p>
            <w:pPr>
              <w:pStyle w:val="Compact"/>
            </w:pPr>
            <w:r>
              <w:t xml:space="preserve">Logs de erro e métricas</w:t>
            </w:r>
          </w:p>
        </w:tc>
        <w:tc>
          <w:tcPr/>
          <w:p>
            <w:pPr>
              <w:pStyle w:val="Compact"/>
            </w:pPr>
            <w:r>
              <w:t xml:space="preserve">Para monitoramento</w:t>
            </w:r>
          </w:p>
        </w:tc>
      </w:tr>
    </w:tbl>
    <w:bookmarkEnd w:id="14"/>
    <w:bookmarkStart w:id="15" w:name="princípios-de-tratamento-de-dados"/>
    <w:p>
      <w:pPr>
        <w:pStyle w:val="Heading2"/>
      </w:pPr>
      <w:r>
        <w:t xml:space="preserve">7. Princípios de Tratamento de Dados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Isolamento multi-tenant</w:t>
      </w:r>
      <w:r>
        <w:t xml:space="preserve"> </w:t>
      </w:r>
      <w:r>
        <w:t xml:space="preserve">— dados segregados por organização/evento.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Trânsito seguro</w:t>
      </w:r>
      <w:r>
        <w:t xml:space="preserve"> </w:t>
      </w:r>
      <w:r>
        <w:t xml:space="preserve">— comunicação cifrada (HTTPS) entre todas as camadas.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Minimização de exposição</w:t>
      </w:r>
      <w:r>
        <w:t xml:space="preserve"> </w:t>
      </w:r>
      <w:r>
        <w:t xml:space="preserve">— dados sensíveis de pagamento delegados a parceiros especializados.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Aderência à LGPD</w:t>
      </w:r>
      <w:r>
        <w:t xml:space="preserve"> </w:t>
      </w:r>
      <w:r>
        <w:t xml:space="preserve">— coleta, uso e retenção de dados pessoais conforme finalidade.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Rastreabilidade</w:t>
      </w:r>
      <w:r>
        <w:t xml:space="preserve"> </w:t>
      </w:r>
      <w:r>
        <w:t xml:space="preserve">— movimentações relevantes (ex.: carteira) são registradas.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2026-06-10T14:12:46Z</dcterms:created>
  <dcterms:modified xsi:type="dcterms:W3CDTF">2026-06-10T14:12:46Z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