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pacidade-integrações-e-operação"/>
    <w:p>
      <w:pPr>
        <w:pStyle w:val="Heading1"/>
      </w:pPr>
      <w:r>
        <w:t xml:space="preserve">05 — Capacidade, Integrações e Operação</w:t>
      </w:r>
    </w:p>
    <w:p>
      <w:pPr>
        <w:pStyle w:val="FirstParagraph"/>
      </w:pPr>
      <w:r>
        <w:rPr>
          <w:b/>
          <w:bCs/>
        </w:rPr>
        <w:t xml:space="preserve">Plataforma:</w:t>
      </w:r>
      <w:r>
        <w:t xml:space="preserve"> </w:t>
      </w:r>
      <w:r>
        <w:t xml:space="preserve">EVNTTZ.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2026-06-09</w:t>
      </w:r>
    </w:p>
    <w:p>
      <w:pPr>
        <w:pStyle w:val="BodyText"/>
      </w:pPr>
      <w:r>
        <w:t xml:space="preserve">Relatório resumido sobre suporte a usuários simultâneos, integrações,</w:t>
      </w:r>
      <w:r>
        <w:t xml:space="preserve"> </w:t>
      </w:r>
      <w:r>
        <w:t xml:space="preserve">acessibilidade, backup e monitoramento.</w:t>
      </w:r>
    </w:p>
    <w:p>
      <w:r>
        <w:pict>
          <v:rect style="width:0;height:1.5pt" o:hralign="center" o:hrstd="t" o:hr="t"/>
        </w:pict>
      </w:r>
    </w:p>
    <w:bookmarkStart w:id="9" w:name="suporte-a-usuários-simultâneos"/>
    <w:p>
      <w:pPr>
        <w:pStyle w:val="Heading2"/>
      </w:pPr>
      <w:r>
        <w:t xml:space="preserve">1. Suporte a Usuários Simultâneos</w:t>
      </w:r>
    </w:p>
    <w:p>
      <w:pPr>
        <w:pStyle w:val="FirstParagraph"/>
      </w:pPr>
      <w:r>
        <w:t xml:space="preserve">A arquitetura foi concebida para suportar</w:t>
      </w:r>
      <w:r>
        <w:t xml:space="preserve"> </w:t>
      </w:r>
      <w:r>
        <w:rPr>
          <w:b/>
          <w:bCs/>
        </w:rPr>
        <w:t xml:space="preserve">picos de acesso simultâneo</w:t>
      </w:r>
      <w:r>
        <w:t xml:space="preserve">,</w:t>
      </w:r>
      <w:r>
        <w:t xml:space="preserve"> </w:t>
      </w:r>
      <w:r>
        <w:t xml:space="preserve">típicos de aberturas de venda e momentos de check-in em grandes eventos.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5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Como contribui para a capacidade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Aplicações desacopladas</w:t>
            </w:r>
          </w:p>
        </w:tc>
        <w:tc>
          <w:tcPr/>
          <w:p>
            <w:pPr>
              <w:pStyle w:val="Compact"/>
            </w:pPr>
            <w:r>
              <w:t xml:space="preserve">Cada front-end escala de forma independente da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 horizontal</w:t>
            </w:r>
          </w:p>
        </w:tc>
        <w:tc>
          <w:tcPr/>
          <w:p>
            <w:pPr>
              <w:pStyle w:val="Compact"/>
            </w:pPr>
            <w:r>
              <w:t xml:space="preserve">Instâncias adicionais podem ser provisionadas sob demanda em nuvem.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Reduz carga no banco em leituras frequentes.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Processamento assíncrono</w:t>
            </w:r>
          </w:p>
        </w:tc>
        <w:tc>
          <w:tcPr/>
          <w:p>
            <w:pPr>
              <w:pStyle w:val="Compact"/>
            </w:pPr>
            <w:r>
              <w:t xml:space="preserve">Tarefas pesadas saem do caminho da requisição, mantendo a resposta rápida.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Sala de espera de checkout</w:t>
            </w:r>
          </w:p>
        </w:tc>
        <w:tc>
          <w:tcPr/>
          <w:p>
            <w:pPr>
              <w:pStyle w:val="Compact"/>
            </w:pPr>
            <w:r>
              <w:t xml:space="preserve">Controle de fluxo em picos de venda, preservando estabilidade.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isolado</w:t>
            </w:r>
          </w:p>
        </w:tc>
        <w:tc>
          <w:tcPr/>
          <w:p>
            <w:pPr>
              <w:pStyle w:val="Compact"/>
            </w:pPr>
            <w:r>
              <w:t xml:space="preserve">A aplicação de vendas escala separadamente nos momentos críticos.</w:t>
            </w:r>
          </w:p>
        </w:tc>
      </w:tr>
    </w:tbl>
    <w:p>
      <w:pPr>
        <w:pStyle w:val="BlockText"/>
      </w:pPr>
      <w:r>
        <w:t xml:space="preserve">A capacidade efetiva é dimensionada por ambiente de produção conforme o porte</w:t>
      </w:r>
      <w:r>
        <w:t xml:space="preserve"> </w:t>
      </w:r>
      <w:r>
        <w:t xml:space="preserve">do evento. Números detalhados de capacidade e configuração de infraestrutura</w:t>
      </w:r>
      <w:r>
        <w:t xml:space="preserve"> </w:t>
      </w:r>
      <w:r>
        <w:t xml:space="preserve">são fornecidos em ambiente controlado, quando exigido formalmente.</w:t>
      </w:r>
    </w:p>
    <w:bookmarkEnd w:id="9"/>
    <w:bookmarkStart w:id="10" w:name="integrações"/>
    <w:p>
      <w:pPr>
        <w:pStyle w:val="Heading2"/>
      </w:pPr>
      <w:r>
        <w:t xml:space="preserve">2. Integrações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3863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Tipo de Integração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Gateways de pagamento</w:t>
            </w:r>
          </w:p>
        </w:tc>
        <w:tc>
          <w:tcPr/>
          <w:p>
            <w:pPr>
              <w:pStyle w:val="Compact"/>
            </w:pPr>
            <w:r>
              <w:t xml:space="preserve">Processamento de cobranças e confirmação de pedidos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Serviço de object storage em nuvem</w:t>
            </w:r>
          </w:p>
        </w:tc>
        <w:tc>
          <w:tcPr/>
          <w:p>
            <w:pPr>
              <w:pStyle w:val="Compact"/>
            </w:pPr>
            <w:r>
              <w:t xml:space="preserve">Upload e entrega de arquivos e mídias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Transcrição de mídia</w:t>
            </w:r>
          </w:p>
        </w:tc>
        <w:tc>
          <w:tcPr/>
          <w:p>
            <w:pPr>
              <w:pStyle w:val="Compact"/>
            </w:pPr>
            <w:r>
              <w:t xml:space="preserve">Serviços de transcrição</w:t>
            </w:r>
          </w:p>
        </w:tc>
        <w:tc>
          <w:tcPr/>
          <w:p>
            <w:pPr>
              <w:pStyle w:val="Compact"/>
            </w:pPr>
            <w:r>
              <w:t xml:space="preserve">Geração de texto a partir de áudio/vídeo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OAuth2 e login federado (SSO)</w:t>
            </w:r>
          </w:p>
        </w:tc>
        <w:tc>
          <w:tcPr/>
          <w:p>
            <w:pPr>
              <w:pStyle w:val="Compact"/>
            </w:pPr>
            <w:r>
              <w:t xml:space="preserve">Acesso seguro e integração com parceiros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Apps parceiros</w:t>
            </w:r>
          </w:p>
        </w:tc>
        <w:tc>
          <w:tcPr/>
          <w:p>
            <w:pPr>
              <w:pStyle w:val="Compact"/>
            </w:pPr>
            <w:r>
              <w:t xml:space="preserve">Experiência embarcável (WebView/iframe)</w:t>
            </w:r>
          </w:p>
        </w:tc>
        <w:tc>
          <w:tcPr/>
          <w:p>
            <w:pPr>
              <w:pStyle w:val="Compact"/>
            </w:pPr>
            <w:r>
              <w:t xml:space="preserve">Gamificação dentro de apps de terceiros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Monitoramento/Analytics</w:t>
            </w:r>
          </w:p>
        </w:tc>
        <w:tc>
          <w:tcPr/>
          <w:p>
            <w:pPr>
              <w:pStyle w:val="Compact"/>
            </w:pPr>
            <w:r>
              <w:t xml:space="preserve">Ferramentas de observabilidade e produto</w:t>
            </w:r>
          </w:p>
        </w:tc>
        <w:tc>
          <w:tcPr/>
          <w:p>
            <w:pPr>
              <w:pStyle w:val="Compact"/>
            </w:pPr>
            <w:r>
              <w:t xml:space="preserve">Erros, métricas e comportamento de uso</w:t>
            </w:r>
          </w:p>
        </w:tc>
      </w:tr>
    </w:tbl>
    <w:p>
      <w:pPr>
        <w:pStyle w:val="BlockText"/>
      </w:pPr>
      <w:r>
        <w:t xml:space="preserve">Chaves de acesso, endpoints e payloads das integrações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constam nesta</w:t>
      </w:r>
      <w:r>
        <w:t xml:space="preserve"> </w:t>
      </w:r>
      <w:r>
        <w:t xml:space="preserve">documentação. São disponibilizados apenas em ambiente controlado.</w:t>
      </w:r>
    </w:p>
    <w:bookmarkEnd w:id="10"/>
    <w:bookmarkStart w:id="12" w:name="acessibilidade"/>
    <w:p>
      <w:pPr>
        <w:pStyle w:val="Heading2"/>
      </w:pPr>
      <w:r>
        <w:t xml:space="preserve">3. Acessibilidade</w:t>
      </w:r>
    </w:p>
    <w:p>
      <w:pPr>
        <w:pStyle w:val="FirstParagraph"/>
      </w:pPr>
      <w:r>
        <w:t xml:space="preserve">A plataforma adota boas práticas de acessibilidade alinhadas às diretrizes</w:t>
      </w:r>
      <w:r>
        <w:t xml:space="preserve"> </w:t>
      </w:r>
      <w:r>
        <w:rPr>
          <w:b/>
          <w:bCs/>
        </w:rPr>
        <w:t xml:space="preserve">WCAG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Uso de</w:t>
      </w:r>
      <w:r>
        <w:t xml:space="preserve"> </w:t>
      </w:r>
      <w:r>
        <w:rPr>
          <w:b/>
          <w:bCs/>
        </w:rPr>
        <w:t xml:space="preserve">componentes acessíveis</w:t>
      </w:r>
      <w:r>
        <w:t xml:space="preserve"> </w:t>
      </w:r>
      <w:r>
        <w:t xml:space="preserve">e semântica HTML adequada nas interfaces.</w:t>
      </w:r>
    </w:p>
    <w:p>
      <w:pPr>
        <w:pStyle w:val="Compact"/>
        <w:numPr>
          <w:ilvl w:val="0"/>
          <w:numId w:val="1001"/>
        </w:numPr>
      </w:pPr>
      <w:r>
        <w:t xml:space="preserve">Suporte a</w:t>
      </w:r>
      <w:r>
        <w:t xml:space="preserve"> </w:t>
      </w:r>
      <w:r>
        <w:rPr>
          <w:b/>
          <w:bCs/>
        </w:rPr>
        <w:t xml:space="preserve">navegação por teclado</w:t>
      </w:r>
      <w:r>
        <w:t xml:space="preserve"> </w:t>
      </w:r>
      <w:r>
        <w:t xml:space="preserve">e foco visível em elementos interativos.</w:t>
      </w:r>
    </w:p>
    <w:p>
      <w:pPr>
        <w:pStyle w:val="Compact"/>
        <w:numPr>
          <w:ilvl w:val="0"/>
          <w:numId w:val="1001"/>
        </w:numPr>
      </w:pPr>
      <w:r>
        <w:t xml:space="preserve">Atenção a</w:t>
      </w:r>
      <w:r>
        <w:t xml:space="preserve"> </w:t>
      </w:r>
      <w:r>
        <w:rPr>
          <w:b/>
          <w:bCs/>
        </w:rPr>
        <w:t xml:space="preserve">contraste de cores</w:t>
      </w:r>
      <w:r>
        <w:t xml:space="preserve"> </w:t>
      </w:r>
      <w:r>
        <w:t xml:space="preserve">e legibilidade nas interfaces temáticas.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Internacionalização (i18n)</w:t>
      </w:r>
      <w:r>
        <w:t xml:space="preserve"> </w:t>
      </w:r>
      <w:r>
        <w:t xml:space="preserve">com suporte a múltiplos idiomas.</w:t>
      </w:r>
    </w:p>
    <w:p>
      <w:pPr>
        <w:pStyle w:val="Compact"/>
        <w:numPr>
          <w:ilvl w:val="0"/>
          <w:numId w:val="1001"/>
        </w:numPr>
      </w:pPr>
      <w:r>
        <w:t xml:space="preserve">Textos alternativos e rótulos em elementos de formulário.</w:t>
      </w:r>
    </w:p>
    <w:p>
      <w:pPr>
        <w:pStyle w:val="FirstParagraph"/>
      </w:pPr>
      <w:r>
        <w:t xml:space="preserve">Evidências de verificação de acessibilidade constam no</w:t>
      </w:r>
      <w:r>
        <w:t xml:space="preserve"> </w:t>
      </w:r>
      <w:hyperlink r:id="rId11">
        <w:r>
          <w:rPr>
            <w:rStyle w:val="Hyperlink"/>
          </w:rPr>
          <w:t xml:space="preserve">07 — Relatório de Testes</w:t>
        </w:r>
      </w:hyperlink>
      <w:r>
        <w:t xml:space="preserve">.</w:t>
      </w:r>
    </w:p>
    <w:bookmarkEnd w:id="12"/>
    <w:bookmarkStart w:id="13" w:name="backup-e-recuperação"/>
    <w:p>
      <w:pPr>
        <w:pStyle w:val="Heading2"/>
      </w:pPr>
      <w:r>
        <w:t xml:space="preserve">4. Backup e Recuperação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periódico</w:t>
      </w:r>
      <w:r>
        <w:t xml:space="preserve"> </w:t>
      </w:r>
      <w:r>
        <w:t xml:space="preserve">dos dados do banco relacional em ambiente de produção.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Armazenamento de mídias</w:t>
      </w:r>
      <w:r>
        <w:t xml:space="preserve"> </w:t>
      </w:r>
      <w:r>
        <w:t xml:space="preserve">em serviço de object storage com durabilidade e</w:t>
      </w:r>
      <w:r>
        <w:t xml:space="preserve"> </w:t>
      </w:r>
      <w:r>
        <w:t xml:space="preserve">redundância gerenciadas pelo provedor de nuvem.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Estratégia de recuperação</w:t>
      </w:r>
      <w:r>
        <w:t xml:space="preserve"> </w:t>
      </w:r>
      <w:r>
        <w:t xml:space="preserve">orientada à restauração dos dados a partir dos</w:t>
      </w:r>
      <w:r>
        <w:t xml:space="preserve"> </w:t>
      </w:r>
      <w:r>
        <w:t xml:space="preserve">backups, com objetivos de recuperação definidos por ambiente.</w:t>
      </w:r>
    </w:p>
    <w:p>
      <w:pPr>
        <w:pStyle w:val="BlockText"/>
      </w:pPr>
      <w:r>
        <w:t xml:space="preserve">Detalhes operacionais (janelas, retenção, scripts e credenciais) são</w:t>
      </w:r>
      <w:r>
        <w:t xml:space="preserve"> </w:t>
      </w:r>
      <w:r>
        <w:t xml:space="preserve">apresentados apenas em ambiente controlado.</w:t>
      </w:r>
    </w:p>
    <w:bookmarkEnd w:id="13"/>
    <w:bookmarkStart w:id="14" w:name="monitoramento-e-observabilidade"/>
    <w:p>
      <w:pPr>
        <w:pStyle w:val="Heading2"/>
      </w:pPr>
      <w:r>
        <w:t xml:space="preserve">5. Monitoramento e Observabilidade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Monitoramento de erros</w:t>
            </w:r>
          </w:p>
        </w:tc>
        <w:tc>
          <w:tcPr/>
          <w:p>
            <w:pPr>
              <w:pStyle w:val="Compact"/>
            </w:pPr>
            <w:r>
              <w:t xml:space="preserve">Captura e agregação de exceções em produção/preview.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 de aplicação</w:t>
            </w:r>
          </w:p>
        </w:tc>
        <w:tc>
          <w:tcPr/>
          <w:p>
            <w:pPr>
              <w:pStyle w:val="Compact"/>
            </w:pPr>
            <w:r>
              <w:t xml:space="preserve">Acompanhamento de saúde e desempenho dos serviços.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de produto</w:t>
            </w:r>
          </w:p>
        </w:tc>
        <w:tc>
          <w:tcPr/>
          <w:p>
            <w:pPr>
              <w:pStyle w:val="Compact"/>
            </w:pPr>
            <w:r>
              <w:t xml:space="preserve">Medição de engajamento e comportamento de uso (gamificação).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 operacionais</w:t>
            </w:r>
          </w:p>
        </w:tc>
        <w:tc>
          <w:tcPr/>
          <w:p>
            <w:pPr>
              <w:pStyle w:val="Compact"/>
            </w:pPr>
            <w:r>
              <w:t xml:space="preserve">Registro de eventos relevantes para diagnóstico.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Notificação de anomalias para resposta rápida.</w:t>
            </w:r>
          </w:p>
        </w:tc>
      </w:tr>
    </w:tbl>
    <w:bookmarkEnd w:id="14"/>
    <w:bookmarkStart w:id="15" w:name="resumo"/>
    <w:p>
      <w:pPr>
        <w:pStyle w:val="Heading2"/>
      </w:pPr>
      <w:r>
        <w:t xml:space="preserve">6. Resumo</w:t>
      </w:r>
    </w:p>
    <w:p>
      <w:pPr>
        <w:pStyle w:val="FirstParagraph"/>
      </w:pPr>
      <w:r>
        <w:t xml:space="preserve">A plataforma combina</w:t>
      </w:r>
      <w:r>
        <w:t xml:space="preserve"> </w:t>
      </w:r>
      <w:r>
        <w:rPr>
          <w:b/>
          <w:bCs/>
        </w:rPr>
        <w:t xml:space="preserve">escalabilidade horizontal</w:t>
      </w:r>
      <w:r>
        <w:t xml:space="preserve">,</w:t>
      </w:r>
      <w:r>
        <w:t xml:space="preserve"> </w:t>
      </w:r>
      <w:r>
        <w:rPr>
          <w:b/>
          <w:bCs/>
        </w:rPr>
        <w:t xml:space="preserve">cache</w:t>
      </w:r>
      <w:r>
        <w:t xml:space="preserve">,</w:t>
      </w:r>
      <w:r>
        <w:t xml:space="preserve"> </w:t>
      </w:r>
      <w:r>
        <w:rPr>
          <w:b/>
          <w:bCs/>
        </w:rPr>
        <w:t xml:space="preserve">processamento</w:t>
      </w:r>
      <w:r>
        <w:rPr>
          <w:b/>
          <w:bCs/>
        </w:rPr>
        <w:t xml:space="preserve"> </w:t>
      </w:r>
      <w:r>
        <w:rPr>
          <w:b/>
          <w:bCs/>
        </w:rPr>
        <w:t xml:space="preserve">assíncrono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isolamento do checkout</w:t>
      </w:r>
      <w:r>
        <w:t xml:space="preserve"> </w:t>
      </w:r>
      <w:r>
        <w:t xml:space="preserve">para suportar uso simultâneo intenso;</w:t>
      </w:r>
      <w:r>
        <w:t xml:space="preserve"> </w:t>
      </w:r>
      <w:r>
        <w:t xml:space="preserve">integra-se a parceiros de</w:t>
      </w:r>
      <w:r>
        <w:t xml:space="preserve"> </w:t>
      </w:r>
      <w:r>
        <w:rPr>
          <w:b/>
          <w:bCs/>
        </w:rPr>
        <w:t xml:space="preserve">pagamento, storage, transcrição e autenticação</w:t>
      </w:r>
      <w:r>
        <w:t xml:space="preserve">;</w:t>
      </w:r>
      <w:r>
        <w:t xml:space="preserve"> </w:t>
      </w:r>
      <w:r>
        <w:t xml:space="preserve">adota boas práticas de</w:t>
      </w:r>
      <w:r>
        <w:t xml:space="preserve"> </w:t>
      </w:r>
      <w:r>
        <w:rPr>
          <w:b/>
          <w:bCs/>
        </w:rPr>
        <w:t xml:space="preserve">acessibilidade (WCAG)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i18n</w:t>
      </w:r>
      <w:r>
        <w:t xml:space="preserve">; e mantém rotinas de</w:t>
      </w:r>
      <w:r>
        <w:t xml:space="preserve"> </w:t>
      </w:r>
      <w:r>
        <w:rPr>
          <w:b/>
          <w:bCs/>
        </w:rPr>
        <w:t xml:space="preserve">backup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monitoramento</w:t>
      </w:r>
      <w:r>
        <w:t xml:space="preserve"> </w:t>
      </w:r>
      <w:r>
        <w:t xml:space="preserve">para confiabilidade operacional.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07-relatorio-de-tes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07-relatorio-de-tes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2026-06-10T14:12:47Z</dcterms:created>
  <dcterms:modified xsi:type="dcterms:W3CDTF">2026-06-10T14:12:47Z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