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nual-resumido-de-integração-e-operação"/>
    <w:p>
      <w:pPr>
        <w:pStyle w:val="Heading1"/>
      </w:pPr>
      <w:r>
        <w:t xml:space="preserve">06 — Manual Resumido de Integração e Operação</w:t>
      </w:r>
    </w:p>
    <w:p>
      <w:pPr>
        <w:pStyle w:val="FirstParagraph"/>
      </w:pPr>
      <w:r>
        <w:rPr>
          <w:b/>
          <w:bCs/>
        </w:rPr>
        <w:t xml:space="preserve">Plataforma:</w:t>
      </w:r>
      <w:r>
        <w:t xml:space="preserve"> </w:t>
      </w:r>
      <w:r>
        <w:t xml:space="preserve">EVNTTZ.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2026-06-09</w:t>
      </w:r>
    </w:p>
    <w:p>
      <w:pPr>
        <w:pStyle w:val="BlockText"/>
      </w:pPr>
      <w:r>
        <w:t xml:space="preserve">Manual de alto nível.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contém payloads sigilosos, chaves de acesso,</w:t>
      </w:r>
      <w:r>
        <w:t xml:space="preserve"> </w:t>
      </w:r>
      <w:r>
        <w:t xml:space="preserve">endpoints internos ou segredos de configuração.</w:t>
      </w:r>
    </w:p>
    <w:p>
      <w:r>
        <w:pict>
          <v:rect style="width:0;height:1.5pt" o:hralign="center" o:hrstd="t" o:hr="t"/>
        </w:pict>
      </w:r>
    </w:p>
    <w:bookmarkStart w:id="10" w:name="modelo-de-integração"/>
    <w:p>
      <w:pPr>
        <w:pStyle w:val="Heading2"/>
      </w:pPr>
      <w:r>
        <w:t xml:space="preserve">1. Modelo de Integração</w:t>
      </w:r>
    </w:p>
    <w:p>
      <w:pPr>
        <w:pStyle w:val="FirstParagraph"/>
      </w:pPr>
      <w:r>
        <w:t xml:space="preserve">A integração com a plataforma EVNTTZ. ocorre por meio de uma</w:t>
      </w:r>
      <w:r>
        <w:t xml:space="preserve"> </w:t>
      </w:r>
      <w:r>
        <w:rPr>
          <w:b/>
          <w:bCs/>
        </w:rPr>
        <w:t xml:space="preserve">API REST sobre</w:t>
      </w:r>
      <w:r>
        <w:rPr>
          <w:b/>
          <w:bCs/>
        </w:rPr>
        <w:t xml:space="preserve"> </w:t>
      </w:r>
      <w:r>
        <w:rPr>
          <w:b/>
          <w:bCs/>
        </w:rPr>
        <w:t xml:space="preserve">HTTPS</w:t>
      </w:r>
      <w:r>
        <w:t xml:space="preserve">, com autenticação</w:t>
      </w:r>
      <w:r>
        <w:t xml:space="preserve"> </w:t>
      </w:r>
      <w:r>
        <w:rPr>
          <w:b/>
          <w:bCs/>
        </w:rPr>
        <w:t xml:space="preserve">OAuth2</w:t>
      </w:r>
      <w:r>
        <w:t xml:space="preserve">. Aplicações cliente e parceiros consomem os</w:t>
      </w:r>
      <w:r>
        <w:t xml:space="preserve"> </w:t>
      </w:r>
      <w:r>
        <w:t xml:space="preserve">recursos da API mediante</w:t>
      </w:r>
      <w:r>
        <w:t xml:space="preserve"> </w:t>
      </w:r>
      <w:r>
        <w:rPr>
          <w:b/>
          <w:bCs/>
        </w:rPr>
        <w:t xml:space="preserve">token de acesso</w:t>
      </w:r>
      <w:r>
        <w:t xml:space="preserve"> </w:t>
      </w:r>
      <w:r>
        <w:t xml:space="preserve">emitido após autenticação.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Cliente[Aplicação Cliente / Parceiro] --&gt;|1. Autenticação OAuth2| API[API EVNTTZ.]</w:t>
      </w:r>
      <w:r>
        <w:br/>
      </w:r>
      <w:r>
        <w:rPr>
          <w:rStyle w:val="VerbatimChar"/>
        </w:rPr>
        <w:t xml:space="preserve">    API --&gt;|2. Token de acesso| Cliente</w:t>
      </w:r>
      <w:r>
        <w:br/>
      </w:r>
      <w:r>
        <w:rPr>
          <w:rStyle w:val="VerbatimChar"/>
        </w:rPr>
        <w:t xml:space="preserve">    Cliente --&gt;|3. Requisições autenticadas HTTPS/REST| API</w:t>
      </w:r>
      <w:r>
        <w:br/>
      </w:r>
      <w:r>
        <w:rPr>
          <w:rStyle w:val="VerbatimChar"/>
        </w:rPr>
        <w:t xml:space="preserve">    API --&gt;|4. Respostas JSON| Cliente</w:t>
      </w:r>
    </w:p>
    <w:bookmarkStart w:id="9" w:name="princípios-de-integração"/>
    <w:p>
      <w:pPr>
        <w:pStyle w:val="Heading3"/>
      </w:pPr>
      <w:r>
        <w:t xml:space="preserve">Princípios de Integração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Autenticação obrigatória</w:t>
      </w:r>
      <w:r>
        <w:t xml:space="preserve"> </w:t>
      </w:r>
      <w:r>
        <w:t xml:space="preserve">— toda operação exige token válido.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Autorização por perfil</w:t>
      </w:r>
      <w:r>
        <w:t xml:space="preserve"> </w:t>
      </w:r>
      <w:r>
        <w:t xml:space="preserve">— o acesso a recursos respeita a persona/escopo.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Isolamento multi-tenant</w:t>
      </w:r>
      <w:r>
        <w:t xml:space="preserve"> </w:t>
      </w:r>
      <w:r>
        <w:t xml:space="preserve">— cada requisição opera no contexto da sua organização/evento.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Comunicação cifrada</w:t>
      </w:r>
      <w:r>
        <w:t xml:space="preserve"> </w:t>
      </w:r>
      <w:r>
        <w:t xml:space="preserve">— exclusivamente via HTTPS.</w:t>
      </w:r>
    </w:p>
    <w:bookmarkEnd w:id="9"/>
    <w:bookmarkEnd w:id="10"/>
    <w:bookmarkStart w:id="11" w:name="X6560585fb28849acfae02af5ae8a91993af3057"/>
    <w:p>
      <w:pPr>
        <w:pStyle w:val="Heading2"/>
      </w:pPr>
      <w:r>
        <w:t xml:space="preserve">2. Integração de Gamificação Embarcada (Parceiros)</w:t>
      </w:r>
    </w:p>
    <w:p>
      <w:pPr>
        <w:pStyle w:val="FirstParagraph"/>
      </w:pPr>
      <w:r>
        <w:t xml:space="preserve">A experiência gamificada pode ser</w:t>
      </w:r>
      <w:r>
        <w:t xml:space="preserve"> </w:t>
      </w:r>
      <w:r>
        <w:rPr>
          <w:b/>
          <w:bCs/>
        </w:rPr>
        <w:t xml:space="preserve">embarcada</w:t>
      </w:r>
      <w:r>
        <w:t xml:space="preserve"> </w:t>
      </w:r>
      <w:r>
        <w:t xml:space="preserve">em aplicativos parceiros via</w:t>
      </w:r>
      <w:r>
        <w:t xml:space="preserve"> </w:t>
      </w:r>
      <w:r>
        <w:rPr>
          <w:b/>
          <w:bCs/>
        </w:rPr>
        <w:t xml:space="preserve">WebView/iframe</w:t>
      </w:r>
      <w:r>
        <w:t xml:space="preserve">, com fluxo de autenticação dedicado para o contexto do</w:t>
      </w:r>
      <w:r>
        <w:t xml:space="preserve"> </w:t>
      </w:r>
      <w:r>
        <w:t xml:space="preserve">parceiro. Isso permite oferecer jornadas, missões e recompensas dentro de um app</w:t>
      </w:r>
      <w:r>
        <w:t xml:space="preserve"> </w:t>
      </w:r>
      <w:r>
        <w:t xml:space="preserve">de terceiros sem expor a infraestrutura interna.</w:t>
      </w:r>
    </w:p>
    <w:bookmarkEnd w:id="11"/>
    <w:bookmarkStart w:id="13" w:name="operação-das-aplicações"/>
    <w:p>
      <w:pPr>
        <w:pStyle w:val="Heading2"/>
      </w:pPr>
      <w:r>
        <w:t xml:space="preserve">3. Operação das Aplicações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Papel na Operação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Núcleo operacional: regras de negócio, autenticação e dados.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Webapp</w:t>
            </w:r>
          </w:p>
        </w:tc>
        <w:tc>
          <w:tcPr/>
          <w:p>
            <w:pPr>
              <w:pStyle w:val="Compact"/>
            </w:pPr>
            <w:r>
              <w:t xml:space="preserve">Operação pelo produtor/administrador: configuração de eventos, vendas e relatórios.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Operação de vendas e checkout.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Gamification</w:t>
            </w:r>
          </w:p>
        </w:tc>
        <w:tc>
          <w:tcPr/>
          <w:p>
            <w:pPr>
              <w:pStyle w:val="Compact"/>
            </w:pPr>
            <w:r>
              <w:t xml:space="preserve">Operação da experiência do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Operação de acesso no local do evento.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Operação de conteúdo editorial.</w:t>
            </w:r>
          </w:p>
        </w:tc>
      </w:tr>
    </w:tbl>
    <w:bookmarkStart w:id="12" w:name="processamento-assíncrono"/>
    <w:p>
      <w:pPr>
        <w:pStyle w:val="Heading3"/>
      </w:pPr>
      <w:r>
        <w:t xml:space="preserve">Processamento Assíncrono</w:t>
      </w:r>
    </w:p>
    <w:p>
      <w:pPr>
        <w:pStyle w:val="FirstParagraph"/>
      </w:pPr>
      <w:r>
        <w:t xml:space="preserve">Tarefas demoradas (processamentos, envios e integrações) são executadas em</w:t>
      </w:r>
      <w:r>
        <w:t xml:space="preserve"> </w:t>
      </w:r>
      <w:r>
        <w:rPr>
          <w:b/>
          <w:bCs/>
        </w:rPr>
        <w:t xml:space="preserve">segundo plano</w:t>
      </w:r>
      <w:r>
        <w:t xml:space="preserve">, fora do caminho da requisição do usuário, garantindo respostas</w:t>
      </w:r>
      <w:r>
        <w:t xml:space="preserve"> </w:t>
      </w:r>
      <w:r>
        <w:t xml:space="preserve">rápidas e maior estabilidade.</w:t>
      </w:r>
    </w:p>
    <w:bookmarkEnd w:id="12"/>
    <w:bookmarkEnd w:id="13"/>
    <w:bookmarkStart w:id="14" w:name="ambientes"/>
    <w:p>
      <w:pPr>
        <w:pStyle w:val="Heading2"/>
      </w:pPr>
      <w:r>
        <w:t xml:space="preserve">4. Ambientes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Construção e testes locais pela equipe.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Preview/Homologação</w:t>
            </w:r>
          </w:p>
        </w:tc>
        <w:tc>
          <w:tcPr/>
          <w:p>
            <w:pPr>
              <w:pStyle w:val="Compact"/>
            </w:pPr>
            <w:r>
              <w:t xml:space="preserve">Validação de mudanças antes da produção.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Ambiente final de uso pelos clientes.</w:t>
            </w:r>
          </w:p>
        </w:tc>
      </w:tr>
    </w:tbl>
    <w:p>
      <w:pPr>
        <w:pStyle w:val="BodyText"/>
      </w:pPr>
      <w:r>
        <w:t xml:space="preserve">Configurações são gerenciadas por</w:t>
      </w:r>
      <w:r>
        <w:t xml:space="preserve"> </w:t>
      </w:r>
      <w:r>
        <w:rPr>
          <w:b/>
          <w:bCs/>
        </w:rPr>
        <w:t xml:space="preserve">variáveis de ambiente validadas</w:t>
      </w:r>
      <w:r>
        <w:t xml:space="preserve">, com</w:t>
      </w:r>
      <w:r>
        <w:t xml:space="preserve"> </w:t>
      </w:r>
      <w:r>
        <w:t xml:space="preserve">separação entre valores compartilhados e específicos de cada aplicação.</w:t>
      </w:r>
      <w:r>
        <w:t xml:space="preserve"> </w:t>
      </w:r>
      <w:r>
        <w:rPr>
          <w:b/>
          <w:bCs/>
        </w:rPr>
        <w:t xml:space="preserve">Os</w:t>
      </w:r>
      <w:r>
        <w:rPr>
          <w:b/>
          <w:bCs/>
        </w:rPr>
        <w:t xml:space="preserve"> </w:t>
      </w:r>
      <w:r>
        <w:rPr>
          <w:b/>
          <w:bCs/>
        </w:rPr>
        <w:t xml:space="preserve">valores em si não são divulgados</w:t>
      </w:r>
      <w:r>
        <w:t xml:space="preserve"> </w:t>
      </w:r>
      <w:r>
        <w:t xml:space="preserve">nesta documentação.</w:t>
      </w:r>
    </w:p>
    <w:bookmarkEnd w:id="14"/>
    <w:bookmarkStart w:id="15" w:name="ciclo-operacional-de-um-evento-resumo"/>
    <w:p>
      <w:pPr>
        <w:pStyle w:val="Heading2"/>
      </w:pPr>
      <w:r>
        <w:t xml:space="preserve">5. Ciclo Operacional de um Evento (Resumo)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A[Produtor cria e configura o evento] --&gt; B[Publicação das páginas de venda]</w:t>
      </w:r>
      <w:r>
        <w:br/>
      </w:r>
      <w:r>
        <w:rPr>
          <w:rStyle w:val="VerbatimChar"/>
        </w:rPr>
        <w:t xml:space="preserve">    B --&gt; C[Venda de ingressos e checkout]</w:t>
      </w:r>
      <w:r>
        <w:br/>
      </w:r>
      <w:r>
        <w:rPr>
          <w:rStyle w:val="VerbatimChar"/>
        </w:rPr>
        <w:t xml:space="preserve">    C --&gt; D[Engajamento gamificado do participante]</w:t>
      </w:r>
      <w:r>
        <w:br/>
      </w:r>
      <w:r>
        <w:rPr>
          <w:rStyle w:val="VerbatimChar"/>
        </w:rPr>
        <w:t xml:space="preserve">    D --&gt; E[Check-in no local]</w:t>
      </w:r>
      <w:r>
        <w:br/>
      </w:r>
      <w:r>
        <w:rPr>
          <w:rStyle w:val="VerbatimChar"/>
        </w:rPr>
        <w:t xml:space="preserve">    E --&gt; F[Continuidade da jornada e recompensas]</w:t>
      </w:r>
      <w:r>
        <w:br/>
      </w:r>
      <w:r>
        <w:rPr>
          <w:rStyle w:val="VerbatimChar"/>
        </w:rPr>
        <w:t xml:space="preserve">    F --&gt; G[Emissão de certificados]</w:t>
      </w:r>
      <w:r>
        <w:br/>
      </w:r>
      <w:r>
        <w:rPr>
          <w:rStyle w:val="VerbatimChar"/>
        </w:rPr>
        <w:t xml:space="preserve">    C --&gt; H[Relatórios e acompanhamento]</w:t>
      </w:r>
      <w:r>
        <w:br/>
      </w:r>
      <w:r>
        <w:rPr>
          <w:rStyle w:val="VerbatimChar"/>
        </w:rPr>
        <w:t xml:space="preserve">    D --&gt; H</w:t>
      </w:r>
      <w:r>
        <w:br/>
      </w:r>
      <w:r>
        <w:rPr>
          <w:rStyle w:val="VerbatimChar"/>
        </w:rPr>
        <w:t xml:space="preserve">    E --&gt; H</w:t>
      </w:r>
    </w:p>
    <w:bookmarkEnd w:id="15"/>
    <w:bookmarkStart w:id="19" w:name="boas-práticas-operacionais"/>
    <w:p>
      <w:pPr>
        <w:pStyle w:val="Heading2"/>
      </w:pPr>
      <w:r>
        <w:t xml:space="preserve">6. Boas Práticas Operacionais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Versionamento</w:t>
      </w:r>
      <w:r>
        <w:t xml:space="preserve"> </w:t>
      </w:r>
      <w:r>
        <w:t xml:space="preserve">de configurações e mudanças (ver</w:t>
      </w:r>
      <w:r>
        <w:t xml:space="preserve"> </w:t>
      </w:r>
      <w:hyperlink r:id="rId16">
        <w:r>
          <w:rPr>
            <w:rStyle w:val="Hyperlink"/>
          </w:rPr>
          <w:t xml:space="preserve">08 — Registro de Versões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Monitoramento contínuo</w:t>
      </w:r>
      <w:r>
        <w:t xml:space="preserve"> </w:t>
      </w:r>
      <w:r>
        <w:t xml:space="preserve">de erros e métricas (ver</w:t>
      </w:r>
      <w:r>
        <w:t xml:space="preserve"> </w:t>
      </w:r>
      <w:hyperlink r:id="rId17">
        <w:r>
          <w:rPr>
            <w:rStyle w:val="Hyperlink"/>
          </w:rPr>
          <w:t xml:space="preserve">05 — Capacidade e Operação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 periódico</w:t>
      </w:r>
      <w:r>
        <w:t xml:space="preserve"> </w:t>
      </w:r>
      <w:r>
        <w:t xml:space="preserve">e plano de recuperação.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Validação automatizada</w:t>
      </w:r>
      <w:r>
        <w:t xml:space="preserve"> </w:t>
      </w:r>
      <w:r>
        <w:t xml:space="preserve">antes de publicar mudanças (ver</w:t>
      </w:r>
      <w:r>
        <w:t xml:space="preserve"> </w:t>
      </w:r>
      <w:hyperlink r:id="rId18">
        <w:r>
          <w:rPr>
            <w:rStyle w:val="Hyperlink"/>
          </w:rPr>
          <w:t xml:space="preserve">07 — Relatório de Testes</w:t>
        </w:r>
      </w:hyperlink>
      <w:r>
        <w:t xml:space="preserve">).</w:t>
      </w:r>
    </w:p>
    <w:bookmarkEnd w:id="19"/>
    <w:bookmarkStart w:id="20" w:name="suporte-e-disponibilização-de-detalhes"/>
    <w:p>
      <w:pPr>
        <w:pStyle w:val="Heading2"/>
      </w:pPr>
      <w:r>
        <w:t xml:space="preserve">7. Suporte e Disponibilização de Detalhes</w:t>
      </w:r>
    </w:p>
    <w:p>
      <w:pPr>
        <w:pStyle w:val="FirstParagraph"/>
      </w:pPr>
      <w:r>
        <w:t xml:space="preserve">Especificações técnicas detalhadas de integração (contratos de API completos,</w:t>
      </w:r>
      <w:r>
        <w:t xml:space="preserve"> </w:t>
      </w:r>
      <w:r>
        <w:t xml:space="preserve">exemplos de payload, credenciais e endpoints) são fornecidas em</w:t>
      </w:r>
      <w:r>
        <w:t xml:space="preserve"> </w:t>
      </w:r>
      <w:r>
        <w:rPr>
          <w:b/>
          <w:bCs/>
        </w:rPr>
        <w:t xml:space="preserve">ambiente</w:t>
      </w:r>
      <w:r>
        <w:rPr>
          <w:b/>
          <w:bCs/>
        </w:rPr>
        <w:t xml:space="preserve"> </w:t>
      </w:r>
      <w:r>
        <w:rPr>
          <w:b/>
          <w:bCs/>
        </w:rPr>
        <w:t xml:space="preserve">controlado</w:t>
      </w:r>
      <w:r>
        <w:t xml:space="preserve">, mediante solicitação formal e acordo de confidencialidade.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/05-capacidade-integracoes-operacao.md" TargetMode="External" /><Relationship Type="http://schemas.openxmlformats.org/officeDocument/2006/relationships/hyperlink" Id="rId18" Target="./07-relatorio-de-testes.md" TargetMode="External" /><Relationship Type="http://schemas.openxmlformats.org/officeDocument/2006/relationships/hyperlink" Id="rId16" Target="./08-registro-de-verso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/05-capacidade-integracoes-operacao.md" TargetMode="External" /><Relationship Type="http://schemas.openxmlformats.org/officeDocument/2006/relationships/hyperlink" Id="rId18" Target="./07-relatorio-de-testes.md" TargetMode="External" /><Relationship Type="http://schemas.openxmlformats.org/officeDocument/2006/relationships/hyperlink" Id="rId16" Target="./08-registro-de-verso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2026-06-10T14:12:47Z</dcterms:created>
  <dcterms:modified xsi:type="dcterms:W3CDTF">2026-06-10T14:12:47Z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