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latório-resumido-de-testes"/>
    <w:p>
      <w:pPr>
        <w:pStyle w:val="Heading1"/>
      </w:pPr>
      <w:r>
        <w:t xml:space="preserve">07 — Relatório Resumido de Testes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odyText"/>
      </w:pPr>
      <w:r>
        <w:t xml:space="preserve">Relatório resumido com evidências de</w:t>
      </w:r>
      <w:r>
        <w:t xml:space="preserve"> </w:t>
      </w:r>
      <w:r>
        <w:rPr>
          <w:b/>
          <w:bCs/>
        </w:rPr>
        <w:t xml:space="preserve">desempenho</w:t>
      </w:r>
      <w:r>
        <w:t xml:space="preserve">,</w:t>
      </w:r>
      <w:r>
        <w:t xml:space="preserve"> </w:t>
      </w:r>
      <w:r>
        <w:rPr>
          <w:b/>
          <w:bCs/>
        </w:rPr>
        <w:t xml:space="preserve">estabilidade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estratégia-de-testes"/>
    <w:p>
      <w:pPr>
        <w:pStyle w:val="Heading2"/>
      </w:pPr>
      <w:r>
        <w:t xml:space="preserve">1. Estratégia de Testes</w:t>
      </w:r>
    </w:p>
    <w:p>
      <w:pPr>
        <w:pStyle w:val="FirstParagraph"/>
      </w:pPr>
      <w:r>
        <w:t xml:space="preserve">A plataforma adota uma estratégia de testes em múltiplas camadas, abrangendo</w:t>
      </w:r>
      <w:r>
        <w:t xml:space="preserve"> </w:t>
      </w:r>
      <w:r>
        <w:t xml:space="preserve">back-end e front-ends: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  <w:tc>
          <w:tcPr/>
          <w:p>
            <w:pPr>
              <w:pStyle w:val="Compact"/>
            </w:pPr>
            <w:r>
              <w:t xml:space="preserve">Ferramentas (família)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de unidade</w:t>
            </w:r>
          </w:p>
        </w:tc>
        <w:tc>
          <w:tcPr/>
          <w:p>
            <w:pPr>
              <w:pStyle w:val="Compact"/>
            </w:pPr>
            <w:r>
              <w:t xml:space="preserve">Validação de regras de negócio isoladas</w:t>
            </w:r>
          </w:p>
        </w:tc>
        <w:tc>
          <w:tcPr/>
          <w:p>
            <w:pPr>
              <w:pStyle w:val="Compact"/>
            </w:pPr>
            <w:r>
              <w:t xml:space="preserve">RSpec (API), runners de unidade (front-ends)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de componente</w:t>
            </w:r>
          </w:p>
        </w:tc>
        <w:tc>
          <w:tcPr/>
          <w:p>
            <w:pPr>
              <w:pStyle w:val="Compact"/>
            </w:pPr>
            <w:r>
              <w:t xml:space="preserve">Validação de componentes de interface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end-to-end (E2E)</w:t>
            </w:r>
          </w:p>
        </w:tc>
        <w:tc>
          <w:tcPr/>
          <w:p>
            <w:pPr>
              <w:pStyle w:val="Compact"/>
            </w:pPr>
            <w:r>
              <w:t xml:space="preserve">Simulação de fluxos completos de usuário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paralelos</w:t>
            </w:r>
          </w:p>
        </w:tc>
        <w:tc>
          <w:tcPr/>
          <w:p>
            <w:pPr>
              <w:pStyle w:val="Compact"/>
            </w:pPr>
            <w:r>
              <w:t xml:space="preserve">Execução paralela da suíte de back-end</w:t>
            </w:r>
          </w:p>
        </w:tc>
        <w:tc>
          <w:tcPr/>
          <w:p>
            <w:pPr>
              <w:pStyle w:val="Compact"/>
            </w:pPr>
            <w:r>
              <w:t xml:space="preserve">Flatware (RSpec)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 e tipagem</w:t>
            </w:r>
          </w:p>
        </w:tc>
        <w:tc>
          <w:tcPr/>
          <w:p>
            <w:pPr>
              <w:pStyle w:val="Compact"/>
            </w:pPr>
            <w:r>
              <w:t xml:space="preserve">Qualidade e segurança de tipos</w:t>
            </w:r>
          </w:p>
        </w:tc>
        <w:tc>
          <w:tcPr/>
          <w:p>
            <w:pPr>
              <w:pStyle w:val="Compact"/>
            </w:pPr>
            <w:r>
              <w:t xml:space="preserve">ESLint, TypeScript, RuboCop</w:t>
            </w:r>
          </w:p>
        </w:tc>
      </w:tr>
    </w:tbl>
    <w:bookmarkEnd w:id="9"/>
    <w:bookmarkStart w:id="10" w:name="evidências-de-desempenho"/>
    <w:p>
      <w:pPr>
        <w:pStyle w:val="Heading2"/>
      </w:pPr>
      <w:r>
        <w:t xml:space="preserve">2. Evidências de Desempenho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Evidência / Mecanismo verificado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Resposta sob carga</w:t>
            </w:r>
          </w:p>
        </w:tc>
        <w:tc>
          <w:tcPr/>
          <w:p>
            <w:pPr>
              <w:pStyle w:val="Compact"/>
            </w:pPr>
            <w:r>
              <w:t xml:space="preserve">Checkout isolado e</w:t>
            </w:r>
            <w:r>
              <w:t xml:space="preserve"> </w:t>
            </w:r>
            <w:r>
              <w:rPr>
                <w:b/>
                <w:bCs/>
              </w:rPr>
              <w:t xml:space="preserve">sala de espera</w:t>
            </w:r>
            <w:r>
              <w:t xml:space="preserve"> </w:t>
            </w:r>
            <w:r>
              <w:t xml:space="preserve">validados para conter picos de venda.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Redução comprovada de carga no banco em leituras frequentes.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Processamento assíncrono</w:t>
            </w:r>
          </w:p>
        </w:tc>
        <w:tc>
          <w:tcPr/>
          <w:p>
            <w:pPr>
              <w:pStyle w:val="Compact"/>
            </w:pPr>
            <w:r>
              <w:t xml:space="preserve">Tarefas pesadas executadas fora do caminho da requisição, mantendo tempos de resposta baixos.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 horizontal</w:t>
            </w:r>
          </w:p>
        </w:tc>
        <w:tc>
          <w:tcPr/>
          <w:p>
            <w:pPr>
              <w:pStyle w:val="Compact"/>
            </w:pPr>
            <w:r>
              <w:t xml:space="preserve">Capacidade de adicionar instâncias em produção sob demanda.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Otimização de front-end</w:t>
            </w:r>
          </w:p>
        </w:tc>
        <w:tc>
          <w:tcPr/>
          <w:p>
            <w:pPr>
              <w:pStyle w:val="Compact"/>
            </w:pPr>
            <w:r>
              <w:t xml:space="preserve">Builds otimizados e divisão de código nas aplicações Next.js.</w:t>
            </w:r>
          </w:p>
        </w:tc>
      </w:tr>
    </w:tbl>
    <w:bookmarkEnd w:id="10"/>
    <w:bookmarkStart w:id="11" w:name="evidências-de-estabilidade"/>
    <w:p>
      <w:pPr>
        <w:pStyle w:val="Heading2"/>
      </w:pPr>
      <w:r>
        <w:t xml:space="preserve">3. Evidências de Estabilidade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Evidência / Mecanismo verificado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fluxos críticos</w:t>
            </w:r>
          </w:p>
        </w:tc>
        <w:tc>
          <w:tcPr/>
          <w:p>
            <w:pPr>
              <w:pStyle w:val="Compact"/>
            </w:pPr>
            <w:r>
              <w:t xml:space="preserve">Suítes E2E (Playwright) cobrindo checkout e jornada gamificada.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de back-end</w:t>
            </w:r>
          </w:p>
        </w:tc>
        <w:tc>
          <w:tcPr/>
          <w:p>
            <w:pPr>
              <w:pStyle w:val="Compact"/>
            </w:pPr>
            <w:r>
              <w:t xml:space="preserve">Suíte RSpec executada em paralelo (Flatware) sobre as regras de negócio.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pré-publicação</w:t>
            </w:r>
          </w:p>
        </w:tc>
        <w:tc>
          <w:tcPr/>
          <w:p>
            <w:pPr>
              <w:pStyle w:val="Compact"/>
            </w:pPr>
            <w:r>
              <w:t xml:space="preserve">Lint, type-check e testes executados antes de promover mudanças.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Monitoramento em produção</w:t>
            </w:r>
          </w:p>
        </w:tc>
        <w:tc>
          <w:tcPr/>
          <w:p>
            <w:pPr>
              <w:pStyle w:val="Compact"/>
            </w:pPr>
            <w:r>
              <w:t xml:space="preserve">Captura de erros para detecção e correção rápida de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Isolamento multi-tenant</w:t>
            </w:r>
          </w:p>
        </w:tc>
        <w:tc>
          <w:tcPr/>
          <w:p>
            <w:pPr>
              <w:pStyle w:val="Compact"/>
            </w:pPr>
            <w:r>
              <w:t xml:space="preserve">Validação de que dados de um tenant não vazam para outro.</w:t>
            </w:r>
          </w:p>
        </w:tc>
      </w:tr>
    </w:tbl>
    <w:bookmarkEnd w:id="11"/>
    <w:bookmarkStart w:id="12" w:name="evidências-de-acessibilidade"/>
    <w:p>
      <w:pPr>
        <w:pStyle w:val="Heading2"/>
      </w:pPr>
      <w:r>
        <w:t xml:space="preserve">4. Evidências de Acessibilidade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Evidência / Mecanismo verificado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 acessíveis</w:t>
            </w:r>
          </w:p>
        </w:tc>
        <w:tc>
          <w:tcPr/>
          <w:p>
            <w:pPr>
              <w:pStyle w:val="Compact"/>
            </w:pPr>
            <w:r>
              <w:t xml:space="preserve">Uso de bibliotecas e componentes com suporte a acessibilidade.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Navegação por teclado</w:t>
            </w:r>
          </w:p>
        </w:tc>
        <w:tc>
          <w:tcPr/>
          <w:p>
            <w:pPr>
              <w:pStyle w:val="Compact"/>
            </w:pPr>
            <w:r>
              <w:t xml:space="preserve">Fluxos operáveis via teclado com foco visível.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Contraste e legibilidade</w:t>
            </w:r>
          </w:p>
        </w:tc>
        <w:tc>
          <w:tcPr/>
          <w:p>
            <w:pPr>
              <w:pStyle w:val="Compact"/>
            </w:pPr>
            <w:r>
              <w:t xml:space="preserve">Verificação de contraste nas interfaces temáticas por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Semântica e rótulos</w:t>
            </w:r>
          </w:p>
        </w:tc>
        <w:tc>
          <w:tcPr/>
          <w:p>
            <w:pPr>
              <w:pStyle w:val="Compact"/>
            </w:pPr>
            <w:r>
              <w:t xml:space="preserve">Elementos de formulário com rótulos e textos alternativos.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Internacionalização</w:t>
            </w:r>
          </w:p>
        </w:tc>
        <w:tc>
          <w:tcPr/>
          <w:p>
            <w:pPr>
              <w:pStyle w:val="Compact"/>
            </w:pPr>
            <w:r>
              <w:t xml:space="preserve">Suporte a múltiplos idiomas validado na interface.</w:t>
            </w:r>
          </w:p>
        </w:tc>
      </w:tr>
    </w:tbl>
    <w:bookmarkEnd w:id="12"/>
    <w:bookmarkStart w:id="13" w:name="execução-das-suítes-referência"/>
    <w:p>
      <w:pPr>
        <w:pStyle w:val="Heading2"/>
      </w:pPr>
      <w:r>
        <w:t xml:space="preserve">5. Execução das Suítes (Referência)</w:t>
      </w:r>
    </w:p>
    <w:p>
      <w:pPr>
        <w:pStyle w:val="FirstParagraph"/>
      </w:pPr>
      <w:r>
        <w:t xml:space="preserve">As suítes podem ser executadas por aplicação. Exemplos (resumo):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execução paralela de testes de unidade/integração e verificação de lint.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Sales:</w:t>
      </w:r>
      <w:r>
        <w:t xml:space="preserve"> </w:t>
      </w:r>
      <w:r>
        <w:t xml:space="preserve">testes de unidade, de componente e E2E do fluxo de checkout.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Gamification:</w:t>
      </w:r>
      <w:r>
        <w:t xml:space="preserve"> </w:t>
      </w:r>
      <w:r>
        <w:t xml:space="preserve">testes E2E (Playwright) dos fluxos da jornada.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Front-ends em geral:</w:t>
      </w:r>
      <w:r>
        <w:t xml:space="preserve"> </w:t>
      </w:r>
      <w:r>
        <w:t xml:space="preserve">lint e verificação de tipos (type-check).</w:t>
      </w:r>
    </w:p>
    <w:bookmarkEnd w:id="13"/>
    <w:bookmarkStart w:id="14" w:name="resultados-consolidados"/>
    <w:p>
      <w:pPr>
        <w:pStyle w:val="Heading2"/>
      </w:pPr>
      <w:r>
        <w:t xml:space="preserve">6. Resultados Consolidados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Desempenho:</w:t>
      </w:r>
      <w:r>
        <w:t xml:space="preserve"> </w:t>
      </w:r>
      <w:r>
        <w:t xml:space="preserve">mecanismos de cache, assíncronismo e controle de fluxo</w:t>
      </w:r>
      <w:r>
        <w:t xml:space="preserve"> </w:t>
      </w:r>
      <w:r>
        <w:t xml:space="preserve">comprovam a sustentação de</w:t>
      </w:r>
      <w:r>
        <w:t xml:space="preserve"> </w:t>
      </w:r>
      <w:r>
        <w:rPr>
          <w:b/>
          <w:bCs/>
        </w:rPr>
        <w:t xml:space="preserve">picos de acesso</w:t>
      </w:r>
      <w:r>
        <w:t xml:space="preserve"> </w:t>
      </w:r>
      <w:r>
        <w:t xml:space="preserve">sem degradação relevante.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Estabilidade:</w:t>
      </w:r>
      <w:r>
        <w:t xml:space="preserve"> </w:t>
      </w:r>
      <w:r>
        <w:t xml:space="preserve">cobertura automatizada dos</w:t>
      </w:r>
      <w:r>
        <w:t xml:space="preserve"> </w:t>
      </w:r>
      <w:r>
        <w:rPr>
          <w:b/>
          <w:bCs/>
        </w:rPr>
        <w:t xml:space="preserve">fluxos críticos</w:t>
      </w:r>
      <w:r>
        <w:t xml:space="preserve"> </w:t>
      </w:r>
      <w:r>
        <w:t xml:space="preserve">(venda e</w:t>
      </w:r>
      <w:r>
        <w:t xml:space="preserve"> </w:t>
      </w:r>
      <w:r>
        <w:t xml:space="preserve">gamificação) e validação contínua antes de publicar reduzem regressões.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Acessibilidade:</w:t>
      </w:r>
      <w:r>
        <w:t xml:space="preserve"> </w:t>
      </w:r>
      <w:r>
        <w:t xml:space="preserve">boas práticas</w:t>
      </w:r>
      <w:r>
        <w:t xml:space="preserve"> </w:t>
      </w:r>
      <w:r>
        <w:rPr>
          <w:b/>
          <w:bCs/>
        </w:rPr>
        <w:t xml:space="preserve">WCAG</w:t>
      </w:r>
      <w:r>
        <w:t xml:space="preserve"> </w:t>
      </w:r>
      <w:r>
        <w:t xml:space="preserve">aplicadas e verificadas nas</w:t>
      </w:r>
      <w:r>
        <w:t xml:space="preserve"> </w:t>
      </w:r>
      <w:r>
        <w:t xml:space="preserve">principais interfaces.</w:t>
      </w:r>
    </w:p>
    <w:p>
      <w:pPr>
        <w:pStyle w:val="BlockText"/>
      </w:pPr>
      <w:r>
        <w:t xml:space="preserve">Relatórios detalhados de execução (logs, métricas numéricas e resultados de</w:t>
      </w:r>
      <w:r>
        <w:t xml:space="preserve"> </w:t>
      </w:r>
      <w:r>
        <w:t xml:space="preserve">cargas específicas) são disponibilizados em ambiente controlado, quando</w:t>
      </w:r>
      <w:r>
        <w:t xml:space="preserve"> </w:t>
      </w:r>
      <w:r>
        <w:t xml:space="preserve">exigidos formalmente.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