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declaração-de-confidencialidade"/>
    <w:p>
      <w:pPr>
        <w:pStyle w:val="Heading1"/>
      </w:pPr>
      <w:r>
        <w:t xml:space="preserve">09 — Declaração de Confidencialidade</w:t>
      </w:r>
    </w:p>
    <w:p>
      <w:pPr>
        <w:pStyle w:val="FirstParagraph"/>
      </w:pPr>
      <w:r>
        <w:rPr>
          <w:b/>
          <w:bCs/>
        </w:rPr>
        <w:t xml:space="preserve">Plataforma:</w:t>
      </w:r>
      <w:r>
        <w:t xml:space="preserve"> </w:t>
      </w:r>
      <w:r>
        <w:t xml:space="preserve">EVNTTZ. ·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2026-06-09</w:t>
      </w:r>
    </w:p>
    <w:p>
      <w:r>
        <w:pict>
          <v:rect style="width:0;height:1.5pt" o:hralign="center" o:hrstd="t" o:hr="t"/>
        </w:pict>
      </w:r>
    </w:p>
    <w:bookmarkStart w:id="9" w:name="declaração"/>
    <w:p>
      <w:pPr>
        <w:pStyle w:val="Heading2"/>
      </w:pPr>
      <w:r>
        <w:t xml:space="preserve">Declaração</w:t>
      </w:r>
    </w:p>
    <w:p>
      <w:pPr>
        <w:pStyle w:val="FirstParagraph"/>
      </w:pPr>
      <w:r>
        <w:t xml:space="preserve">A EVNTTZ. declara que os documentos integrantes deste conjunto têm caráter</w:t>
      </w:r>
      <w:r>
        <w:t xml:space="preserve"> </w:t>
      </w:r>
      <w:r>
        <w:rPr>
          <w:b/>
          <w:bCs/>
        </w:rPr>
        <w:t xml:space="preserve">informativo e de alto nível</w:t>
      </w:r>
      <w:r>
        <w:t xml:space="preserve">, destinados a apresentar a plataforma em seus</w:t>
      </w:r>
      <w:r>
        <w:t xml:space="preserve"> </w:t>
      </w:r>
      <w:r>
        <w:t xml:space="preserve">aspectos</w:t>
      </w:r>
      <w:r>
        <w:t xml:space="preserve"> </w:t>
      </w:r>
      <w:r>
        <w:rPr>
          <w:b/>
          <w:bCs/>
        </w:rPr>
        <w:t xml:space="preserve">funcionais, arquiteturais e operacionais</w:t>
      </w:r>
      <w:r>
        <w:t xml:space="preserve">, sem comprometer a</w:t>
      </w:r>
      <w:r>
        <w:t xml:space="preserve"> </w:t>
      </w:r>
      <w:r>
        <w:t xml:space="preserve">segurança da solução nem expor informações sigilosas.</w:t>
      </w:r>
    </w:p>
    <w:p>
      <w:pPr>
        <w:pStyle w:val="BodyText"/>
      </w:pPr>
      <w:r>
        <w:t xml:space="preserve">Para preservar a integridade, a segurança e a propriedade intelectual da</w:t>
      </w:r>
      <w:r>
        <w:t xml:space="preserve"> </w:t>
      </w:r>
      <w:r>
        <w:t xml:space="preserve">plataforma, declara-se que os seguintes itens</w:t>
      </w:r>
      <w:r>
        <w:t xml:space="preserve"> </w:t>
      </w:r>
      <w:r>
        <w:rPr>
          <w:b/>
          <w:bCs/>
        </w:rPr>
        <w:t xml:space="preserve">não são divulgados</w:t>
      </w:r>
      <w:r>
        <w:t xml:space="preserve"> </w:t>
      </w:r>
      <w:r>
        <w:t xml:space="preserve">nesta</w:t>
      </w:r>
      <w:r>
        <w:t xml:space="preserve"> </w:t>
      </w:r>
      <w:r>
        <w:t xml:space="preserve">documentação e serão disponibilizados</w:t>
      </w:r>
      <w:r>
        <w:t xml:space="preserve"> </w:t>
      </w:r>
      <w:r>
        <w:rPr>
          <w:b/>
          <w:bCs/>
        </w:rPr>
        <w:t xml:space="preserve">exclusivamente em ambiente controlado,</w:t>
      </w:r>
      <w:r>
        <w:rPr>
          <w:b/>
          <w:bCs/>
        </w:rPr>
        <w:t xml:space="preserve"> </w:t>
      </w:r>
      <w:r>
        <w:rPr>
          <w:b/>
          <w:bCs/>
        </w:rPr>
        <w:t xml:space="preserve">quando formalmente exigido</w:t>
      </w:r>
      <w:r>
        <w:t xml:space="preserve"> </w:t>
      </w:r>
      <w:r>
        <w:t xml:space="preserve">e mediante os devidos instrumentos de</w:t>
      </w:r>
      <w:r>
        <w:t xml:space="preserve"> </w:t>
      </w:r>
      <w:r>
        <w:t xml:space="preserve">confidencialidade: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Código-fonte</w:t>
      </w:r>
      <w:r>
        <w:t xml:space="preserve"> </w:t>
      </w:r>
      <w:r>
        <w:t xml:space="preserve">das aplicações e bibliotecas internas.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Configurações de servidor</w:t>
      </w:r>
      <w:r>
        <w:t xml:space="preserve"> </w:t>
      </w:r>
      <w:r>
        <w:t xml:space="preserve">e de infraestrutura (parâmetros, topologia</w:t>
      </w:r>
      <w:r>
        <w:t xml:space="preserve"> </w:t>
      </w:r>
      <w:r>
        <w:t xml:space="preserve">detalhada, scripts de provisionamento e de implantação).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Credenciais e segredos</w:t>
      </w:r>
      <w:r>
        <w:t xml:space="preserve"> </w:t>
      </w:r>
      <w:r>
        <w:t xml:space="preserve">(chaves de API, tokens, senhas, certificados e</w:t>
      </w:r>
      <w:r>
        <w:t xml:space="preserve"> </w:t>
      </w:r>
      <w:r>
        <w:t xml:space="preserve">variáveis de ambiente sensíveis).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internos</w:t>
      </w:r>
      <w:r>
        <w:t xml:space="preserve"> </w:t>
      </w:r>
      <w:r>
        <w:t xml:space="preserve">e contratos completos de integração com seus</w:t>
      </w:r>
      <w:r>
        <w:t xml:space="preserve"> </w:t>
      </w:r>
      <w:r>
        <w:t xml:space="preserve">respectivos</w:t>
      </w:r>
      <w:r>
        <w:t xml:space="preserve"> </w:t>
      </w:r>
      <w:r>
        <w:rPr>
          <w:i/>
          <w:iCs/>
        </w:rPr>
        <w:t xml:space="preserve">payloads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Detalhes internos de segurança</w:t>
      </w:r>
      <w:r>
        <w:t xml:space="preserve"> </w:t>
      </w:r>
      <w:r>
        <w:t xml:space="preserve">(políticas específicas, regras de proteção,</w:t>
      </w:r>
      <w:r>
        <w:t xml:space="preserve"> </w:t>
      </w:r>
      <w:r>
        <w:t xml:space="preserve">mecanismos de defesa e configurações de controle de acesso).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Demais informações sigilosas</w:t>
      </w:r>
      <w:r>
        <w:t xml:space="preserve"> </w:t>
      </w:r>
      <w:r>
        <w:t xml:space="preserve">de natureza técnica, comercial ou estratégica.</w:t>
      </w:r>
    </w:p>
    <w:bookmarkEnd w:id="9"/>
    <w:bookmarkStart w:id="10" w:name="compromissos"/>
    <w:p>
      <w:pPr>
        <w:pStyle w:val="Heading2"/>
      </w:pPr>
      <w:r>
        <w:t xml:space="preserve">Compromissos</w:t>
      </w:r>
    </w:p>
    <w:p>
      <w:pPr>
        <w:pStyle w:val="Compact"/>
        <w:numPr>
          <w:ilvl w:val="0"/>
          <w:numId w:val="1002"/>
        </w:numPr>
      </w:pPr>
      <w:r>
        <w:t xml:space="preserve">Os diagramas e descrições aqui apresentados são</w:t>
      </w:r>
      <w:r>
        <w:t xml:space="preserve"> </w:t>
      </w:r>
      <w:r>
        <w:rPr>
          <w:b/>
          <w:bCs/>
        </w:rPr>
        <w:t xml:space="preserve">conceituais</w:t>
      </w:r>
      <w:r>
        <w:t xml:space="preserve"> </w:t>
      </w:r>
      <w:r>
        <w:t xml:space="preserve">e não revelam</w:t>
      </w:r>
      <w:r>
        <w:t xml:space="preserve"> </w:t>
      </w:r>
      <w:r>
        <w:t xml:space="preserve">segredos de implementação.</w:t>
      </w:r>
    </w:p>
    <w:p>
      <w:pPr>
        <w:pStyle w:val="Compact"/>
        <w:numPr>
          <w:ilvl w:val="0"/>
          <w:numId w:val="1002"/>
        </w:numPr>
      </w:pPr>
      <w:r>
        <w:t xml:space="preserve">Dados pessoais e financeiros são tratados em conformidade com a</w:t>
      </w:r>
      <w:r>
        <w:t xml:space="preserve"> </w:t>
      </w:r>
      <w:r>
        <w:rPr>
          <w:b/>
          <w:bCs/>
        </w:rPr>
        <w:t xml:space="preserve">LGPD</w:t>
      </w:r>
      <w:r>
        <w:t xml:space="preserve"> </w:t>
      </w:r>
      <w:r>
        <w:t xml:space="preserve">e, no</w:t>
      </w:r>
      <w:r>
        <w:t xml:space="preserve"> </w:t>
      </w:r>
      <w:r>
        <w:t xml:space="preserve">caso de pagamentos,</w:t>
      </w:r>
      <w:r>
        <w:t xml:space="preserve"> </w:t>
      </w:r>
      <w:r>
        <w:rPr>
          <w:b/>
          <w:bCs/>
        </w:rPr>
        <w:t xml:space="preserve">delegados a parceiros especializados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 disponibilização de qualquer item sigiloso ocorrerá apenas:</w:t>
      </w:r>
    </w:p>
    <w:p>
      <w:pPr>
        <w:pStyle w:val="Compact"/>
        <w:numPr>
          <w:ilvl w:val="1"/>
          <w:numId w:val="1003"/>
        </w:numPr>
      </w:pPr>
      <w:r>
        <w:t xml:space="preserve">mediante</w:t>
      </w:r>
      <w:r>
        <w:t xml:space="preserve"> </w:t>
      </w:r>
      <w:r>
        <w:rPr>
          <w:b/>
          <w:bCs/>
        </w:rPr>
        <w:t xml:space="preserve">solicitação formal</w:t>
      </w:r>
      <w:r>
        <w:t xml:space="preserve"> </w:t>
      </w:r>
      <w:r>
        <w:t xml:space="preserve">do interessado autorizado;</w:t>
      </w:r>
    </w:p>
    <w:p>
      <w:pPr>
        <w:pStyle w:val="Compact"/>
        <w:numPr>
          <w:ilvl w:val="1"/>
          <w:numId w:val="1003"/>
        </w:numPr>
      </w:pPr>
      <w:r>
        <w:t xml:space="preserve">em</w:t>
      </w:r>
      <w:r>
        <w:t xml:space="preserve"> </w:t>
      </w:r>
      <w:r>
        <w:rPr>
          <w:b/>
          <w:bCs/>
        </w:rPr>
        <w:t xml:space="preserve">ambiente controlado e seguro</w:t>
      </w:r>
      <w:r>
        <w:t xml:space="preserve">;</w:t>
      </w:r>
    </w:p>
    <w:p>
      <w:pPr>
        <w:pStyle w:val="Compact"/>
        <w:numPr>
          <w:ilvl w:val="1"/>
          <w:numId w:val="1003"/>
        </w:numPr>
      </w:pPr>
      <w:r>
        <w:t xml:space="preserve">sob</w:t>
      </w:r>
      <w:r>
        <w:t xml:space="preserve"> </w:t>
      </w:r>
      <w:r>
        <w:rPr>
          <w:b/>
          <w:bCs/>
        </w:rPr>
        <w:t xml:space="preserve">acordo de confidencialidade (NDA)</w:t>
      </w:r>
      <w:r>
        <w:t xml:space="preserve"> </w:t>
      </w:r>
      <w:r>
        <w:t xml:space="preserve">aplicável.</w:t>
      </w:r>
    </w:p>
    <w:bookmarkEnd w:id="10"/>
    <w:bookmarkStart w:id="11" w:name="validade"/>
    <w:p>
      <w:pPr>
        <w:pStyle w:val="Heading2"/>
      </w:pPr>
      <w:r>
        <w:t xml:space="preserve">Validade</w:t>
      </w:r>
    </w:p>
    <w:p>
      <w:pPr>
        <w:pStyle w:val="FirstParagraph"/>
      </w:pPr>
      <w:r>
        <w:t xml:space="preserve">Esta declaração acompanha o conjunto de documentos entregue ao SEBRAE e</w:t>
      </w:r>
      <w:r>
        <w:t xml:space="preserve"> </w:t>
      </w:r>
      <w:r>
        <w:t xml:space="preserve">permanece válida para todas as versões deste material, salvo substituição por</w:t>
      </w:r>
      <w:r>
        <w:t xml:space="preserve"> </w:t>
      </w:r>
      <w:r>
        <w:t xml:space="preserve">documento posterior emitido pela EVNTTZ.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2026-06-09</w:t>
            </w:r>
          </w:p>
        </w:tc>
        <w:tc>
          <w:tcPr/>
          <w:p>
            <w:pPr>
              <w:pStyle w:val="Compact"/>
            </w:pPr>
            <w:r>
              <w:t xml:space="preserve">Equipe EVNTTZ.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2026-06-10T14:12:47Z</dcterms:created>
  <dcterms:modified xsi:type="dcterms:W3CDTF">2026-06-10T14:12:47Z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