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documentação-mínima-de-entrega---evnttz"/>
    <w:p>
      <w:pPr>
        <w:pStyle w:val="Heading1"/>
      </w:pPr>
      <w:r>
        <w:t xml:space="preserve">Documentação Mínima de Entrega - Evnttz</w:t>
      </w:r>
    </w:p>
    <w:p>
      <w:pPr>
        <w:pStyle w:val="FirstParagraph"/>
      </w:pPr>
      <w:r>
        <w:t xml:space="preserve">Documento base para compartilhamento externo com o Sebrae/RJ, voltado a comprovacao minima da qualificacao do servico do</w:t>
      </w:r>
      <w:r>
        <w:t xml:space="preserve"> </w:t>
      </w:r>
      <w:r>
        <w:rPr>
          <w:rStyle w:val="VerbatimChar"/>
        </w:rPr>
        <w:t xml:space="preserve">Lote 3</w:t>
      </w:r>
      <w:r>
        <w:t xml:space="preserve">, sem exposicao de informacoes sensiveis ou proprietarias.</w:t>
      </w:r>
    </w:p>
    <w:bookmarkStart w:id="11" w:name="escopo-deste-pacote-minimo"/>
    <w:p>
      <w:pPr>
        <w:pStyle w:val="Heading2"/>
      </w:pPr>
      <w:r>
        <w:t xml:space="preserve">0. Escopo deste pacote minimo</w:t>
      </w:r>
    </w:p>
    <w:p>
      <w:pPr>
        <w:pStyle w:val="FirstParagraph"/>
      </w:pPr>
      <w:r>
        <w:t xml:space="preserve">Este material foi estruturado para comprovar a qualificacao do servico vinculado ao CNPJ da fornecedora, especialmente quanto a</w:t>
      </w:r>
      <w:r>
        <w:t xml:space="preserve"> </w:t>
      </w:r>
      <w:r>
        <w:rPr>
          <w:rStyle w:val="VerbatimChar"/>
        </w:rPr>
        <w:t xml:space="preserve">Estruturacao de Plataforma Gamificada</w:t>
      </w:r>
      <w:r>
        <w:t xml:space="preserve">, sem compartilhar credenciais, codigo-fonte, configuracoes internas, segredos de infraestrutura ou outros elementos sigilosos do</w:t>
      </w:r>
      <w:r>
        <w:t xml:space="preserve"> </w:t>
      </w:r>
      <w:r>
        <w:rPr>
          <w:rStyle w:val="VerbatimChar"/>
        </w:rPr>
        <w:t xml:space="preserve">Evnttz</w:t>
      </w:r>
      <w:r>
        <w:t xml:space="preserve">.</w:t>
      </w:r>
    </w:p>
    <w:bookmarkStart w:id="9" w:name="X9b692b9684676d553ac533f1ac64bda3734f481"/>
    <w:p>
      <w:pPr>
        <w:pStyle w:val="Heading3"/>
      </w:pPr>
      <w:r>
        <w:t xml:space="preserve">Itens sigilosos fora deste pacote inicial</w:t>
      </w:r>
    </w:p>
    <w:p>
      <w:pPr>
        <w:pStyle w:val="Compact"/>
        <w:numPr>
          <w:ilvl w:val="0"/>
          <w:numId w:val="1001"/>
        </w:numPr>
      </w:pPr>
      <w:r>
        <w:t xml:space="preserve">Codigo-fonte completo.</w:t>
      </w:r>
    </w:p>
    <w:p>
      <w:pPr>
        <w:pStyle w:val="Compact"/>
        <w:numPr>
          <w:ilvl w:val="0"/>
          <w:numId w:val="1001"/>
        </w:numPr>
      </w:pPr>
      <w:r>
        <w:t xml:space="preserve">Credenciais, chaves, tokens e segredos.</w:t>
      </w:r>
    </w:p>
    <w:p>
      <w:pPr>
        <w:pStyle w:val="Compact"/>
        <w:numPr>
          <w:ilvl w:val="0"/>
          <w:numId w:val="1001"/>
        </w:numPr>
      </w:pPr>
      <w:r>
        <w:t xml:space="preserve">Endpoints internos, payloads completos e configuracoes proprietarias.</w:t>
      </w:r>
    </w:p>
    <w:p>
      <w:pPr>
        <w:pStyle w:val="Compact"/>
        <w:numPr>
          <w:ilvl w:val="0"/>
          <w:numId w:val="1001"/>
        </w:numPr>
      </w:pPr>
      <w:r>
        <w:t xml:space="preserve">Configuracoes de servidor, rede e hardening detalhado.</w:t>
      </w:r>
    </w:p>
    <w:p>
      <w:pPr>
        <w:pStyle w:val="Compact"/>
        <w:numPr>
          <w:ilvl w:val="0"/>
          <w:numId w:val="1001"/>
        </w:numPr>
      </w:pPr>
      <w:r>
        <w:t xml:space="preserve">Logs brutos e trilhas de auditoria completas.</w:t>
      </w:r>
    </w:p>
    <w:bookmarkEnd w:id="9"/>
    <w:bookmarkStart w:id="10" w:name="regra-de-compartilhamento"/>
    <w:p>
      <w:pPr>
        <w:pStyle w:val="Heading3"/>
      </w:pPr>
      <w:r>
        <w:t xml:space="preserve">Regra de compartilhamento</w:t>
      </w:r>
    </w:p>
    <w:p>
      <w:pPr>
        <w:pStyle w:val="Compact"/>
        <w:numPr>
          <w:ilvl w:val="0"/>
          <w:numId w:val="1002"/>
        </w:numPr>
      </w:pPr>
      <w:r>
        <w:t xml:space="preserve">Informacoes sensiveis somente mediante canal restrito, controle de acesso e solicitacao formal.</w:t>
      </w:r>
    </w:p>
    <w:bookmarkEnd w:id="10"/>
    <w:bookmarkEnd w:id="11"/>
    <w:bookmarkStart w:id="16" w:name="escopo-funcional-entregue"/>
    <w:p>
      <w:pPr>
        <w:pStyle w:val="Heading2"/>
      </w:pPr>
      <w:r>
        <w:t xml:space="preserve">1. Escopo funcional entregue</w:t>
      </w:r>
    </w:p>
    <w:bookmarkStart w:id="12" w:name="objetivo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Registrar, de forma não sensível, o que foi entregue para uso operacional.</w:t>
      </w:r>
    </w:p>
    <w:bookmarkEnd w:id="12"/>
    <w:bookmarkStart w:id="13" w:name="escopo-entregue"/>
    <w:p>
      <w:pPr>
        <w:pStyle w:val="Heading3"/>
      </w:pPr>
      <w:r>
        <w:t xml:space="preserve">Escopo entregue</w:t>
      </w:r>
    </w:p>
    <w:p>
      <w:pPr>
        <w:pStyle w:val="Compact"/>
        <w:numPr>
          <w:ilvl w:val="0"/>
          <w:numId w:val="1003"/>
        </w:numPr>
      </w:pPr>
      <w:r>
        <w:t xml:space="preserve">Acesso à plataforma em ambiente de produção.</w:t>
      </w:r>
    </w:p>
    <w:p>
      <w:pPr>
        <w:pStyle w:val="Compact"/>
        <w:numPr>
          <w:ilvl w:val="0"/>
          <w:numId w:val="1003"/>
        </w:numPr>
      </w:pPr>
      <w:r>
        <w:t xml:space="preserve">Operação por perfis autorizados.</w:t>
      </w:r>
    </w:p>
    <w:p>
      <w:pPr>
        <w:pStyle w:val="Compact"/>
        <w:numPr>
          <w:ilvl w:val="0"/>
          <w:numId w:val="1003"/>
        </w:numPr>
      </w:pPr>
      <w:r>
        <w:t xml:space="preserve">Fluxos operacionais contratados.</w:t>
      </w:r>
    </w:p>
    <w:p>
      <w:pPr>
        <w:pStyle w:val="Compact"/>
        <w:numPr>
          <w:ilvl w:val="0"/>
          <w:numId w:val="1003"/>
        </w:numPr>
      </w:pPr>
      <w:r>
        <w:t xml:space="preserve">Consulta de relatórios operacionais.</w:t>
      </w:r>
    </w:p>
    <w:p>
      <w:pPr>
        <w:pStyle w:val="Compact"/>
        <w:numPr>
          <w:ilvl w:val="0"/>
          <w:numId w:val="1003"/>
        </w:numPr>
      </w:pPr>
      <w:r>
        <w:t xml:space="preserve">Suporte operacional conforme canais definidos.</w:t>
      </w:r>
    </w:p>
    <w:bookmarkEnd w:id="13"/>
    <w:bookmarkStart w:id="14" w:name="fora-de-escopo"/>
    <w:p>
      <w:pPr>
        <w:pStyle w:val="Heading3"/>
      </w:pPr>
      <w:r>
        <w:t xml:space="preserve">Fora de escopo</w:t>
      </w:r>
    </w:p>
    <w:p>
      <w:pPr>
        <w:pStyle w:val="Compact"/>
        <w:numPr>
          <w:ilvl w:val="0"/>
          <w:numId w:val="1004"/>
        </w:numPr>
      </w:pPr>
      <w:r>
        <w:t xml:space="preserve">Codigo-fonte completo e configuracoes proprietarias.</w:t>
      </w:r>
    </w:p>
    <w:p>
      <w:pPr>
        <w:pStyle w:val="Compact"/>
        <w:numPr>
          <w:ilvl w:val="0"/>
          <w:numId w:val="1004"/>
        </w:numPr>
      </w:pPr>
      <w:r>
        <w:t xml:space="preserve">Detalhes tecnicos internos nao necessarios a comprovacao inicial.</w:t>
      </w:r>
    </w:p>
    <w:bookmarkEnd w:id="14"/>
    <w:bookmarkStart w:id="15" w:name="critério-de-conclusão"/>
    <w:p>
      <w:pPr>
        <w:pStyle w:val="Heading3"/>
      </w:pPr>
      <w:r>
        <w:t xml:space="preserve">Critério de conclusão</w:t>
      </w:r>
    </w:p>
    <w:p>
      <w:pPr>
        <w:pStyle w:val="Compact"/>
        <w:numPr>
          <w:ilvl w:val="0"/>
          <w:numId w:val="1005"/>
        </w:numPr>
      </w:pPr>
      <w:r>
        <w:t xml:space="preserve">Funcionalidades contratadas disponíveis.</w:t>
      </w:r>
    </w:p>
    <w:p>
      <w:pPr>
        <w:pStyle w:val="Compact"/>
        <w:numPr>
          <w:ilvl w:val="0"/>
          <w:numId w:val="1005"/>
        </w:numPr>
      </w:pPr>
      <w:r>
        <w:t xml:space="preserve">Aceite formal registrado.</w:t>
      </w:r>
    </w:p>
    <w:bookmarkEnd w:id="15"/>
    <w:bookmarkEnd w:id="16"/>
    <w:bookmarkStart w:id="30" w:name="guia-operacional-uso-da-plataforma"/>
    <w:p>
      <w:pPr>
        <w:pStyle w:val="Heading2"/>
      </w:pPr>
      <w:r>
        <w:t xml:space="preserve">2. Guia operacional (uso da plataforma)</w:t>
      </w:r>
    </w:p>
    <w:bookmarkStart w:id="17" w:name="objetivo-1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Orientar o uso diário da plataforma sem exposição de informações sensíveis.</w:t>
      </w:r>
    </w:p>
    <w:bookmarkEnd w:id="17"/>
    <w:bookmarkStart w:id="18" w:name="acesso"/>
    <w:p>
      <w:pPr>
        <w:pStyle w:val="Heading3"/>
      </w:pPr>
      <w:r>
        <w:t xml:space="preserve">Acesso</w:t>
      </w:r>
    </w:p>
    <w:p>
      <w:pPr>
        <w:pStyle w:val="Compact"/>
        <w:numPr>
          <w:ilvl w:val="0"/>
          <w:numId w:val="1006"/>
        </w:numPr>
      </w:pPr>
      <w:r>
        <w:t xml:space="preserve">Entrar pela URL oficial do ambiente.</w:t>
      </w:r>
    </w:p>
    <w:p>
      <w:pPr>
        <w:pStyle w:val="Compact"/>
        <w:numPr>
          <w:ilvl w:val="0"/>
          <w:numId w:val="1006"/>
        </w:numPr>
      </w:pPr>
      <w:r>
        <w:t xml:space="preserve">Informar credenciais autorizadas.</w:t>
      </w:r>
    </w:p>
    <w:p>
      <w:pPr>
        <w:pStyle w:val="Compact"/>
        <w:numPr>
          <w:ilvl w:val="0"/>
          <w:numId w:val="1006"/>
        </w:numPr>
      </w:pPr>
      <w:r>
        <w:t xml:space="preserve">Validar perfil de acesso.</w:t>
      </w:r>
    </w:p>
    <w:bookmarkEnd w:id="18"/>
    <w:bookmarkStart w:id="22" w:name="como-usar-como-produtor"/>
    <w:p>
      <w:pPr>
        <w:pStyle w:val="Heading3"/>
      </w:pPr>
      <w:r>
        <w:t xml:space="preserve">Como usar como Produtor</w:t>
      </w:r>
    </w:p>
    <w:bookmarkStart w:id="19" w:name="rotina-principal"/>
    <w:p>
      <w:pPr>
        <w:pStyle w:val="Heading4"/>
      </w:pPr>
      <w:r>
        <w:t xml:space="preserve">Rotina principal</w:t>
      </w:r>
    </w:p>
    <w:p>
      <w:pPr>
        <w:pStyle w:val="Compact"/>
        <w:numPr>
          <w:ilvl w:val="0"/>
          <w:numId w:val="1007"/>
        </w:numPr>
      </w:pPr>
      <w:r>
        <w:t xml:space="preserve">Acessar com perfil de</w:t>
      </w:r>
      <w:r>
        <w:t xml:space="preserve"> </w:t>
      </w:r>
      <w:r>
        <w:rPr>
          <w:rStyle w:val="VerbatimChar"/>
        </w:rPr>
        <w:t xml:space="preserve">Produtor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Abrir o painel inicial e validar pendências do dia.</w:t>
      </w:r>
    </w:p>
    <w:p>
      <w:pPr>
        <w:pStyle w:val="Compact"/>
        <w:numPr>
          <w:ilvl w:val="0"/>
          <w:numId w:val="1007"/>
        </w:numPr>
      </w:pPr>
      <w:r>
        <w:t xml:space="preserve">Entrar no módulo de gestão e localizar o evento/turma/atividade.</w:t>
      </w:r>
    </w:p>
    <w:p>
      <w:pPr>
        <w:pStyle w:val="Compact"/>
        <w:numPr>
          <w:ilvl w:val="0"/>
          <w:numId w:val="1007"/>
        </w:numPr>
      </w:pPr>
      <w:r>
        <w:t xml:space="preserve">Atualizar informações operacionais permitidas (status, dados de execução, acompanhamento).</w:t>
      </w:r>
    </w:p>
    <w:p>
      <w:pPr>
        <w:pStyle w:val="Compact"/>
        <w:numPr>
          <w:ilvl w:val="0"/>
          <w:numId w:val="1007"/>
        </w:numPr>
      </w:pPr>
      <w:r>
        <w:t xml:space="preserve">Salvar e confirmar se a alteração foi aplicada.</w:t>
      </w:r>
    </w:p>
    <w:bookmarkEnd w:id="19"/>
    <w:bookmarkStart w:id="20" w:name="acompanhamento-operacional"/>
    <w:p>
      <w:pPr>
        <w:pStyle w:val="Heading4"/>
      </w:pPr>
      <w:r>
        <w:t xml:space="preserve">Acompanhamento operacional</w:t>
      </w:r>
    </w:p>
    <w:p>
      <w:pPr>
        <w:pStyle w:val="Compact"/>
        <w:numPr>
          <w:ilvl w:val="0"/>
          <w:numId w:val="1008"/>
        </w:numPr>
      </w:pPr>
      <w:r>
        <w:t xml:space="preserve">Consultar participantes vinculados ao evento/atividade.</w:t>
      </w:r>
    </w:p>
    <w:p>
      <w:pPr>
        <w:pStyle w:val="Compact"/>
        <w:numPr>
          <w:ilvl w:val="0"/>
          <w:numId w:val="1008"/>
        </w:numPr>
      </w:pPr>
      <w:r>
        <w:t xml:space="preserve">Verificar andamento dos fluxos contratados.</w:t>
      </w:r>
    </w:p>
    <w:p>
      <w:pPr>
        <w:pStyle w:val="Compact"/>
        <w:numPr>
          <w:ilvl w:val="0"/>
          <w:numId w:val="1008"/>
        </w:numPr>
      </w:pPr>
      <w:r>
        <w:t xml:space="preserve">Tratar pendências operacionais e registrar observações necessárias.</w:t>
      </w:r>
    </w:p>
    <w:p>
      <w:pPr>
        <w:pStyle w:val="Compact"/>
        <w:numPr>
          <w:ilvl w:val="0"/>
          <w:numId w:val="1008"/>
        </w:numPr>
      </w:pPr>
      <w:r>
        <w:t xml:space="preserve">Emitir relatório operacional quando solicitado.</w:t>
      </w:r>
    </w:p>
    <w:bookmarkEnd w:id="20"/>
    <w:bookmarkStart w:id="21" w:name="quando-houver-erro"/>
    <w:p>
      <w:pPr>
        <w:pStyle w:val="Heading4"/>
      </w:pPr>
      <w:r>
        <w:t xml:space="preserve">Quando houver erro</w:t>
      </w:r>
    </w:p>
    <w:p>
      <w:pPr>
        <w:pStyle w:val="Compact"/>
        <w:numPr>
          <w:ilvl w:val="0"/>
          <w:numId w:val="1009"/>
        </w:numPr>
      </w:pPr>
      <w:r>
        <w:t xml:space="preserve">Identificar o item com inconsistência.</w:t>
      </w:r>
    </w:p>
    <w:p>
      <w:pPr>
        <w:pStyle w:val="Compact"/>
        <w:numPr>
          <w:ilvl w:val="0"/>
          <w:numId w:val="1009"/>
        </w:numPr>
      </w:pPr>
      <w:r>
        <w:t xml:space="preserve">Corrigir os campos permitidos e tentar novamente.</w:t>
      </w:r>
    </w:p>
    <w:p>
      <w:pPr>
        <w:pStyle w:val="Compact"/>
        <w:numPr>
          <w:ilvl w:val="0"/>
          <w:numId w:val="1009"/>
        </w:numPr>
      </w:pPr>
      <w:r>
        <w:t xml:space="preserve">Persistindo erro, abrir chamado com evidência (ID, data/hora, print e descrição curta).</w:t>
      </w:r>
    </w:p>
    <w:bookmarkEnd w:id="21"/>
    <w:bookmarkEnd w:id="22"/>
    <w:bookmarkStart w:id="26" w:name="como-usar-como-participante"/>
    <w:p>
      <w:pPr>
        <w:pStyle w:val="Heading3"/>
      </w:pPr>
      <w:r>
        <w:t xml:space="preserve">Como usar como Participante</w:t>
      </w:r>
    </w:p>
    <w:bookmarkStart w:id="23" w:name="acesso-e-navegação"/>
    <w:p>
      <w:pPr>
        <w:pStyle w:val="Heading4"/>
      </w:pPr>
      <w:r>
        <w:t xml:space="preserve">Acesso e navegação</w:t>
      </w:r>
    </w:p>
    <w:p>
      <w:pPr>
        <w:pStyle w:val="Compact"/>
        <w:numPr>
          <w:ilvl w:val="0"/>
          <w:numId w:val="1010"/>
        </w:numPr>
      </w:pPr>
      <w:r>
        <w:t xml:space="preserve">Acessar com perfil de</w:t>
      </w:r>
      <w:r>
        <w:t xml:space="preserve"> </w:t>
      </w:r>
      <w:r>
        <w:rPr>
          <w:rStyle w:val="VerbatimChar"/>
        </w:rPr>
        <w:t xml:space="preserve">Participante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Verificar painel inicial com atividades disponíveis.</w:t>
      </w:r>
    </w:p>
    <w:p>
      <w:pPr>
        <w:pStyle w:val="Compact"/>
        <w:numPr>
          <w:ilvl w:val="0"/>
          <w:numId w:val="1010"/>
        </w:numPr>
      </w:pPr>
      <w:r>
        <w:t xml:space="preserve">Entrar na atividade/jornada liberada para seu perfil.</w:t>
      </w:r>
    </w:p>
    <w:bookmarkEnd w:id="23"/>
    <w:bookmarkStart w:id="24" w:name="execução-de-atividades"/>
    <w:p>
      <w:pPr>
        <w:pStyle w:val="Heading4"/>
      </w:pPr>
      <w:r>
        <w:t xml:space="preserve">Execução de atividades</w:t>
      </w:r>
    </w:p>
    <w:p>
      <w:pPr>
        <w:pStyle w:val="Compact"/>
        <w:numPr>
          <w:ilvl w:val="0"/>
          <w:numId w:val="1011"/>
        </w:numPr>
      </w:pPr>
      <w:r>
        <w:t xml:space="preserve">Seguir as etapas apresentadas na plataforma.</w:t>
      </w:r>
    </w:p>
    <w:p>
      <w:pPr>
        <w:pStyle w:val="Compact"/>
        <w:numPr>
          <w:ilvl w:val="0"/>
          <w:numId w:val="1011"/>
        </w:numPr>
      </w:pPr>
      <w:r>
        <w:t xml:space="preserve">Concluir ações obrigatórias de cada etapa.</w:t>
      </w:r>
    </w:p>
    <w:p>
      <w:pPr>
        <w:pStyle w:val="Compact"/>
        <w:numPr>
          <w:ilvl w:val="0"/>
          <w:numId w:val="1011"/>
        </w:numPr>
      </w:pPr>
      <w:r>
        <w:t xml:space="preserve">Acompanhar status de progresso na própria área.</w:t>
      </w:r>
    </w:p>
    <w:p>
      <w:pPr>
        <w:pStyle w:val="Compact"/>
        <w:numPr>
          <w:ilvl w:val="0"/>
          <w:numId w:val="1011"/>
        </w:numPr>
      </w:pPr>
      <w:r>
        <w:t xml:space="preserve">Consultar comprovantes/resultado quando disponível no fluxo.</w:t>
      </w:r>
    </w:p>
    <w:bookmarkEnd w:id="24"/>
    <w:bookmarkStart w:id="25" w:name="em-caso-de-dificuldade"/>
    <w:p>
      <w:pPr>
        <w:pStyle w:val="Heading4"/>
      </w:pPr>
      <w:r>
        <w:t xml:space="preserve">Em caso de dificuldade</w:t>
      </w:r>
    </w:p>
    <w:p>
      <w:pPr>
        <w:pStyle w:val="Compact"/>
        <w:numPr>
          <w:ilvl w:val="0"/>
          <w:numId w:val="1012"/>
        </w:numPr>
      </w:pPr>
      <w:r>
        <w:t xml:space="preserve">Confirmar se os dados preenchidos estão corretos.</w:t>
      </w:r>
    </w:p>
    <w:p>
      <w:pPr>
        <w:pStyle w:val="Compact"/>
        <w:numPr>
          <w:ilvl w:val="0"/>
          <w:numId w:val="1012"/>
        </w:numPr>
      </w:pPr>
      <w:r>
        <w:t xml:space="preserve">Atualizar a página e tentar novamente.</w:t>
      </w:r>
    </w:p>
    <w:p>
      <w:pPr>
        <w:pStyle w:val="Compact"/>
        <w:numPr>
          <w:ilvl w:val="0"/>
          <w:numId w:val="1012"/>
        </w:numPr>
      </w:pPr>
      <w:r>
        <w:t xml:space="preserve">Persistindo problema, acionar suporte com evidência (print e horário).</w:t>
      </w:r>
    </w:p>
    <w:bookmarkEnd w:id="25"/>
    <w:bookmarkEnd w:id="26"/>
    <w:bookmarkStart w:id="27" w:name="tratamento-de-pendências-geral"/>
    <w:p>
      <w:pPr>
        <w:pStyle w:val="Heading3"/>
      </w:pPr>
      <w:r>
        <w:t xml:space="preserve">Tratamento de pendências (geral)</w:t>
      </w:r>
    </w:p>
    <w:p>
      <w:pPr>
        <w:pStyle w:val="Compact"/>
        <w:numPr>
          <w:ilvl w:val="0"/>
          <w:numId w:val="1013"/>
        </w:numPr>
      </w:pPr>
      <w:r>
        <w:t xml:space="preserve">Localizar item com inconsistência.</w:t>
      </w:r>
    </w:p>
    <w:p>
      <w:pPr>
        <w:pStyle w:val="Compact"/>
        <w:numPr>
          <w:ilvl w:val="0"/>
          <w:numId w:val="1013"/>
        </w:numPr>
      </w:pPr>
      <w:r>
        <w:t xml:space="preserve">Corrigir informação permitida.</w:t>
      </w:r>
    </w:p>
    <w:p>
      <w:pPr>
        <w:pStyle w:val="Compact"/>
        <w:numPr>
          <w:ilvl w:val="0"/>
          <w:numId w:val="1013"/>
        </w:numPr>
      </w:pPr>
      <w:r>
        <w:t xml:space="preserve">Reprocessar ou atualizar status.</w:t>
      </w:r>
    </w:p>
    <w:p>
      <w:pPr>
        <w:pStyle w:val="Compact"/>
        <w:numPr>
          <w:ilvl w:val="0"/>
          <w:numId w:val="1013"/>
        </w:numPr>
      </w:pPr>
      <w:r>
        <w:t xml:space="preserve">Se persistir, abrir chamado com evidência.</w:t>
      </w:r>
    </w:p>
    <w:bookmarkEnd w:id="27"/>
    <w:bookmarkStart w:id="28" w:name="boas-práticas"/>
    <w:p>
      <w:pPr>
        <w:pStyle w:val="Heading3"/>
      </w:pPr>
      <w:r>
        <w:t xml:space="preserve">Boas práticas</w:t>
      </w:r>
    </w:p>
    <w:p>
      <w:pPr>
        <w:pStyle w:val="Compact"/>
        <w:numPr>
          <w:ilvl w:val="0"/>
          <w:numId w:val="1014"/>
        </w:numPr>
      </w:pPr>
      <w:r>
        <w:t xml:space="preserve">Não compartilhar credenciais.</w:t>
      </w:r>
    </w:p>
    <w:p>
      <w:pPr>
        <w:pStyle w:val="Compact"/>
        <w:numPr>
          <w:ilvl w:val="0"/>
          <w:numId w:val="1014"/>
        </w:numPr>
      </w:pPr>
      <w:r>
        <w:t xml:space="preserve">Usar apenas permissões do próprio perfil.</w:t>
      </w:r>
    </w:p>
    <w:p>
      <w:pPr>
        <w:pStyle w:val="Compact"/>
        <w:numPr>
          <w:ilvl w:val="0"/>
          <w:numId w:val="1014"/>
        </w:numPr>
      </w:pPr>
      <w:r>
        <w:t xml:space="preserve">Encerrar sessão após uso.</w:t>
      </w:r>
    </w:p>
    <w:bookmarkEnd w:id="28"/>
    <w:bookmarkStart w:id="29" w:name="suporte"/>
    <w:p>
      <w:pPr>
        <w:pStyle w:val="Heading3"/>
      </w:pPr>
      <w:r>
        <w:t xml:space="preserve">Suporte</w:t>
      </w:r>
    </w:p>
    <w:p>
      <w:pPr>
        <w:pStyle w:val="Compact"/>
        <w:numPr>
          <w:ilvl w:val="0"/>
          <w:numId w:val="1015"/>
        </w:numPr>
      </w:pPr>
      <w:r>
        <w:t xml:space="preserve">Canal operacional:</w:t>
      </w:r>
      <w:r>
        <w:t xml:space="preserve"> </w:t>
      </w:r>
      <w:r>
        <w:rPr>
          <w:rStyle w:val="VerbatimChar"/>
        </w:rPr>
        <w:t xml:space="preserve">preencher</w:t>
      </w:r>
    </w:p>
    <w:p>
      <w:pPr>
        <w:pStyle w:val="Compact"/>
        <w:numPr>
          <w:ilvl w:val="0"/>
          <w:numId w:val="1015"/>
        </w:numPr>
      </w:pPr>
      <w:r>
        <w:t xml:space="preserve">Canal técnico:</w:t>
      </w:r>
      <w:r>
        <w:t xml:space="preserve"> </w:t>
      </w:r>
      <w:r>
        <w:rPr>
          <w:rStyle w:val="VerbatimChar"/>
        </w:rPr>
        <w:t xml:space="preserve">preencher</w:t>
      </w:r>
    </w:p>
    <w:p>
      <w:pPr>
        <w:pStyle w:val="Compact"/>
        <w:numPr>
          <w:ilvl w:val="0"/>
          <w:numId w:val="1015"/>
        </w:numPr>
      </w:pPr>
      <w:r>
        <w:t xml:space="preserve">Horário de atendimento:</w:t>
      </w:r>
      <w:r>
        <w:t xml:space="preserve"> </w:t>
      </w:r>
      <w:r>
        <w:rPr>
          <w:rStyle w:val="VerbatimChar"/>
        </w:rPr>
        <w:t xml:space="preserve">preencher</w:t>
      </w:r>
    </w:p>
    <w:bookmarkEnd w:id="29"/>
    <w:bookmarkEnd w:id="30"/>
    <w:bookmarkStart w:id="40" w:name="X47f22860f52d9373b299a6eed8378449aa3640c"/>
    <w:p>
      <w:pPr>
        <w:pStyle w:val="Heading2"/>
      </w:pPr>
      <w:r>
        <w:t xml:space="preserve">3. Especificacao funcional e integracao (resumo nao sensivel)</w:t>
      </w:r>
    </w:p>
    <w:bookmarkStart w:id="31" w:name="requisitos-funcionais-principais"/>
    <w:p>
      <w:pPr>
        <w:pStyle w:val="Heading3"/>
      </w:pPr>
      <w:r>
        <w:t xml:space="preserve">Requisitos funcionais principais</w:t>
      </w:r>
    </w:p>
    <w:p>
      <w:pPr>
        <w:pStyle w:val="Compact"/>
        <w:numPr>
          <w:ilvl w:val="0"/>
          <w:numId w:val="1016"/>
        </w:numPr>
      </w:pPr>
      <w:r>
        <w:t xml:space="preserve">Autenticacao de usuarios autorizados.</w:t>
      </w:r>
    </w:p>
    <w:p>
      <w:pPr>
        <w:pStyle w:val="Compact"/>
        <w:numPr>
          <w:ilvl w:val="0"/>
          <w:numId w:val="1016"/>
        </w:numPr>
      </w:pPr>
      <w:r>
        <w:t xml:space="preserve">Gestao de jornadas, atividades, eventos ou trilhas gamificadas.</w:t>
      </w:r>
    </w:p>
    <w:p>
      <w:pPr>
        <w:pStyle w:val="Compact"/>
        <w:numPr>
          <w:ilvl w:val="0"/>
          <w:numId w:val="1016"/>
        </w:numPr>
      </w:pPr>
      <w:r>
        <w:t xml:space="preserve">Controle por perfis de acesso.</w:t>
      </w:r>
    </w:p>
    <w:p>
      <w:pPr>
        <w:pStyle w:val="Compact"/>
        <w:numPr>
          <w:ilvl w:val="0"/>
          <w:numId w:val="1016"/>
        </w:numPr>
      </w:pPr>
      <w:r>
        <w:t xml:space="preserve">Registro e acompanhamento de progresso.</w:t>
      </w:r>
    </w:p>
    <w:p>
      <w:pPr>
        <w:pStyle w:val="Compact"/>
        <w:numPr>
          <w:ilvl w:val="0"/>
          <w:numId w:val="1016"/>
        </w:numPr>
      </w:pPr>
      <w:r>
        <w:t xml:space="preserve">Consulta de relatorios operacionais.</w:t>
      </w:r>
    </w:p>
    <w:bookmarkEnd w:id="31"/>
    <w:bookmarkStart w:id="32" w:name="requisitos-nao-funcionais-principais"/>
    <w:p>
      <w:pPr>
        <w:pStyle w:val="Heading3"/>
      </w:pPr>
      <w:r>
        <w:t xml:space="preserve">Requisitos nao funcionais principais</w:t>
      </w:r>
    </w:p>
    <w:p>
      <w:pPr>
        <w:pStyle w:val="Compact"/>
        <w:numPr>
          <w:ilvl w:val="0"/>
          <w:numId w:val="1017"/>
        </w:numPr>
      </w:pPr>
      <w:r>
        <w:t xml:space="preserve">Disponibilidade operacional compativel com uso simultaneo.</w:t>
      </w:r>
    </w:p>
    <w:p>
      <w:pPr>
        <w:pStyle w:val="Compact"/>
        <w:numPr>
          <w:ilvl w:val="0"/>
          <w:numId w:val="1017"/>
        </w:numPr>
      </w:pPr>
      <w:r>
        <w:t xml:space="preserve">Integracao segura com sistemas externos.</w:t>
      </w:r>
    </w:p>
    <w:p>
      <w:pPr>
        <w:pStyle w:val="Compact"/>
        <w:numPr>
          <w:ilvl w:val="0"/>
          <w:numId w:val="1017"/>
        </w:numPr>
      </w:pPr>
      <w:r>
        <w:t xml:space="preserve">Rastreabilidade de operacoes.</w:t>
      </w:r>
    </w:p>
    <w:p>
      <w:pPr>
        <w:pStyle w:val="Compact"/>
        <w:numPr>
          <w:ilvl w:val="0"/>
          <w:numId w:val="1017"/>
        </w:numPr>
      </w:pPr>
      <w:r>
        <w:t xml:space="preserve">Rotinas de backup e recuperacao.</w:t>
      </w:r>
    </w:p>
    <w:p>
      <w:pPr>
        <w:pStyle w:val="Compact"/>
        <w:numPr>
          <w:ilvl w:val="0"/>
          <w:numId w:val="1017"/>
        </w:numPr>
      </w:pPr>
      <w:r>
        <w:t xml:space="preserve">Acessibilidade minima alinhada a WCAG 2.1.</w:t>
      </w:r>
    </w:p>
    <w:bookmarkEnd w:id="32"/>
    <w:bookmarkStart w:id="33" w:name="fluxo-principal-da-jornada-gamificada"/>
    <w:p>
      <w:pPr>
        <w:pStyle w:val="Heading3"/>
      </w:pPr>
      <w:r>
        <w:t xml:space="preserve">Fluxo principal da jornada gamificada</w:t>
      </w:r>
    </w:p>
    <w:p>
      <w:pPr>
        <w:pStyle w:val="Compact"/>
        <w:numPr>
          <w:ilvl w:val="0"/>
          <w:numId w:val="1018"/>
        </w:numPr>
      </w:pPr>
      <w:r>
        <w:t xml:space="preserve">Usuario autenticado acessa a plataforma.</w:t>
      </w:r>
    </w:p>
    <w:p>
      <w:pPr>
        <w:pStyle w:val="Compact"/>
        <w:numPr>
          <w:ilvl w:val="0"/>
          <w:numId w:val="1018"/>
        </w:numPr>
      </w:pPr>
      <w:r>
        <w:t xml:space="preserve">Plataforma identifica perfil e permissoes.</w:t>
      </w:r>
    </w:p>
    <w:p>
      <w:pPr>
        <w:pStyle w:val="Compact"/>
        <w:numPr>
          <w:ilvl w:val="0"/>
          <w:numId w:val="1018"/>
        </w:numPr>
      </w:pPr>
      <w:r>
        <w:t xml:space="preserve">Usuario entra na jornada, evento ou atividade disponivel.</w:t>
      </w:r>
    </w:p>
    <w:p>
      <w:pPr>
        <w:pStyle w:val="Compact"/>
        <w:numPr>
          <w:ilvl w:val="0"/>
          <w:numId w:val="1018"/>
        </w:numPr>
      </w:pPr>
      <w:r>
        <w:t xml:space="preserve">Plataforma registra progresso, interacoes e status.</w:t>
      </w:r>
    </w:p>
    <w:p>
      <w:pPr>
        <w:pStyle w:val="Compact"/>
        <w:numPr>
          <w:ilvl w:val="0"/>
          <w:numId w:val="1018"/>
        </w:numPr>
      </w:pPr>
      <w:r>
        <w:t xml:space="preserve">Dados podem ser consultados por modulos administrativos e relatorios.</w:t>
      </w:r>
    </w:p>
    <w:bookmarkEnd w:id="33"/>
    <w:bookmarkStart w:id="34" w:name="visão-geral"/>
    <w:p>
      <w:pPr>
        <w:pStyle w:val="Heading3"/>
      </w:pPr>
      <w:r>
        <w:t xml:space="preserve">Visão geral</w:t>
      </w:r>
    </w:p>
    <w:p>
      <w:pPr>
        <w:pStyle w:val="FirstParagraph"/>
      </w:pPr>
      <w:r>
        <w:t xml:space="preserve">Integração por API segura entre sistemas autorizados.</w:t>
      </w:r>
    </w:p>
    <w:bookmarkEnd w:id="34"/>
    <w:bookmarkStart w:id="35" w:name="padrão-de-comunicação"/>
    <w:p>
      <w:pPr>
        <w:pStyle w:val="Heading3"/>
      </w:pPr>
      <w:r>
        <w:t xml:space="preserve">Padrão de comunicação</w:t>
      </w:r>
    </w:p>
    <w:p>
      <w:pPr>
        <w:pStyle w:val="Compact"/>
        <w:numPr>
          <w:ilvl w:val="0"/>
          <w:numId w:val="1019"/>
        </w:numPr>
      </w:pPr>
      <w:r>
        <w:t xml:space="preserve">Protocolo seguro (HTTPS).</w:t>
      </w:r>
    </w:p>
    <w:p>
      <w:pPr>
        <w:pStyle w:val="Compact"/>
        <w:numPr>
          <w:ilvl w:val="0"/>
          <w:numId w:val="1019"/>
        </w:numPr>
      </w:pPr>
      <w:r>
        <w:t xml:space="preserve">Troca de dados em JSON.</w:t>
      </w:r>
    </w:p>
    <w:p>
      <w:pPr>
        <w:pStyle w:val="Compact"/>
        <w:numPr>
          <w:ilvl w:val="0"/>
          <w:numId w:val="1019"/>
        </w:numPr>
      </w:pPr>
      <w:r>
        <w:t xml:space="preserve">Controle de acesso por autenticação e perfil.</w:t>
      </w:r>
    </w:p>
    <w:bookmarkEnd w:id="35"/>
    <w:bookmarkStart w:id="36" w:name="autenticação"/>
    <w:p>
      <w:pPr>
        <w:pStyle w:val="Heading3"/>
      </w:pPr>
      <w:r>
        <w:t xml:space="preserve">Autenticação</w:t>
      </w:r>
    </w:p>
    <w:p>
      <w:pPr>
        <w:pStyle w:val="Compact"/>
        <w:numPr>
          <w:ilvl w:val="0"/>
          <w:numId w:val="1020"/>
        </w:numPr>
      </w:pPr>
      <w:r>
        <w:t xml:space="preserve">Token de acesso com expiração.</w:t>
      </w:r>
    </w:p>
    <w:p>
      <w:pPr>
        <w:pStyle w:val="Compact"/>
        <w:numPr>
          <w:ilvl w:val="0"/>
          <w:numId w:val="1020"/>
        </w:numPr>
      </w:pPr>
      <w:r>
        <w:t xml:space="preserve">Renovação e revogação conforme política vigente.</w:t>
      </w:r>
    </w:p>
    <w:bookmarkEnd w:id="36"/>
    <w:bookmarkStart w:id="37" w:name="operações-integradas-alto-nível"/>
    <w:p>
      <w:pPr>
        <w:pStyle w:val="Heading3"/>
      </w:pPr>
      <w:r>
        <w:t xml:space="preserve">Operações integradas (alto nível)</w:t>
      </w:r>
    </w:p>
    <w:p>
      <w:pPr>
        <w:pStyle w:val="Compact"/>
        <w:numPr>
          <w:ilvl w:val="0"/>
          <w:numId w:val="1021"/>
        </w:numPr>
      </w:pPr>
      <w:r>
        <w:t xml:space="preserve">Autenticação de usuário/sistema.</w:t>
      </w:r>
    </w:p>
    <w:p>
      <w:pPr>
        <w:pStyle w:val="Compact"/>
        <w:numPr>
          <w:ilvl w:val="0"/>
          <w:numId w:val="1021"/>
        </w:numPr>
      </w:pPr>
      <w:r>
        <w:t xml:space="preserve">Consulta de dados operacionais.</w:t>
      </w:r>
    </w:p>
    <w:p>
      <w:pPr>
        <w:pStyle w:val="Compact"/>
        <w:numPr>
          <w:ilvl w:val="0"/>
          <w:numId w:val="1021"/>
        </w:numPr>
      </w:pPr>
      <w:r>
        <w:t xml:space="preserve">Registro e atualização de informações contratuais.</w:t>
      </w:r>
    </w:p>
    <w:p>
      <w:pPr>
        <w:pStyle w:val="Compact"/>
        <w:numPr>
          <w:ilvl w:val="0"/>
          <w:numId w:val="1021"/>
        </w:numPr>
      </w:pPr>
      <w:r>
        <w:t xml:space="preserve">Consulta de relatórios operacionais.</w:t>
      </w:r>
    </w:p>
    <w:bookmarkEnd w:id="37"/>
    <w:bookmarkStart w:id="38" w:name="respostas-padrão"/>
    <w:p>
      <w:pPr>
        <w:pStyle w:val="Heading3"/>
      </w:pPr>
      <w:r>
        <w:t xml:space="preserve">Respostas padrão</w:t>
      </w:r>
    </w:p>
    <w:p>
      <w:pPr>
        <w:pStyle w:val="Compact"/>
        <w:numPr>
          <w:ilvl w:val="0"/>
          <w:numId w:val="1022"/>
        </w:numPr>
      </w:pPr>
      <w:r>
        <w:t xml:space="preserve">Sucesso.</w:t>
      </w:r>
    </w:p>
    <w:p>
      <w:pPr>
        <w:pStyle w:val="Compact"/>
        <w:numPr>
          <w:ilvl w:val="0"/>
          <w:numId w:val="1022"/>
        </w:numPr>
      </w:pPr>
      <w:r>
        <w:t xml:space="preserve">Erro de validação.</w:t>
      </w:r>
    </w:p>
    <w:p>
      <w:pPr>
        <w:pStyle w:val="Compact"/>
        <w:numPr>
          <w:ilvl w:val="0"/>
          <w:numId w:val="1022"/>
        </w:numPr>
      </w:pPr>
      <w:r>
        <w:t xml:space="preserve">Não autorizado.</w:t>
      </w:r>
    </w:p>
    <w:p>
      <w:pPr>
        <w:pStyle w:val="Compact"/>
        <w:numPr>
          <w:ilvl w:val="0"/>
          <w:numId w:val="1022"/>
        </w:numPr>
      </w:pPr>
      <w:r>
        <w:t xml:space="preserve">Recurso não encontrado.</w:t>
      </w:r>
    </w:p>
    <w:p>
      <w:pPr>
        <w:pStyle w:val="Compact"/>
        <w:numPr>
          <w:ilvl w:val="0"/>
          <w:numId w:val="1022"/>
        </w:numPr>
      </w:pPr>
      <w:r>
        <w:t xml:space="preserve">Erro interno.</w:t>
      </w:r>
    </w:p>
    <w:bookmarkEnd w:id="38"/>
    <w:bookmarkStart w:id="39" w:name="observação-de-segurança"/>
    <w:p>
      <w:pPr>
        <w:pStyle w:val="Heading3"/>
      </w:pPr>
      <w:r>
        <w:t xml:space="preserve">Observação de segurança</w:t>
      </w:r>
    </w:p>
    <w:p>
      <w:pPr>
        <w:pStyle w:val="FirstParagraph"/>
      </w:pPr>
      <w:r>
        <w:t xml:space="preserve">Catálogo técnico detalhado (endpoints e payloads) é disponibilizado apenas em canal restrito para equipes autorizadas.</w:t>
      </w:r>
    </w:p>
    <w:bookmarkEnd w:id="39"/>
    <w:bookmarkEnd w:id="40"/>
    <w:bookmarkStart w:id="44" w:name="Xfb23e81d06461fb2852fa17cf007131b926462f"/>
    <w:p>
      <w:pPr>
        <w:pStyle w:val="Heading2"/>
      </w:pPr>
      <w:r>
        <w:t xml:space="preserve">3.1 Arquitetura e fluxo de dados em alto nivel</w:t>
      </w:r>
    </w:p>
    <w:bookmarkStart w:id="41" w:name="arquitetura-resumida"/>
    <w:p>
      <w:pPr>
        <w:pStyle w:val="Heading3"/>
      </w:pPr>
      <w:r>
        <w:t xml:space="preserve">Arquitetura resumida</w:t>
      </w:r>
    </w:p>
    <w:p>
      <w:pPr>
        <w:pStyle w:val="Compact"/>
        <w:numPr>
          <w:ilvl w:val="0"/>
          <w:numId w:val="1023"/>
        </w:numPr>
      </w:pPr>
      <w:r>
        <w:t xml:space="preserve">Camada de apresentacao para usuarios administrativos e participantes.</w:t>
      </w:r>
    </w:p>
    <w:p>
      <w:pPr>
        <w:pStyle w:val="Compact"/>
        <w:numPr>
          <w:ilvl w:val="0"/>
          <w:numId w:val="1023"/>
        </w:numPr>
      </w:pPr>
      <w:r>
        <w:t xml:space="preserve">Camada de servicos de negocio da plataforma gamificada.</w:t>
      </w:r>
    </w:p>
    <w:p>
      <w:pPr>
        <w:pStyle w:val="Compact"/>
        <w:numPr>
          <w:ilvl w:val="0"/>
          <w:numId w:val="1023"/>
        </w:numPr>
      </w:pPr>
      <w:r>
        <w:t xml:space="preserve">Camada de integracao com sistemas externos autorizados.</w:t>
      </w:r>
    </w:p>
    <w:p>
      <w:pPr>
        <w:pStyle w:val="Compact"/>
        <w:numPr>
          <w:ilvl w:val="0"/>
          <w:numId w:val="1023"/>
        </w:numPr>
      </w:pPr>
      <w:r>
        <w:t xml:space="preserve">Camada de persistencia e rotinas operacionais.</w:t>
      </w:r>
    </w:p>
    <w:p>
      <w:pPr>
        <w:pStyle w:val="Compact"/>
        <w:numPr>
          <w:ilvl w:val="0"/>
          <w:numId w:val="1023"/>
        </w:numPr>
      </w:pPr>
      <w:r>
        <w:t xml:space="preserve">Camada de monitoramento, logs e backup.</w:t>
      </w:r>
    </w:p>
    <w:bookmarkEnd w:id="41"/>
    <w:bookmarkStart w:id="42" w:name="fluxo-de-dados-resumido"/>
    <w:p>
      <w:pPr>
        <w:pStyle w:val="Heading3"/>
      </w:pPr>
      <w:r>
        <w:t xml:space="preserve">Fluxo de dados resumido</w:t>
      </w:r>
    </w:p>
    <w:p>
      <w:pPr>
        <w:pStyle w:val="Compact"/>
        <w:numPr>
          <w:ilvl w:val="0"/>
          <w:numId w:val="1024"/>
        </w:numPr>
      </w:pPr>
      <w:r>
        <w:t xml:space="preserve">Usuario ou sistema autorizado inicia requisicao.</w:t>
      </w:r>
    </w:p>
    <w:p>
      <w:pPr>
        <w:pStyle w:val="Compact"/>
        <w:numPr>
          <w:ilvl w:val="0"/>
          <w:numId w:val="1024"/>
        </w:numPr>
      </w:pPr>
      <w:r>
        <w:t xml:space="preserve">Plataforma autentica e valida permissao.</w:t>
      </w:r>
    </w:p>
    <w:p>
      <w:pPr>
        <w:pStyle w:val="Compact"/>
        <w:numPr>
          <w:ilvl w:val="0"/>
          <w:numId w:val="1024"/>
        </w:numPr>
      </w:pPr>
      <w:r>
        <w:t xml:space="preserve">Regra de negocio processa a operacao.</w:t>
      </w:r>
    </w:p>
    <w:p>
      <w:pPr>
        <w:pStyle w:val="Compact"/>
        <w:numPr>
          <w:ilvl w:val="0"/>
          <w:numId w:val="1024"/>
        </w:numPr>
      </w:pPr>
      <w:r>
        <w:t xml:space="preserve">Dados sao gravados, consultados ou sincronizados com integracoes permitidas.</w:t>
      </w:r>
    </w:p>
    <w:p>
      <w:pPr>
        <w:pStyle w:val="Compact"/>
        <w:numPr>
          <w:ilvl w:val="0"/>
          <w:numId w:val="1024"/>
        </w:numPr>
      </w:pPr>
      <w:r>
        <w:t xml:space="preserve">Eventos operacionais sao registrados para rastreabilidade.</w:t>
      </w:r>
    </w:p>
    <w:bookmarkEnd w:id="42"/>
    <w:bookmarkStart w:id="43" w:name="observacao"/>
    <w:p>
      <w:pPr>
        <w:pStyle w:val="Heading3"/>
      </w:pPr>
      <w:r>
        <w:t xml:space="preserve">Observacao</w:t>
      </w:r>
    </w:p>
    <w:p>
      <w:pPr>
        <w:pStyle w:val="Compact"/>
        <w:numPr>
          <w:ilvl w:val="0"/>
          <w:numId w:val="1025"/>
        </w:numPr>
      </w:pPr>
      <w:r>
        <w:t xml:space="preserve">Diagramas detalhados podem ser anexados em versao controlada, sem exposicao de segredos tecnicos.</w:t>
      </w:r>
    </w:p>
    <w:bookmarkEnd w:id="43"/>
    <w:bookmarkEnd w:id="44"/>
    <w:bookmarkStart w:id="51" w:name="evidências-de-testes-e-aceite"/>
    <w:p>
      <w:pPr>
        <w:pStyle w:val="Heading2"/>
      </w:pPr>
      <w:r>
        <w:t xml:space="preserve">4. Evidências de testes e aceite</w:t>
      </w:r>
    </w:p>
    <w:bookmarkStart w:id="45" w:name="testes-funcionais"/>
    <w:p>
      <w:pPr>
        <w:pStyle w:val="Heading3"/>
      </w:pPr>
      <w:r>
        <w:t xml:space="preserve">Testes funcionais</w:t>
      </w:r>
    </w:p>
    <w:p>
      <w:pPr>
        <w:pStyle w:val="Compact"/>
        <w:numPr>
          <w:ilvl w:val="0"/>
          <w:numId w:val="1026"/>
        </w:numPr>
      </w:pPr>
      <w:r>
        <w:t xml:space="preserve">Fluxos contratados executados com sucesso.</w:t>
      </w:r>
    </w:p>
    <w:p>
      <w:pPr>
        <w:pStyle w:val="Compact"/>
        <w:numPr>
          <w:ilvl w:val="0"/>
          <w:numId w:val="1026"/>
        </w:numPr>
      </w:pPr>
      <w:r>
        <w:t xml:space="preserve">Perfis de acesso validados.</w:t>
      </w:r>
    </w:p>
    <w:p>
      <w:pPr>
        <w:pStyle w:val="Compact"/>
        <w:numPr>
          <w:ilvl w:val="0"/>
          <w:numId w:val="1026"/>
        </w:numPr>
      </w:pPr>
      <w:r>
        <w:t xml:space="preserve">Tratamento de erros básicos validado.</w:t>
      </w:r>
    </w:p>
    <w:bookmarkEnd w:id="45"/>
    <w:bookmarkStart w:id="46" w:name="carga-básica"/>
    <w:p>
      <w:pPr>
        <w:pStyle w:val="Heading3"/>
      </w:pPr>
      <w:r>
        <w:t xml:space="preserve">Carga básica</w:t>
      </w:r>
    </w:p>
    <w:p>
      <w:pPr>
        <w:pStyle w:val="Compact"/>
        <w:numPr>
          <w:ilvl w:val="0"/>
          <w:numId w:val="1027"/>
        </w:numPr>
      </w:pPr>
      <w:r>
        <w:t xml:space="preserve">Execução de cenário representativo de uso.</w:t>
      </w:r>
    </w:p>
    <w:p>
      <w:pPr>
        <w:pStyle w:val="Compact"/>
        <w:numPr>
          <w:ilvl w:val="0"/>
          <w:numId w:val="1027"/>
        </w:numPr>
      </w:pPr>
      <w:r>
        <w:t xml:space="preserve">Sem falha impeditiva no fluxo principal.</w:t>
      </w:r>
    </w:p>
    <w:bookmarkEnd w:id="46"/>
    <w:bookmarkStart w:id="47" w:name="acessibilidade-mínima"/>
    <w:p>
      <w:pPr>
        <w:pStyle w:val="Heading3"/>
      </w:pPr>
      <w:r>
        <w:t xml:space="preserve">Acessibilidade mínima</w:t>
      </w:r>
    </w:p>
    <w:p>
      <w:pPr>
        <w:pStyle w:val="Compact"/>
        <w:numPr>
          <w:ilvl w:val="0"/>
          <w:numId w:val="1028"/>
        </w:numPr>
      </w:pPr>
      <w:r>
        <w:t xml:space="preserve">Navegação por teclado nos fluxos principais.</w:t>
      </w:r>
    </w:p>
    <w:p>
      <w:pPr>
        <w:pStyle w:val="Compact"/>
        <w:numPr>
          <w:ilvl w:val="0"/>
          <w:numId w:val="1028"/>
        </w:numPr>
      </w:pPr>
      <w:r>
        <w:t xml:space="preserve">Legibilidade mínima de interface.</w:t>
      </w:r>
    </w:p>
    <w:bookmarkEnd w:id="47"/>
    <w:bookmarkStart w:id="48" w:name="infraestrutura-operacional-resumida"/>
    <w:p>
      <w:pPr>
        <w:pStyle w:val="Heading3"/>
      </w:pPr>
      <w:r>
        <w:t xml:space="preserve">Infraestrutura operacional resumida</w:t>
      </w:r>
    </w:p>
    <w:p>
      <w:pPr>
        <w:pStyle w:val="Compact"/>
        <w:numPr>
          <w:ilvl w:val="0"/>
          <w:numId w:val="1029"/>
        </w:numPr>
      </w:pPr>
      <w:r>
        <w:t xml:space="preserve">Ambiente com capacidade para usuarios simultaneos sem travamentos impeditivos no fluxo principal.</w:t>
      </w:r>
    </w:p>
    <w:p>
      <w:pPr>
        <w:pStyle w:val="Compact"/>
        <w:numPr>
          <w:ilvl w:val="0"/>
          <w:numId w:val="1029"/>
        </w:numPr>
      </w:pPr>
      <w:r>
        <w:t xml:space="preserve">Integracoes ativas em ambiente seguro conforme necessidade operacional.</w:t>
      </w:r>
    </w:p>
    <w:p>
      <w:pPr>
        <w:pStyle w:val="Compact"/>
        <w:numPr>
          <w:ilvl w:val="0"/>
          <w:numId w:val="1029"/>
        </w:numPr>
      </w:pPr>
      <w:r>
        <w:t xml:space="preserve">Rotina de backup diario com possibilidade de restauracao.</w:t>
      </w:r>
    </w:p>
    <w:p>
      <w:pPr>
        <w:pStyle w:val="Compact"/>
        <w:numPr>
          <w:ilvl w:val="0"/>
          <w:numId w:val="1029"/>
        </w:numPr>
      </w:pPr>
      <w:r>
        <w:t xml:space="preserve">Monitoramento continuo e registros de operacao disponiveis internamente.</w:t>
      </w:r>
    </w:p>
    <w:bookmarkEnd w:id="48"/>
    <w:bookmarkStart w:id="49" w:name="aceite"/>
    <w:p>
      <w:pPr>
        <w:pStyle w:val="Heading3"/>
      </w:pPr>
      <w:r>
        <w:t xml:space="preserve">Aceite</w:t>
      </w:r>
    </w:p>
    <w:p>
      <w:pPr>
        <w:pStyle w:val="Compact"/>
        <w:numPr>
          <w:ilvl w:val="0"/>
          <w:numId w:val="1030"/>
        </w:numPr>
      </w:pPr>
      <w:r>
        <w:t xml:space="preserve">Data:</w:t>
      </w:r>
      <w:r>
        <w:t xml:space="preserve"> </w:t>
      </w:r>
      <w:r>
        <w:rPr>
          <w:rStyle w:val="VerbatimChar"/>
        </w:rPr>
        <w:t xml:space="preserve">____/____/______</w:t>
      </w:r>
    </w:p>
    <w:p>
      <w:pPr>
        <w:pStyle w:val="Compact"/>
        <w:numPr>
          <w:ilvl w:val="0"/>
          <w:numId w:val="1030"/>
        </w:numPr>
      </w:pPr>
      <w:r>
        <w:t xml:space="preserve">Responsável técnico:</w:t>
      </w:r>
      <w:r>
        <w:t xml:space="preserve"> </w:t>
      </w:r>
      <w:r>
        <w:rPr>
          <w:rStyle w:val="VerbatimChar"/>
        </w:rPr>
        <w:t xml:space="preserve">NOME</w:t>
      </w:r>
    </w:p>
    <w:p>
      <w:pPr>
        <w:pStyle w:val="Compact"/>
        <w:numPr>
          <w:ilvl w:val="0"/>
          <w:numId w:val="1030"/>
        </w:numPr>
      </w:pPr>
      <w:r>
        <w:t xml:space="preserve">Responsável de negócio:</w:t>
      </w:r>
      <w:r>
        <w:t xml:space="preserve"> </w:t>
      </w:r>
      <w:r>
        <w:rPr>
          <w:rStyle w:val="VerbatimChar"/>
        </w:rPr>
        <w:t xml:space="preserve">NOME</w:t>
      </w:r>
    </w:p>
    <w:p>
      <w:pPr>
        <w:pStyle w:val="Compact"/>
        <w:numPr>
          <w:ilvl w:val="0"/>
          <w:numId w:val="1030"/>
        </w:numPr>
      </w:pPr>
      <w:r>
        <w:t xml:space="preserve">Status:</w:t>
      </w:r>
      <w:r>
        <w:t xml:space="preserve"> </w:t>
      </w:r>
      <w:r>
        <w:rPr>
          <w:rStyle w:val="VerbatimChar"/>
        </w:rPr>
        <w:t xml:space="preserve">Aprovado / Aprovado com ressalvas / Reprovado</w:t>
      </w:r>
    </w:p>
    <w:bookmarkEnd w:id="49"/>
    <w:bookmarkStart w:id="50" w:name="evidências-anexas"/>
    <w:p>
      <w:pPr>
        <w:pStyle w:val="Heading3"/>
      </w:pPr>
      <w:r>
        <w:t xml:space="preserve">Evidências anexas</w:t>
      </w:r>
    </w:p>
    <w:p>
      <w:pPr>
        <w:pStyle w:val="Compact"/>
        <w:numPr>
          <w:ilvl w:val="0"/>
          <w:numId w:val="1031"/>
        </w:numPr>
      </w:pPr>
      <w:r>
        <w:t xml:space="preserve">Ata/checklist de homologação.</w:t>
      </w:r>
    </w:p>
    <w:p>
      <w:pPr>
        <w:pStyle w:val="Compact"/>
        <w:numPr>
          <w:ilvl w:val="0"/>
          <w:numId w:val="1031"/>
        </w:numPr>
      </w:pPr>
      <w:r>
        <w:t xml:space="preserve">Evidências visuais.</w:t>
      </w:r>
    </w:p>
    <w:bookmarkEnd w:id="50"/>
    <w:bookmarkEnd w:id="51"/>
    <w:bookmarkStart w:id="57" w:name="sla-segurança-e-lgpd"/>
    <w:p>
      <w:pPr>
        <w:pStyle w:val="Heading2"/>
      </w:pPr>
      <w:r>
        <w:t xml:space="preserve">5. SLA, segurança e LGPD</w:t>
      </w:r>
    </w:p>
    <w:bookmarkStart w:id="52" w:name="sla"/>
    <w:p>
      <w:pPr>
        <w:pStyle w:val="Heading3"/>
      </w:pPr>
      <w:r>
        <w:t xml:space="preserve">SLA</w:t>
      </w:r>
    </w:p>
    <w:p>
      <w:pPr>
        <w:pStyle w:val="Compact"/>
        <w:numPr>
          <w:ilvl w:val="0"/>
          <w:numId w:val="1032"/>
        </w:numPr>
      </w:pPr>
      <w:r>
        <w:t xml:space="preserve">Atendimento conforme níveis de criticidade definidos em contrato.</w:t>
      </w:r>
    </w:p>
    <w:p>
      <w:pPr>
        <w:pStyle w:val="Compact"/>
        <w:numPr>
          <w:ilvl w:val="0"/>
          <w:numId w:val="1032"/>
        </w:numPr>
      </w:pPr>
      <w:r>
        <w:t xml:space="preserve">Comunicação de incidentes e atualizações durante tratamento.</w:t>
      </w:r>
    </w:p>
    <w:bookmarkEnd w:id="52"/>
    <w:bookmarkStart w:id="53" w:name="disponibilidade"/>
    <w:p>
      <w:pPr>
        <w:pStyle w:val="Heading3"/>
      </w:pPr>
      <w:r>
        <w:t xml:space="preserve">Disponibilidade</w:t>
      </w:r>
    </w:p>
    <w:p>
      <w:pPr>
        <w:pStyle w:val="Compact"/>
        <w:numPr>
          <w:ilvl w:val="0"/>
          <w:numId w:val="1033"/>
        </w:numPr>
      </w:pPr>
      <w:r>
        <w:t xml:space="preserve">Meta de disponibilidade conforme contrato vigente.</w:t>
      </w:r>
    </w:p>
    <w:p>
      <w:pPr>
        <w:pStyle w:val="Compact"/>
        <w:numPr>
          <w:ilvl w:val="0"/>
          <w:numId w:val="1033"/>
        </w:numPr>
      </w:pPr>
      <w:r>
        <w:t xml:space="preserve">Manutenção programada com aviso prévio.</w:t>
      </w:r>
    </w:p>
    <w:bookmarkEnd w:id="53"/>
    <w:bookmarkStart w:id="54" w:name="segurança"/>
    <w:p>
      <w:pPr>
        <w:pStyle w:val="Heading3"/>
      </w:pPr>
      <w:r>
        <w:t xml:space="preserve">Segurança</w:t>
      </w:r>
    </w:p>
    <w:p>
      <w:pPr>
        <w:pStyle w:val="Compact"/>
        <w:numPr>
          <w:ilvl w:val="0"/>
          <w:numId w:val="1034"/>
        </w:numPr>
      </w:pPr>
      <w:r>
        <w:t xml:space="preserve">Acesso seguro e controlado por perfil.</w:t>
      </w:r>
    </w:p>
    <w:p>
      <w:pPr>
        <w:pStyle w:val="Compact"/>
        <w:numPr>
          <w:ilvl w:val="0"/>
          <w:numId w:val="1034"/>
        </w:numPr>
      </w:pPr>
      <w:r>
        <w:t xml:space="preserve">Registros de operação para rastreabilidade.</w:t>
      </w:r>
    </w:p>
    <w:p>
      <w:pPr>
        <w:pStyle w:val="Compact"/>
        <w:numPr>
          <w:ilvl w:val="0"/>
          <w:numId w:val="1034"/>
        </w:numPr>
      </w:pPr>
      <w:r>
        <w:t xml:space="preserve">Tratamento de incidentes com contenção e correção.</w:t>
      </w:r>
    </w:p>
    <w:bookmarkEnd w:id="54"/>
    <w:bookmarkStart w:id="55" w:name="restricao-de-sigilo"/>
    <w:p>
      <w:pPr>
        <w:pStyle w:val="Heading3"/>
      </w:pPr>
      <w:r>
        <w:t xml:space="preserve">Restricao de sigilo</w:t>
      </w:r>
    </w:p>
    <w:p>
      <w:pPr>
        <w:pStyle w:val="Compact"/>
        <w:numPr>
          <w:ilvl w:val="0"/>
          <w:numId w:val="1035"/>
        </w:numPr>
      </w:pPr>
      <w:r>
        <w:t xml:space="preserve">Detalhes internos de autenticacao, infraestrutura, configuracao e seguranca nao sao compartilhados neste pacote inicial.</w:t>
      </w:r>
    </w:p>
    <w:p>
      <w:pPr>
        <w:pStyle w:val="Compact"/>
        <w:numPr>
          <w:ilvl w:val="0"/>
          <w:numId w:val="1035"/>
        </w:numPr>
      </w:pPr>
      <w:r>
        <w:t xml:space="preserve">Caso formalmente exigido, podera ser disponibilizada documentacao complementar em ambiente controlado.</w:t>
      </w:r>
    </w:p>
    <w:bookmarkEnd w:id="55"/>
    <w:bookmarkStart w:id="56" w:name="lgpd"/>
    <w:p>
      <w:pPr>
        <w:pStyle w:val="Heading3"/>
      </w:pPr>
      <w:r>
        <w:t xml:space="preserve">LGPD</w:t>
      </w:r>
    </w:p>
    <w:p>
      <w:pPr>
        <w:pStyle w:val="Compact"/>
        <w:numPr>
          <w:ilvl w:val="0"/>
          <w:numId w:val="1036"/>
        </w:numPr>
      </w:pPr>
      <w:r>
        <w:t xml:space="preserve">Tratamento de dados conforme finalidade contratual.</w:t>
      </w:r>
    </w:p>
    <w:p>
      <w:pPr>
        <w:pStyle w:val="Compact"/>
        <w:numPr>
          <w:ilvl w:val="0"/>
          <w:numId w:val="1036"/>
        </w:numPr>
      </w:pPr>
      <w:r>
        <w:t xml:space="preserve">Coleta mínima necessária.</w:t>
      </w:r>
    </w:p>
    <w:p>
      <w:pPr>
        <w:pStyle w:val="Compact"/>
        <w:numPr>
          <w:ilvl w:val="0"/>
          <w:numId w:val="1036"/>
        </w:numPr>
      </w:pPr>
      <w:r>
        <w:t xml:space="preserve">Retenção e descarte conforme política aplicável.</w:t>
      </w:r>
    </w:p>
    <w:p>
      <w:pPr>
        <w:pStyle w:val="Compact"/>
        <w:numPr>
          <w:ilvl w:val="0"/>
          <w:numId w:val="1036"/>
        </w:numPr>
      </w:pPr>
      <w:r>
        <w:t xml:space="preserve">Atendimento a solicitações de titulares pelos canais oficiais.</w:t>
      </w:r>
    </w:p>
    <w:bookmarkEnd w:id="56"/>
    <w:bookmarkEnd w:id="57"/>
    <w:bookmarkStart w:id="62" w:name="registro-de-versão-da-entrega"/>
    <w:p>
      <w:pPr>
        <w:pStyle w:val="Heading2"/>
      </w:pPr>
      <w:r>
        <w:t xml:space="preserve">6. Registro de versão da entrega</w:t>
      </w:r>
    </w:p>
    <w:bookmarkStart w:id="58" w:name="identificação"/>
    <w:p>
      <w:pPr>
        <w:pStyle w:val="Heading3"/>
      </w:pPr>
      <w:r>
        <w:t xml:space="preserve">Identificação</w:t>
      </w:r>
    </w:p>
    <w:p>
      <w:pPr>
        <w:pStyle w:val="Compact"/>
        <w:numPr>
          <w:ilvl w:val="0"/>
          <w:numId w:val="1037"/>
        </w:numPr>
      </w:pPr>
      <w:r>
        <w:t xml:space="preserve">Versão:</w:t>
      </w:r>
      <w:r>
        <w:t xml:space="preserve"> </w:t>
      </w:r>
      <w:r>
        <w:rPr>
          <w:rStyle w:val="VerbatimChar"/>
        </w:rPr>
        <w:t xml:space="preserve">vX.Y.Z</w:t>
      </w:r>
    </w:p>
    <w:p>
      <w:pPr>
        <w:pStyle w:val="Compact"/>
        <w:numPr>
          <w:ilvl w:val="0"/>
          <w:numId w:val="1037"/>
        </w:numPr>
      </w:pPr>
      <w:r>
        <w:t xml:space="preserve">Data de implantação:</w:t>
      </w:r>
      <w:r>
        <w:t xml:space="preserve"> </w:t>
      </w:r>
      <w:r>
        <w:rPr>
          <w:rStyle w:val="VerbatimChar"/>
        </w:rPr>
        <w:t xml:space="preserve">____/____/______</w:t>
      </w:r>
    </w:p>
    <w:p>
      <w:pPr>
        <w:pStyle w:val="Compact"/>
        <w:numPr>
          <w:ilvl w:val="0"/>
          <w:numId w:val="1037"/>
        </w:numPr>
      </w:pPr>
      <w:r>
        <w:t xml:space="preserve">Ambiente:</w:t>
      </w:r>
      <w:r>
        <w:t xml:space="preserve"> </w:t>
      </w:r>
      <w:r>
        <w:rPr>
          <w:rStyle w:val="VerbatimChar"/>
        </w:rPr>
        <w:t xml:space="preserve">Produção</w:t>
      </w:r>
    </w:p>
    <w:bookmarkEnd w:id="58"/>
    <w:bookmarkStart w:id="59" w:name="resumo-da-entrega"/>
    <w:p>
      <w:pPr>
        <w:pStyle w:val="Heading3"/>
      </w:pPr>
      <w:r>
        <w:t xml:space="preserve">Resumo da entrega</w:t>
      </w:r>
    </w:p>
    <w:p>
      <w:pPr>
        <w:pStyle w:val="Compact"/>
        <w:numPr>
          <w:ilvl w:val="0"/>
          <w:numId w:val="1038"/>
        </w:numPr>
      </w:pPr>
      <w:r>
        <w:t xml:space="preserve">Itens funcionais implantados:</w:t>
      </w:r>
      <w:r>
        <w:t xml:space="preserve"> </w:t>
      </w:r>
      <w:r>
        <w:rPr>
          <w:rStyle w:val="VerbatimChar"/>
        </w:rPr>
        <w:t xml:space="preserve">preencher</w:t>
      </w:r>
    </w:p>
    <w:p>
      <w:pPr>
        <w:pStyle w:val="Compact"/>
        <w:numPr>
          <w:ilvl w:val="0"/>
          <w:numId w:val="1038"/>
        </w:numPr>
      </w:pPr>
      <w:r>
        <w:t xml:space="preserve">Correções aplicadas:</w:t>
      </w:r>
      <w:r>
        <w:t xml:space="preserve"> </w:t>
      </w:r>
      <w:r>
        <w:rPr>
          <w:rStyle w:val="VerbatimChar"/>
        </w:rPr>
        <w:t xml:space="preserve">preencher</w:t>
      </w:r>
    </w:p>
    <w:bookmarkEnd w:id="59"/>
    <w:bookmarkStart w:id="60" w:name="validação-pós-implantação"/>
    <w:p>
      <w:pPr>
        <w:pStyle w:val="Heading3"/>
      </w:pPr>
      <w:r>
        <w:t xml:space="preserve">Validação pós-implantação</w:t>
      </w:r>
    </w:p>
    <w:p>
      <w:pPr>
        <w:pStyle w:val="Compact"/>
        <w:numPr>
          <w:ilvl w:val="0"/>
          <w:numId w:val="1039"/>
        </w:numPr>
      </w:pPr>
      <w:r>
        <w:t xml:space="preserve">Fluxos principais operacionais.</w:t>
      </w:r>
    </w:p>
    <w:p>
      <w:pPr>
        <w:pStyle w:val="Compact"/>
        <w:numPr>
          <w:ilvl w:val="0"/>
          <w:numId w:val="1039"/>
        </w:numPr>
      </w:pPr>
      <w:r>
        <w:t xml:space="preserve">Acesso por perfil validado.</w:t>
      </w:r>
    </w:p>
    <w:bookmarkEnd w:id="60"/>
    <w:bookmarkStart w:id="61" w:name="aprovação"/>
    <w:p>
      <w:pPr>
        <w:pStyle w:val="Heading3"/>
      </w:pPr>
      <w:r>
        <w:t xml:space="preserve">Aprovação</w:t>
      </w:r>
    </w:p>
    <w:p>
      <w:pPr>
        <w:pStyle w:val="Compact"/>
        <w:numPr>
          <w:ilvl w:val="0"/>
          <w:numId w:val="1040"/>
        </w:numPr>
      </w:pPr>
      <w:r>
        <w:t xml:space="preserve">Responsável técnico:</w:t>
      </w:r>
      <w:r>
        <w:t xml:space="preserve"> </w:t>
      </w:r>
      <w:r>
        <w:rPr>
          <w:rStyle w:val="VerbatimChar"/>
        </w:rPr>
        <w:t xml:space="preserve">NOME</w:t>
      </w:r>
    </w:p>
    <w:p>
      <w:pPr>
        <w:pStyle w:val="Compact"/>
        <w:numPr>
          <w:ilvl w:val="0"/>
          <w:numId w:val="1040"/>
        </w:numPr>
      </w:pPr>
      <w:r>
        <w:t xml:space="preserve">Responsável de negócio:</w:t>
      </w:r>
      <w:r>
        <w:t xml:space="preserve"> </w:t>
      </w:r>
      <w:r>
        <w:rPr>
          <w:rStyle w:val="VerbatimChar"/>
        </w:rPr>
        <w:t xml:space="preserve">NOME</w:t>
      </w:r>
    </w:p>
    <w:p>
      <w:pPr>
        <w:pStyle w:val="Compact"/>
        <w:numPr>
          <w:ilvl w:val="0"/>
          <w:numId w:val="1040"/>
        </w:numPr>
      </w:pPr>
      <w:r>
        <w:t xml:space="preserve">Status:</w:t>
      </w:r>
      <w:r>
        <w:t xml:space="preserve"> </w:t>
      </w:r>
      <w:r>
        <w:rPr>
          <w:rStyle w:val="VerbatimChar"/>
        </w:rPr>
        <w:t xml:space="preserve">Implantado / Implantado com ressalvas</w:t>
      </w:r>
    </w:p>
    <w:bookmarkEnd w:id="61"/>
    <w:bookmarkEnd w:id="62"/>
    <w:bookmarkStart w:id="63" w:name="X093bb403666efe3c6d471b7e17876d49632cdc8"/>
    <w:p>
      <w:pPr>
        <w:pStyle w:val="Heading2"/>
      </w:pPr>
      <w:r>
        <w:t xml:space="preserve">7. Pacote minimo recomendado para envio ao Sebrae/RJ</w:t>
      </w:r>
    </w:p>
    <w:p>
      <w:pPr>
        <w:pStyle w:val="Compact"/>
        <w:numPr>
          <w:ilvl w:val="0"/>
          <w:numId w:val="1041"/>
        </w:numPr>
      </w:pPr>
      <w:r>
        <w:t xml:space="preserve">Este documento preenchido e revisado.</w:t>
      </w:r>
    </w:p>
    <w:p>
      <w:pPr>
        <w:pStyle w:val="Compact"/>
        <w:numPr>
          <w:ilvl w:val="0"/>
          <w:numId w:val="1041"/>
        </w:numPr>
      </w:pPr>
      <w:r>
        <w:t xml:space="preserve">Evidencias visuais da plataforma em uso.</w:t>
      </w:r>
    </w:p>
    <w:p>
      <w:pPr>
        <w:pStyle w:val="Compact"/>
        <w:numPr>
          <w:ilvl w:val="0"/>
          <w:numId w:val="1041"/>
        </w:numPr>
      </w:pPr>
      <w:r>
        <w:t xml:space="preserve">Relatorio resumido de testes.</w:t>
      </w:r>
    </w:p>
    <w:p>
      <w:pPr>
        <w:pStyle w:val="Compact"/>
        <w:numPr>
          <w:ilvl w:val="0"/>
          <w:numId w:val="1041"/>
        </w:numPr>
      </w:pPr>
      <w:r>
        <w:t xml:space="preserve">Diagrama de arquitetura em alto nivel.</w:t>
      </w:r>
    </w:p>
    <w:p>
      <w:pPr>
        <w:pStyle w:val="Compact"/>
        <w:numPr>
          <w:ilvl w:val="0"/>
          <w:numId w:val="1041"/>
        </w:numPr>
      </w:pPr>
      <w:r>
        <w:t xml:space="preserve">Diagrama conceitual de fluxo de dados.</w:t>
      </w:r>
    </w:p>
    <w:p>
      <w:pPr>
        <w:pStyle w:val="Compact"/>
        <w:numPr>
          <w:ilvl w:val="0"/>
          <w:numId w:val="1041"/>
        </w:numPr>
      </w:pPr>
      <w:r>
        <w:t xml:space="preserve">Registro de versoes relevantes.</w:t>
      </w:r>
    </w:p>
    <w:p>
      <w:pPr>
        <w:pStyle w:val="Compact"/>
        <w:numPr>
          <w:ilvl w:val="0"/>
          <w:numId w:val="1041"/>
        </w:numPr>
      </w:pPr>
      <w:r>
        <w:t xml:space="preserve">Declaracao de sigilo sobre itens proprietarios do Evnttz.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2026-06-10T14:12:47Z</dcterms:created>
  <dcterms:modified xsi:type="dcterms:W3CDTF">2026-06-10T14:12:47Z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