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Original Manuscript ID: Access-2026-39885</w:t>
      </w:r>
    </w:p>
    <w:p>
      <w:r>
        <w:t>Original Article Title: "XAI-SDN: An explainable entropy-guided machine learning framework for real-time DDoS detection in software defined networks"</w:t>
      </w:r>
    </w:p>
    <w:p>
      <w:r>
        <w:t>To: IEEE Access Editor</w:t>
      </w:r>
    </w:p>
    <w:p>
      <w:r>
        <w:t>Re: Response to reviewers</w:t>
      </w:r>
    </w:p>
    <w:p>
      <w:r>
        <w:t>Dear Editor,</w:t>
      </w:r>
    </w:p>
    <w:p>
      <w:r>
        <w:t>Thank you for allowing a resubmission of our manuscript, with an opportunity to</w:t>
        <w:br/>
        <w:t>address the reviewers' comments.</w:t>
      </w:r>
    </w:p>
    <w:p>
      <w:r>
        <w:t>We are uploading (a) our point-by-point response to the comments (below)</w:t>
        <w:br/>
        <w:t>(response to reviewers, under "Author's Response Files"), (b) an updated</w:t>
        <w:br/>
        <w:t>manuscript with yellow highlighting indicating changes (as "Highlighted PDF"),</w:t>
        <w:br/>
        <w:t>and (c) a clean updated manuscript without highlights ("Main Manuscript").</w:t>
      </w:r>
    </w:p>
    <w:p>
      <w:r>
        <w:t>Best regards,</w:t>
      </w:r>
    </w:p>
    <w:p>
      <w:r>
        <w:t>Adeel Ahmad et al.</w:t>
      </w:r>
    </w:p>
    <w:p/>
    <w:p>
      <w:r>
        <w:rPr>
          <w:b/>
          <w:sz w:val="26"/>
        </w:rPr>
        <w:t>Reviewer #1</w:t>
      </w:r>
    </w:p>
    <w:p>
      <w:r>
        <w:t>We thank Reviewer 1 for a careful and constructive reading. Several of the issues raised, in particular the broken equation reference and the hardware asymmetry in the timing table, pointed to real defects that we had not detected ourselves.</w:t>
      </w:r>
    </w:p>
    <w:p>
      <w:r>
        <w:rPr>
          <w:b/>
        </w:rPr>
        <w:t xml:space="preserve">Reviewer#1, Concern # 1: </w:t>
      </w:r>
      <w:r>
        <w:t>Please fix the broken cross reference in Section V, particularly the reference shown as “Eq. (??)” in the Figure 2 caption.</w:t>
      </w:r>
    </w:p>
    <w:p>
      <w:r>
        <w:rPr>
          <w:b/>
        </w:rPr>
        <w:t xml:space="preserve">Author response: </w:t>
      </w:r>
      <w:r>
        <w:t>Thank you for catching this, and we are sorry it reached review. The broken reference was not in the body text, which is why it survived compilation without a warning: the literal string "Eq. (??)" is baked into the graphic itself. Figure 2 is produced from a standalone TikZ source that referenced an equation label defined only in the main document, so the label was unresolvable when the figure was compiled on its own. The figure has been rebuilt with the cross-reference removed from inside the graphic. Its internal caption now reads "Rolling-Sum Update Applied Per Feature", and the equation is cited from the figure caption in the main document, where the reference resolves correctly. While rebuilding the figure we found and corrected two further defects in it. Several mathematical spans in the archived source had lost their delimiters, and the entropy vector drawn in the figure still listed the TTL entropy feature that the revision replaces, for the reason given in Section V-A. The figure's style, layout and typography are otherwise unchanged. To prevent a recurrence we added an automated check that scans the compiled PDF for unresolved references and unfilled markers, and the manuscript is not packaged unless that check passes.</w:t>
      </w:r>
    </w:p>
    <w:p>
      <w:r>
        <w:rPr>
          <w:b/>
        </w:rPr>
        <w:t xml:space="preserve">Author action: </w:t>
      </w:r>
      <w:r>
        <w:t>Rebuilt the Fig. 2 graphic without the internal cross-reference, repaired the corrupted mathematics in its source, updated the entropy vector to the revised feature set, and added an automated unresolved-reference check to the build.</w:t>
      </w:r>
      <w:r>
        <w:rPr>
          <w:b/>
        </w:rPr>
        <w:t xml:space="preserve">  Location in the revised manuscript: </w:t>
      </w:r>
      <w:r>
        <w:t>Fig. 2 and its caption, Sec. V-B</w:t>
      </w:r>
    </w:p>
    <w:p/>
    <w:p>
      <w:r>
        <w:rPr>
          <w:b/>
        </w:rPr>
        <w:t xml:space="preserve">Reviewer#1, Concern # 2: </w:t>
      </w:r>
      <w:r>
        <w:t>Section V A contains some informal and repetitive wording. Please rewrite these sentences in a more formal academic style.</w:t>
      </w:r>
    </w:p>
    <w:p>
      <w:r>
        <w:rPr>
          <w:b/>
        </w:rPr>
        <w:t xml:space="preserve">Author response: </w:t>
      </w:r>
      <w:r>
        <w:t>Thank you for this, and we agree the wording did not meet the standard the journal expects. Section V-A has been rewritten in full rather than edited. The constructions that prompted the comment are gone, including "a bunch of", "things like", "The key to making the system fast" and "we can update the calculation". The section now states the entropy definition once, specifies every feature's source field and bin width in a table, gives the window admit and evict semantics including what happens during warm-up, and states the update recurrence the implementation actually executes. The repetition the reviewer noticed came largely from the same material being described twice, once in prose and once in a bulleted restatement of the architecture; the bulleted restatement has been removed, as has an orphaned sentence fragment that appeared twice in the submitted version.</w:t>
      </w:r>
    </w:p>
    <w:p>
      <w:r>
        <w:rPr>
          <w:b/>
        </w:rPr>
        <w:t xml:space="preserve">Author action: </w:t>
      </w:r>
      <w:r>
        <w:t>Rewrote Sec. V-A, removed the duplicated architecture list and the orphaned fragment, and added the feature specification table.</w:t>
      </w:r>
      <w:r>
        <w:rPr>
          <w:b/>
        </w:rPr>
        <w:t xml:space="preserve">  Location in the revised manuscript: </w:t>
      </w:r>
      <w:r>
        <w:t>Sec. V-A, Sec. V-B, Table 4, and Sec. IV</w:t>
      </w:r>
    </w:p>
    <w:p/>
    <w:p>
      <w:r>
        <w:rPr>
          <w:b/>
        </w:rPr>
        <w:t xml:space="preserve">Reviewer#1, Concern # 3: </w:t>
      </w:r>
      <w:r>
        <w:t>Please check the formatting and spacing around “Acc” in Equation (4) and ensure the notation is consistent throughout the paper.</w:t>
      </w:r>
    </w:p>
    <w:p>
      <w:r>
        <w:rPr>
          <w:b/>
        </w:rPr>
        <w:t xml:space="preserve">Author response: </w:t>
      </w:r>
      <w:r>
        <w:t>We agree. The metric block was cramped and the symbols were never defined anywhere in the paper. Two changes follow. Equation (4) is reset with displayed fractions and proper vertical spacing instead of inline \tfrac, and every symbol it uses is now defined in the new notation table. We also took the opportunity to state why average precision, rather than the false negative rate, is the threshold-free metric we rely on at this class ratio, since that choice affects how the rest of the results should be read.</w:t>
      </w:r>
    </w:p>
    <w:p>
      <w:r>
        <w:rPr>
          <w:b/>
        </w:rPr>
        <w:t xml:space="preserve">Author action: </w:t>
      </w:r>
      <w:r>
        <w:t>Reformatted Eq. (4), added the notation table, and extended the metric definitions to cover ROC-AUC and average precision with an explanation of when each is informative.</w:t>
      </w:r>
      <w:r>
        <w:rPr>
          <w:b/>
        </w:rPr>
        <w:t xml:space="preserve">  Location in the revised manuscript: </w:t>
      </w:r>
      <w:r>
        <w:t>Eq. (4) and Sec. IV-C; Table 1 (notation) at the end of Sec. I</w:t>
      </w:r>
    </w:p>
    <w:p/>
    <w:p>
      <w:r>
        <w:rPr>
          <w:b/>
        </w:rPr>
        <w:t xml:space="preserve">Reviewer#1, Concern # 4: </w:t>
      </w:r>
      <w:r>
        <w:t>Please clarify the hardware used for the latency and throughput comparisons in Table 8. The DNN baseline appears to use a GPU while the other methods use a CPU.</w:t>
      </w:r>
    </w:p>
    <w:p>
      <w:r>
        <w:rPr>
          <w:b/>
        </w:rPr>
        <w:t xml:space="preserve">Author response: </w:t>
      </w:r>
      <w:r>
        <w:t>You are right, and we thank you for pressing on it, because the asymmetry made the timing column uninterpretable. Writing the warning in capitals in the caption did not fix the problem; it only advertised it. Every timing figure in the revision has been re-measured. All models, including the deep baselines, are now trained and timed on the CPU of a single machine, under one measurement harness, with the same thread budget. The machine is specified in full in a new environment table: Intel Core i9-13900H, 14 cores and 20 threads, 2.60 GHz base clock, 47.6 GB of memory, Windows 11 Pro. The PyTorch build installed in the measurement environment carries no CUDA support, so no model in the comparison can be timed on a GPU even inadvertently. Re-measuring also exposed an unrelated artifact in the submitted timings that we would not otherwise have found. The Random Forest was being timed with parallel tree dispatch enabled while scoring one flow at a time, so the reported figure was dominated by thread-dispatch overhead rather than by inference, and it made the Random Forest look two orders of magnitude slower than it is. Forcing serial evaluation for single-flow latency removes the artifact, and the corrected figures are the ones now reported.</w:t>
      </w:r>
    </w:p>
    <w:p>
      <w:r>
        <w:rPr>
          <w:b/>
        </w:rPr>
        <w:t xml:space="preserve">Author action: </w:t>
      </w:r>
      <w:r>
        <w:t>Re-measured every timing figure on one CPU-only machine under a single harness, added a hardware and software environment table, removed the capitalized caveat from the table caption, and corrected a thread-dispatch artifact in the single-flow latency measurement.</w:t>
      </w:r>
      <w:r>
        <w:rPr>
          <w:b/>
        </w:rPr>
        <w:t xml:space="preserve">  Location in the revised manuscript: </w:t>
      </w:r>
      <w:r>
        <w:t>Sec. VI-C (Computing environment) and Table 2; the baseline comparison tables in Sec. VIII</w:t>
      </w:r>
    </w:p>
    <w:p/>
    <w:p>
      <w:r>
        <w:rPr>
          <w:b/>
        </w:rPr>
        <w:t xml:space="preserve">Reviewer#1, Concern # 5: </w:t>
      </w:r>
      <w:r>
        <w:t>If possible, provide CPU only results for all baseline models so that the performance comparison is more consistent.</w:t>
      </w:r>
    </w:p>
    <w:p>
      <w:r>
        <w:rPr>
          <w:b/>
        </w:rPr>
        <w:t xml:space="preserve">Author response: </w:t>
      </w:r>
      <w:r>
        <w:t>Done, and thank you for the suggestion; it improved the paper more than we expected. Every baseline is now reported CPU-only, and two comparisons are provided rather than one. The first runs every classical baseline on the full chronological split at the natural class imbalance, with no subsampling and no artificial balancing, which is the setting an operator actually faces. The second runs the deep baselines, a 1D-CNN, an LSTM, a Transformer encoder and a graph neural network, under a protocol matched across those models, again on the CPU. Both are measured with the same harness on the machine specified in Table 2, so latency and throughput are comparable across every row of every table in the paper. Where a baseline could not be run at full scale we say so explicitly and report the cap rather than quietly omitting the model: the linear support vector machine is fitted on a capped subsample because it did not converge in reasonable time on 2.5 million flows, and that cap is stated both in the table and in the text.</w:t>
      </w:r>
    </w:p>
    <w:p>
      <w:r>
        <w:rPr>
          <w:b/>
        </w:rPr>
        <w:t xml:space="preserve">Author action: </w:t>
      </w:r>
      <w:r>
        <w:t>Added CPU-only results for every classical and deep baseline under two clearly separated protocols, with all timings produced by one harness on one machine, and stated every scale cap explicitly.</w:t>
      </w:r>
      <w:r>
        <w:rPr>
          <w:b/>
        </w:rPr>
        <w:t xml:space="preserve">  Location in the revised manuscript: </w:t>
      </w:r>
      <w:r>
        <w:t>Sec. VIII-B and Sec. VIII-C, with their tables; Table 2</w:t>
      </w:r>
    </w:p>
    <w:p/>
    <w:p>
      <w:r>
        <w:rPr>
          <w:b/>
        </w:rPr>
        <w:t xml:space="preserve">Reviewer#1, Concern # 6: </w:t>
      </w:r>
      <w:r>
        <w:t>Please clearly explain whether the reported latency and throughput values are directly comparable across the different hardware setups.</w:t>
      </w:r>
    </w:p>
    <w:p>
      <w:r>
        <w:rPr>
          <w:b/>
        </w:rPr>
        <w:t xml:space="preserve">Author response: </w:t>
      </w:r>
      <w:r>
        <w:t>Thank you, and the answer is now stated directly in the paper rather than left for the reader to infer. Within this paper the figures are directly comparable: every latency and throughput number, in every table, was produced on the single machine of Table 2, on the CPU, with the same thread budget and the same timing harness, and no model in the comparison was run on a GPU. Across papers they are not comparable, because the hardware, the software stack, the batch size and the unit being timed all differ, and the revision makes no cross-paper timing claim anywhere. Section VI-C states both halves of this explicitly, so a reader does not have to reconstruct the measurement conditions from the tables.</w:t>
      </w:r>
    </w:p>
    <w:p>
      <w:r>
        <w:rPr>
          <w:b/>
        </w:rPr>
        <w:t xml:space="preserve">Author action: </w:t>
      </w:r>
      <w:r>
        <w:t>Added an explicit comparability statement covering what the timing figures do and do not license, and removed every implicit cross-hardware timing comparison from the text and captions.</w:t>
      </w:r>
      <w:r>
        <w:rPr>
          <w:b/>
        </w:rPr>
        <w:t xml:space="preserve">  Location in the revised manuscript: </w:t>
      </w:r>
      <w:r>
        <w:t>Sec. VI-C (Computing environment); captions of the baseline comparison tables in Sec. VIII</w:t>
      </w:r>
    </w:p>
    <w:p/>
    <w:p>
      <w:r>
        <w:rPr>
          <w:b/>
        </w:rPr>
        <w:t xml:space="preserve">Reviewer#1, Concern # 7: </w:t>
      </w:r>
      <w:r>
        <w:t>Check the paper once more for minor grammar, formatting, and cross reference issues before final submission.</w:t>
      </w:r>
    </w:p>
    <w:p>
      <w:r>
        <w:rPr>
          <w:b/>
        </w:rPr>
        <w:t xml:space="preserve">Author response: </w:t>
      </w:r>
      <w:r>
        <w:t>Done, and made repeatable. Beyond a full reading pass, the build now runs an automated gate over both the source and the compiled PDF that fails on unresolved cross references, on floats that are never cited in the text, on conversational phrasing, on over-claiming vocabulary, on em dashes and on British spellings. The gate caught defects we would otherwise have missed, including one figure we deleted by accident while removing a different one, and the manuscript passes it.</w:t>
      </w:r>
    </w:p>
    <w:p>
      <w:r>
        <w:rPr>
          <w:b/>
        </w:rPr>
        <w:t xml:space="preserve">Author action: </w:t>
      </w:r>
      <w:r>
        <w:t>Full grammar and formatting pass, plus an automated gate run on every build.</w:t>
      </w:r>
      <w:r>
        <w:rPr>
          <w:b/>
        </w:rPr>
        <w:t xml:space="preserve">  Location in the revised manuscript: </w:t>
      </w:r>
      <w:r>
        <w:t>Throughout</w:t>
      </w:r>
    </w:p>
    <w:p/>
    <w:p/>
    <w:p>
      <w:r>
        <w:rPr>
          <w:b/>
          <w:sz w:val="26"/>
        </w:rPr>
        <w:t>Reviewer #2</w:t>
      </w:r>
    </w:p>
    <w:p>
      <w:r>
        <w:t>We thank Reviewer 2 for a thorough and generous review. The comments on over-claiming and on terminology were well founded, and acting on them improved the manuscript considerably.</w:t>
      </w:r>
    </w:p>
    <w:p>
      <w:r>
        <w:rPr>
          <w:b/>
        </w:rPr>
        <w:t xml:space="preserve">Reviewer#2, Concern # 1: </w:t>
      </w:r>
      <w:r>
        <w:t>The manuscript repeatedly uses terms such as “robustness,” “generalization,” and “real-time deployment” more strongly than the experimental evidence supports. In particular, the evaluation is conducted on an offline replay of the CIC-DDoS2019 dataset rather than on live SDN traffic or a real controller/switch environment, while the split-sensitivity analysis shows that the false-positive rate varies substantially across different partitioning strategies. Therefore, statements such as “generalizes robustly,” “exceptional robustness,” and “real-world SDN deployment” should be moderated unless additional cross-dataset, cross-environment, and online deployment experiments are provided.</w:t>
      </w:r>
    </w:p>
    <w:p>
      <w:r>
        <w:rPr>
          <w:b/>
        </w:rPr>
        <w:t xml:space="preserve">Author response: </w:t>
      </w:r>
      <w:r>
        <w:t>We accept this and have acted on it in both directions the reviewer offers. On the language, every instance the reviewer names is gone: "generalizes robustly", "exceptional robustness" and "real-world SDN deployment" no longer appear, and an automated check now fails the build if any of a list of over-claiming constructions reappears. On the evidence, we did not simply soften the wording, we ran the experiments the reviewer said would be needed to license the original claims. Cross-environment: transfer across attack vectors and across a second capture day. Cross-dataset: transfer to InSDN and CIC-IDS2017 with bootstrap confidence intervals on the error rates. Online: the detector now runs inside a live OpenFlow 1.3 control plane with controller CPU, memory, end-to-end latency, control-channel saturation and TCAM occupancy measured from the running process. Where those experiments show degradation, and several do, we report the degradation rather than the best case. The false positive rate point is addressed directly: the revision reports both split protocols side by side and quantifies the gap instead of selecting the more favorable one.</w:t>
      </w:r>
    </w:p>
    <w:p>
      <w:r>
        <w:rPr>
          <w:b/>
        </w:rPr>
        <w:t xml:space="preserve">Author action: </w:t>
      </w:r>
      <w:r>
        <w:t>Removed the over-claiming language, added the cross-environment, cross-dataset and online experiments, and reported both split protocols with confidence intervals.</w:t>
      </w:r>
      <w:r>
        <w:rPr>
          <w:b/>
        </w:rPr>
        <w:t xml:space="preserve">  Location in the revised manuscript: </w:t>
      </w:r>
      <w:r>
        <w:t>Abstract, Sec. VII-B, Sec. VII-J, Sec. VII-K, Sec. VII-M, and Sec. IX-D</w:t>
      </w:r>
    </w:p>
    <w:p/>
    <w:p>
      <w:r>
        <w:rPr>
          <w:b/>
        </w:rPr>
        <w:t xml:space="preserve">Reviewer#2, Concern # 2: </w:t>
      </w:r>
      <w:r>
        <w:t>The extremely high classification performance, including 99.9987% accuracy, 99.9621% macro-F1, and an AUC of 1.0000, requires more cautious interpretation. Although the manuscript performs a feature-removal experiment, removing three potentially leakage-prone features does not establish that the dataset is free from other artifacts or shortcut patterns. The statement that this experiment “confirms” that the performance is not caused by dataset-level leakage is therefore too strong. It would be more appropriate to state that the results suggest that the performance is not solely dependent on those three features, while explicitly acknowledging that potential dataset-specific artifacts cannot be completely excluded.</w:t>
      </w:r>
    </w:p>
    <w:p>
      <w:r>
        <w:rPr>
          <w:b/>
        </w:rPr>
        <w:t xml:space="preserve">Author response: </w:t>
      </w:r>
      <w:r>
        <w:t>We accept the correction and have gone further than softening the wording. The earlier claim rested on removing three features chosen by inspection, which as the reviewer says establishes very little. The revision defines the suspect set objectively, as every feature whose single-feature AUC reaches 0.99, and removes the whole of it. Five features meet that bar, all of them entropy features. Macro F1 with them removed is 97.94% with a bootstrap interval of [97.86, 98.02], against 97.88% [97.81, 97.97] for the full model. The intervals overlap, so the removal changes nothing measurable. We also report what that does and does not license: it rules out a narrow leakage explanation concentrated in a few columns, and it simultaneously shows the discriminative information is distributed widely enough that feature ablation alone cannot establish the model has learned attack behavior. Both halves are now in the text, and the limitations section states plainly that dataset-specific artifacts cannot be excluded by any experiment we can run on a single synthetic corpus.</w:t>
      </w:r>
    </w:p>
    <w:p>
      <w:r>
        <w:rPr>
          <w:b/>
        </w:rPr>
        <w:t xml:space="preserve">Author action: </w:t>
      </w:r>
      <w:r>
        <w:t>Replaced the three-feature ablation with a progressive removal study over an objectively defined suspect set, added bootstrap confidence intervals, and rewrote the surrounding claims. The word "confirms" no longer appears in this context.</w:t>
      </w:r>
      <w:r>
        <w:rPr>
          <w:b/>
        </w:rPr>
        <w:t xml:space="preserve">  Location in the revised manuscript: </w:t>
      </w:r>
      <w:r>
        <w:t>Sec. VII-D (Leakage and dataset-artifact audit), Table 8, and Sec. IX-D</w:t>
      </w:r>
    </w:p>
    <w:p/>
    <w:p>
      <w:r>
        <w:rPr>
          <w:b/>
        </w:rPr>
        <w:t xml:space="preserve">Reviewer#2, Concern # 3: </w:t>
      </w:r>
      <w:r>
        <w:t>The comparison with previous methods in Table 9 is not sufficiently controlled to support claims such as “surpasses” or “outperforming.” The compared studies appear to involve different datasets, task formulations, class settings, and even different detection granularities, including multi-class DDoS classification and packet-level adversarial detection. Consequently, the reported accuracy and F1 values are not directly comparable under an identical experimental protocol. The comparison should therefore be presented as a contextual comparison rather than a definitive quantitative ranking, and the corresponding claims should be weakened accordingly.</w:t>
      </w:r>
    </w:p>
    <w:p>
      <w:r>
        <w:rPr>
          <w:b/>
        </w:rPr>
        <w:t xml:space="preserve">Author response: </w:t>
      </w:r>
      <w:r>
        <w:t>Agreed, and the comparison has been reframed rather than merely softened. The table now states, per row, what task each study performed and under what protocol, and the caption says that the figures are not directly comparable and that no ranking is implied. The text explains why: one study performs multi-class identification, which is a different and harder problem than binary detection; another operates at packet level under an adversarial threat model; and neither uses our partition, cleaning or split protocol. We also include both of our own protocols as separate rows, because reporting only the stratified figure would place us at the top of a column the other rows may not share. The words "surpasses" and "outperforming" are gone. The only ranking claim in the paper is in the controlled comparison, where every method is run by us on the same data, under the same protocol, on the same hardware.</w:t>
      </w:r>
    </w:p>
    <w:p>
      <w:r>
        <w:rPr>
          <w:b/>
        </w:rPr>
        <w:t xml:space="preserve">Author action: </w:t>
      </w:r>
      <w:r>
        <w:t>Reframed the table as contextual, added task and protocol columns, added both of our protocols as separate rows, and removed the superiority claims.</w:t>
      </w:r>
      <w:r>
        <w:rPr>
          <w:b/>
        </w:rPr>
        <w:t xml:space="preserve">  Location in the revised manuscript: </w:t>
      </w:r>
      <w:r>
        <w:t>Sec. VIII-D and Table 13</w:t>
      </w:r>
    </w:p>
    <w:p/>
    <w:p>
      <w:r>
        <w:rPr>
          <w:b/>
        </w:rPr>
        <w:t xml:space="preserve">Reviewer#2, Concern # 4: </w:t>
      </w:r>
      <w:r>
        <w:t>The terminology surrounding “alert,” “DDoS flow,” “positive prediction,” and “per-decision explanation” should be made consistent throughout the manuscript. Algorithm 1 indicates that SHAP is generated only after the prediction satisfies the alert condition, whereas Table 6 describes the explanation cost as being measured “per DDoS flow.” These are not necessarily equivalent concepts because classification is performed for every flow while explanation is conditionally generated only for an alerted flow. The manuscript should explicitly define the explanation trigger and then use the same terminology consistently in the Abstract, problem formulation, algorithm, experiments, and computational-cost analysis.</w:t>
      </w:r>
    </w:p>
    <w:p>
      <w:r>
        <w:rPr>
          <w:b/>
        </w:rPr>
        <w:t xml:space="preserve">Author response: </w:t>
      </w:r>
      <w:r>
        <w:t>This was a real inconsistency and we are grateful it was caught. Classification and explanation are different operations with different costs, and the submitted paper used the two vocabularies interchangeably. The revision defines four terms once and then holds to them: a flow is any record the controller classifies, a positive prediction is a flow whose score reaches the threshold, an alert is a positive prediction dispatched to the operator, and a per-decision explanation is a TreeSHAP attribution computed for one specific alert. The explanation trigger is now a numbered equation rather than an implicit condition, and it includes the budget term that decides which alerts are attributed. Costs are reported against the quantity that drives them: classification cost per flow, explanation cost per generated explanation. The phrase "per DDoS flow" is gone, because the number of explanations is a policy variable and not a property of the traffic.</w:t>
      </w:r>
    </w:p>
    <w:p>
      <w:r>
        <w:rPr>
          <w:b/>
        </w:rPr>
        <w:t xml:space="preserve">Author action: </w:t>
      </w:r>
      <w:r>
        <w:t>Added Sec. III-B defining the four terms, added Eq. (2) defining the explanation trigger, rewrote Algorithm 1 so the trigger and budget are explicit, and swept the abstract, Sec. IV, Sec. VII and Sec. IX for consistent usage.</w:t>
      </w:r>
      <w:r>
        <w:rPr>
          <w:b/>
        </w:rPr>
        <w:t xml:space="preserve">  Location in the revised manuscript: </w:t>
      </w:r>
      <w:r>
        <w:t>Sec. III-B (Terminology), Eq. (2), Algorithm 1, Table 6 caption, and the abstract</w:t>
      </w:r>
    </w:p>
    <w:p/>
    <w:p>
      <w:r>
        <w:rPr>
          <w:b/>
        </w:rPr>
        <w:t xml:space="preserve">Reviewer#2, Concern # 5: </w:t>
      </w:r>
      <w:r>
        <w:t>The interpretation of entropy is currently too absolute. The manuscript states that high entropy corresponds to benign traffic and low entropy corresponds to DDoS traffic, but entropy depends on the specific feature distribution, observation window, traffic composition, and attack strategy. This is particularly important because the manuscript later acknowledges that adaptive attackers may manipulate source-address distributions to evade entropy-based detection. The corresponding statements should therefore be reformulated using expressions such as “may indicate” or “is often associated with,” rather than presenting a deterministic relationship between entropy and attack/benign traffic.</w:t>
      </w:r>
    </w:p>
    <w:p>
      <w:r>
        <w:rPr>
          <w:b/>
        </w:rPr>
        <w:t xml:space="preserve">Author response: </w:t>
      </w:r>
      <w:r>
        <w:t>Agreed. The submitted text asserted a deterministic mapping from entropy to traffic class, which the evidence does not support and which sits badly beside our own remark that an adaptive attacker can manipulate the source distribution. The revision states the relationship as statistical and names what it depends on: the attribute summarized, the window length, the background traffic composition, and the attacker's strategy. We also say explicitly that entropy is treated as evidence for a classifier to weigh rather than as a decision rule, which is the actual role it plays in our design.</w:t>
      </w:r>
    </w:p>
    <w:p>
      <w:r>
        <w:rPr>
          <w:b/>
        </w:rPr>
        <w:t xml:space="preserve">Author action: </w:t>
      </w:r>
      <w:r>
        <w:t>Rewrote the entropy interpretation in Sec. II-A and Sec. V-A using conditional language, and linked it to the adaptive-adversary limitation in Sec. IX.</w:t>
      </w:r>
      <w:r>
        <w:rPr>
          <w:b/>
        </w:rPr>
        <w:t xml:space="preserve">  Location in the revised manuscript: </w:t>
      </w:r>
      <w:r>
        <w:t>Sec. II-A, Sec. V-A (first paragraph), Sec. IX-D</w:t>
      </w:r>
    </w:p>
    <w:p/>
    <w:p>
      <w:r>
        <w:rPr>
          <w:b/>
        </w:rPr>
        <w:t xml:space="preserve">Reviewer#2, Concern # 6: </w:t>
      </w:r>
      <w:r>
        <w:t>The complexity claim that the rolling entropy computation is “O(1) time, independent of N” needs more precise qualification. The claimed complexity depends on maintaining appropriate data structures for the sliding window and on the assumed expected O(1) operations for hash-table updates. Therefore, the manuscript should specify whether the complexity is intended to be expected or amortized O(1) per update under the adopted implementation assumptions. Without these qualifications, the current statement is unnecessarily absolute and may be challenged from an algorithmic-complexity perspective.</w:t>
      </w:r>
    </w:p>
    <w:p>
      <w:r>
        <w:rPr>
          <w:b/>
        </w:rPr>
        <w:t xml:space="preserve">Author response: </w:t>
      </w:r>
      <w:r>
        <w:t>The reviewer is correct and the qualification matters more than we first appreciated. The bound rests on two different guarantees. The circular buffer gives worst-case constant-time admission and eviction. The hash map gives expected constant-time lookup, insertion and deletion, and degrades to linear in the number of distinct keys under adversarial collisions. The revision therefore claims expected amortized O(1) per admit/evict pair under stated data-structure assumptions, not unconditional O(1), and it notes the additional amortized cost contributed by periodic exact resynchronization when that mitigation is enabled. We also report the measured per-update cost in nanoseconds so the claim can be checked against a number rather than taken on trust.</w:t>
      </w:r>
    </w:p>
    <w:p>
      <w:r>
        <w:rPr>
          <w:b/>
        </w:rPr>
        <w:t xml:space="preserve">Author action: </w:t>
      </w:r>
      <w:r>
        <w:t>Rewrote the complexity claim in Sec. V-C with the assumptions named, and corrected the same claim in the abstract, Sec. II-A, Sec. IV, Table 1 and the Fig. 2 caption.</w:t>
      </w:r>
      <w:r>
        <w:rPr>
          <w:b/>
        </w:rPr>
        <w:t xml:space="preserve">  Location in the revised manuscript: </w:t>
      </w:r>
      <w:r>
        <w:t>Sec. V-C, abstract, Sec. II-A, Sec. IV, Table 2, Fig. 2 caption</w:t>
      </w:r>
    </w:p>
    <w:p/>
    <w:p>
      <w:r>
        <w:rPr>
          <w:b/>
        </w:rPr>
        <w:t xml:space="preserve">Reviewer#2, Concern # 7: </w:t>
      </w:r>
      <w:r>
        <w:t>Several explanations of the experimental results imply causal mechanisms that are not directly demonstrated by the experiments. For example, the manuscript attributes the improved recall and shorter detection delay to the two-stage design and edge-aware attention, but no dedicated ablation experiment isolates these mechanisms sufficiently to establish such causality. Similarly, the additional alarm is interpreted as a possible post-fault/recovery transient without independent evidence. These statements should be presented as possible explanations or hypotheses rather than confirmed mechanisms, using wording such as “may contribute to,” “may be attributed to,” or “suggests.”</w:t>
      </w:r>
    </w:p>
    <w:p>
      <w:r>
        <w:rPr>
          <w:b/>
        </w:rPr>
        <w:t xml:space="preserve">Author response: </w:t>
      </w:r>
      <w:r>
        <w:t>We are grateful for this comment, because the principle behind it applies squarely to our paper and we have adopted it throughout. We should mention, respectfully and only so that the reviewer knows we have not overlooked anything, that we were unable to locate a two-stage design, an edge-aware attention mechanism, or a post-fault recovery discussion in our manuscript. It is possible this paragraph was intended for a different submission, or that we have misunderstood which passages the reviewer had in mind, and we would welcome correction if so. Either way the underlying point is well taken. Every mechanism-level explanation in the revised paper that is not isolated by a dedicated ablation is now written as a possibility rather than a finding, using the wording the reviewer suggests. Where we do assert a mechanism, an experiment now isolates it: the contribution of the entropy features is separated by a progressive-removal study, the cost of explanation by a dedicated budget experiment, and the effect of split methodology by running both protocols on identical data. We thank the reviewer for pressing on this, as it improved several passages we would otherwise have left as they were.</w:t>
      </w:r>
    </w:p>
    <w:p>
      <w:r>
        <w:rPr>
          <w:b/>
        </w:rPr>
        <w:t xml:space="preserve">Author action: </w:t>
      </w:r>
      <w:r>
        <w:t>Rehedged every mechanism-level claim in Secs. VII and IX, and added the ablations that license the claims we retain.</w:t>
      </w:r>
      <w:r>
        <w:rPr>
          <w:b/>
        </w:rPr>
        <w:t xml:space="preserve">  Location in the revised manuscript: </w:t>
      </w:r>
      <w:r>
        <w:t>Sec. VII-B, Sec. VII-D, Sec. VII-H, Sec. IX-C</w:t>
      </w:r>
    </w:p>
    <w:p/>
    <w:p>
      <w:r>
        <w:rPr>
          <w:b/>
        </w:rPr>
        <w:t xml:space="preserve">Reviewer#2, Concern # 8: </w:t>
      </w:r>
      <w:r>
        <w:t>The manuscript still contains numerous expressions that are grammatically understandable but not natural for an IEEE Access research article, together with several obvious formatting/notation issues. Examples include “the network ... to be able to see the whole network,” “things like destination IP addresses,” “bring the entire network to its knees,” and other conversational expressions. There are also visible technical-formatting problems such as “Eq. (??),” inconsistent capitalization of terms such as “UAV,” questionable wording such as “Detection Threshold (au),” and statements that treat t-SNE visualization or radar-chart area as stronger evidence than they actually provide. These issues should be systematically corrected before submission because they collectively reduce the technical credibility and polish of the manuscript.</w:t>
      </w:r>
    </w:p>
    <w:p>
      <w:r>
        <w:rPr>
          <w:b/>
        </w:rPr>
        <w:t xml:space="preserve">Author response: </w:t>
      </w:r>
      <w:r>
        <w:t>We are grateful for this careful reading, and all of the issues raised have been corrected. The three phrases quoted are gone, along with twenty-five others we found by scanning the submitted source systematically after the reviewer drew our attention to the problem. The broken equation reference was rendered inside the Fig. 2 graphic rather than in the manuscript body, which is why it escaped our proofreading; the figure has been rebuilt and the reference now resolves. The "(au)" artifact was a lost backslash in a figure axis label and now renders as the tau symbol. We agree with both evidential points: the t-SNE caption no longer claims the projection confirms anything and now notes that a nonlinear stochastic embedding does not imply separability in the original space, and we have removed the radar chart altogether rather than merely re-captioning it, since we accept that an argument from chart area is not an argument. On "UAV", we were unable to locate that term in our manuscript and have treated the point as a general request for consistent acronym capitalization, which the new notation table addresses; we would welcome correction if a specific passage was meant.</w:t>
      </w:r>
    </w:p>
    <w:p>
      <w:r>
        <w:rPr>
          <w:b/>
        </w:rPr>
        <w:t xml:space="preserve">Author action: </w:t>
      </w:r>
      <w:r>
        <w:t>Rewrote the flagged passages, rebuilt two figures, removed the radar chart, added a notation table, and added an automated style check to the build.</w:t>
      </w:r>
      <w:r>
        <w:rPr>
          <w:b/>
        </w:rPr>
        <w:t xml:space="preserve">  Location in the revised manuscript: </w:t>
      </w:r>
      <w:r>
        <w:t>Throughout; specifically Fig. 2, Fig. 5 caption, Sec. V-A, Sec. I, Table 1</w:t>
      </w:r>
    </w:p>
    <w:p/>
    <w:p>
      <w:r>
        <w:rPr>
          <w:b/>
        </w:rPr>
        <w:t xml:space="preserve">Reviewer#2, Concern # 9: </w:t>
      </w:r>
      <w:r>
        <w:t>Please discuss 'Tensor Poincaré plot index: A novel nonlinear dynamic method for extracting abnormal state information of pumped storage units'</w:t>
      </w:r>
    </w:p>
    <w:p>
      <w:r>
        <w:rPr>
          <w:b/>
        </w:rPr>
        <w:t xml:space="preserve">Author response: </w:t>
      </w:r>
      <w:r>
        <w:t>We read the paper and found it genuinely relevant, though the application domain is distant. Chen et al. decompose an operational signal across time and frequency scales and transform each component into a Poincare plot, on the argument that scale-agnostic summary statistics discard exactly the information that separates a healthy machine from a degrading one. That is the same methodological move this paper makes with windowed entropy: replace a per-observation statistic with a distributional summary over a window, because the abnormality lives in the shape of the distribution. The parallel extends to the obligation it creates, which is to show that the summary tracks the condition of interest and not an incidental property of how the data were collected. We discuss the work on those terms and then answer that obligation for our own features with the shuffled-arrival-order experiment in Sec. VII.</w:t>
      </w:r>
    </w:p>
    <w:p>
      <w:r>
        <w:rPr>
          <w:b/>
        </w:rPr>
        <w:t xml:space="preserve">Author action: </w:t>
      </w:r>
      <w:r>
        <w:t>Added Sec. II-D on nonlinear dynamic indices for abnormal-state detection, discussing the work substantively and connecting it to our own validation requirement.</w:t>
      </w:r>
      <w:r>
        <w:rPr>
          <w:b/>
        </w:rPr>
        <w:t xml:space="preserve">  Location in the revised manuscript: </w:t>
      </w:r>
      <w:r>
        <w:t>Sec. II-D; reference [33]</w:t>
      </w:r>
    </w:p>
    <w:p/>
    <w:p/>
    <w:p>
      <w:r>
        <w:rPr>
          <w:b/>
          <w:sz w:val="26"/>
        </w:rPr>
        <w:t>Reviewer #3</w:t>
      </w:r>
    </w:p>
    <w:p>
      <w:r>
        <w:t>We thank Reviewer 3 for questions that went to the heart of the work. The request to remove all suspected leaking features, and the questions about control-channel capacity and flow-table occupancy, led directly to three new experiments and to findings we consider among the most useful in the revised paper.</w:t>
      </w:r>
    </w:p>
    <w:p>
      <w:r>
        <w:rPr>
          <w:b/>
        </w:rPr>
        <w:t xml:space="preserve">Reviewer#3, Concern # 1: </w:t>
      </w:r>
      <w:r>
        <w:t>Has the model been evaluated after removing all known leaking features to verify that it is detecting genuine threat behaviors rather than synthetic traffic generator artifacts?</w:t>
      </w:r>
    </w:p>
    <w:p>
      <w:r>
        <w:rPr>
          <w:b/>
        </w:rPr>
        <w:t xml:space="preserve">Author response: </w:t>
      </w:r>
      <w:r>
        <w:t>Yes, and this is now the centerpiece of the leakage analysis. Defining "known leaking features" by intuition would have reproduced the weakness of the earlier ablation, so we define the suspect set by measurement: any feature that separates the classes on its own at AUC 0.99 or above. Five features qualify. With all five removed the detector reaches 97.94% macro F1 against 97.88% for the full feature set, and removing the ten most separable features raises it to 98.69%. Detection does not depend on the columns most likely to be generator artifacts. Three further checks support the same conclusion: no feature has class-disjoint ranges, no test flow has a feature-identical twin in the training partition after deduplication, and the median standardized distance from a test flow to its nearest training neighbor is 0.142 with none closer than 1e-6. A label-permutation control collapses the pipeline to chance (macro F1 0.4978, AUC 0.5027), which is the prerequisite for trusting any of the above.</w:t>
      </w:r>
    </w:p>
    <w:p>
      <w:r>
        <w:rPr>
          <w:b/>
        </w:rPr>
        <w:t xml:space="preserve">Author action: </w:t>
      </w:r>
      <w:r>
        <w:t>Added a full leakage audit with an objective suspect definition, progressive removal through the entire flagged set, distribution checks, nearest-neighbor analysis, and two controls.</w:t>
      </w:r>
      <w:r>
        <w:rPr>
          <w:b/>
        </w:rPr>
        <w:t xml:space="preserve">  Location in the revised manuscript: </w:t>
      </w:r>
      <w:r>
        <w:t>Sec. VII-D, Table 8, Table 7 (separability probe)</w:t>
      </w:r>
    </w:p>
    <w:p/>
    <w:p>
      <w:r>
        <w:rPr>
          <w:b/>
        </w:rPr>
        <w:t xml:space="preserve">Reviewer#3, Concern # 2: </w:t>
      </w:r>
      <w:r>
        <w:t>What collinearity diagnostics or feature reduction techniques were applied to ensure the SHAP attributions remain causally stable and operationally trustworthy?</w:t>
      </w:r>
    </w:p>
    <w:p>
      <w:r>
        <w:rPr>
          <w:b/>
        </w:rPr>
        <w:t xml:space="preserve">Author response: </w:t>
      </w:r>
      <w:r>
        <w:t>Thank you for raising this; it is a fair criticism and we should have done it in the first place. No collinearity diagnostics were applied in the earlier version, which was an omission. They have now been run and the answer is not flattering to the feature set. Of 3,828 feature pairs, 61 exceed |r| = 0.95 and 19 exceed 0.99. Of the 76 non-constant features, 55 have a variance inflation factor above 10 and 32 above 100, the median VIF is 51.4, and the design matrix condition number is 3.9e16. We then measured whether the attributions survive that redundancy. Across ten seeds the five highest-attributed features are identical in every run, with the full attribution vectors correlating at Spearman 0.956 and never below 0.932. Beyond rank five the ranking is not reproducible: top-10 Jaccard averages 0.710 and falls to 0.538, and across bootstrap resamples top-5 Jaccard drops to 0.767. The operational conclusion is stated explicitly in the text: an operator reading the top five contributing features is looking at a stable explanation, while inferring anything from the difference between the eighth and twelfth ranked feature is reading noise. On reduction, correlation clustering from 88 to 50 features raises macro F1 to 97.99% and halves per-flow inference cost, so the reduced set is strictly better on both axes.</w:t>
      </w:r>
    </w:p>
    <w:p>
      <w:r>
        <w:rPr>
          <w:b/>
        </w:rPr>
        <w:t xml:space="preserve">Author action: </w:t>
      </w:r>
      <w:r>
        <w:t>Added correlation, VIF and conditioning diagnostics, a feature-reduction study, and a SHAP stability analysis across ten seeds and ten bootstrap resamples.</w:t>
      </w:r>
      <w:r>
        <w:rPr>
          <w:b/>
        </w:rPr>
        <w:t xml:space="preserve">  Location in the revised manuscript: </w:t>
      </w:r>
      <w:r>
        <w:t>Sec. VII-F (Collinearity, redundancy and attribution stability), Table 9</w:t>
      </w:r>
    </w:p>
    <w:p/>
    <w:p>
      <w:r>
        <w:rPr>
          <w:b/>
        </w:rPr>
        <w:t xml:space="preserve">Reviewer#3, Concern # 3: </w:t>
      </w:r>
      <w:r>
        <w:t>How does the proposed framework physically ingest 60,000 novel flows per second without triggering hardware rate limits or saturating the OpenFlow control channel?</w:t>
      </w:r>
    </w:p>
    <w:p>
      <w:r>
        <w:rPr>
          <w:b/>
        </w:rPr>
        <w:t xml:space="preserve">Author response: </w:t>
      </w:r>
      <w:r>
        <w:t>*** TO BE WRITTEN ***</w:t>
      </w:r>
    </w:p>
    <w:p>
      <w:r>
        <w:rPr>
          <w:b/>
        </w:rPr>
        <w:t xml:space="preserve">Author action: </w:t>
      </w:r>
      <w:r>
        <w:t>*** TO BE WRITTEN ***</w:t>
      </w:r>
    </w:p>
    <w:p/>
    <w:p>
      <w:r>
        <w:rPr>
          <w:b/>
        </w:rPr>
        <w:t xml:space="preserve">Reviewer#3, Concern # 4: </w:t>
      </w:r>
      <w:r>
        <w:t>What specific flow-rule aggregation or eviction policies are implemented to prevent the XAI-SDN module from causing a TCAM flow table overflow during an attack?</w:t>
      </w:r>
    </w:p>
    <w:p>
      <w:r>
        <w:rPr>
          <w:b/>
        </w:rPr>
        <w:t xml:space="preserve">Author response: </w:t>
      </w:r>
      <w:r>
        <w:t>This question produced one of the more useful findings in the revision, and we are grateful for it, because answering it properly required us to check the premise first. The premise is that a spoofed flood installs one table entry per spoofed source. On this corpus that is not what happens, and we would rather report that than present a reduction we did not observe.</w:t>
        <w:br/>
        <w:br/>
        <w:t>Across the SYN partition, 99.08 percent of the 3,590,794 flows carry a single source address. In the 40,000-flow window replayed through the testbed there are three distinct source addresses spanning two /24 networks. What varies is the port: the same window holds 29,064 distinct destination ports and 34,624 distinct source ports, which is what produces 29,065 distinct exact-match keys from 40,000 flows. The table therefore overflows through the port field, not through the source address.</w:t>
        <w:br/>
        <w:br/>
        <w:t>We measured six aggregation policies at three table capacities under four eviction policies. Exact-match installation saturates the table and overflows continuously, as you anticipate: 913.3 rule installations per thousand flows at a 4,096-entry capacity, with 32,436 overflows. Collapsing the source to a /24 or a /16 changes those figures to four significant figures, because there is no source diversity to collapse, and wildcarding the source entirely changes nothing for the same reason. The policy that bounds the table is the one that wildcards the port: a rule matched on source address, destination address and protocol holds three entries for the whole window, installs 0.07 rules per thousand flows, and never overflows at any capacity we tested. Eviction policy moves the installation count by less than 0.2 percent under every aggregation, so it is second-order on this traffic; the full grid is released with the results.</w:t>
        <w:br/>
        <w:br/>
        <w:t>Two qualifications are stated in the text rather than left implicit. The reduction is bought with specificity, since a port-wildcarded rule also drops legitimate traffic to the same host, so it is an instrument of last resort and the decision of when to escalate to it is a policy question the detector informs but does not settle. And the genuinely source-spoofed case, which source-prefix aggregation exists for, cannot be observed in this export at all, so we measure it separately in the emulated network, where source addresses are randomized at the packet level.</w:t>
      </w:r>
    </w:p>
    <w:p>
      <w:r>
        <w:rPr>
          <w:b/>
        </w:rPr>
        <w:t xml:space="preserve">Author action: </w:t>
      </w:r>
      <w:r>
        <w:t>Added a flow-table occupancy study over six aggregation policies, four eviction policies and three capacities, together with the field-diversity measurements that explain which policy binds, and a statement of the specificity cost of the policy that works.</w:t>
      </w:r>
      <w:r>
        <w:rPr>
          <w:b/>
        </w:rPr>
        <w:t xml:space="preserve">  Location in the revised manuscript: </w:t>
      </w:r>
      <w:r>
        <w:t>Sec. VII-P (Flow-table occupancy under mitigation) and its table; Sec. IV (Architecture); Sec. IX-B</w:t>
      </w:r>
    </w:p>
    <w:p/>
    <w:p>
      <w:r>
        <w:rPr>
          <w:b/>
        </w:rPr>
        <w:t xml:space="preserve">Reviewer#3, Concern # 5: </w:t>
      </w:r>
      <w:r>
        <w:t>AI/ML/DL references could be considered: "Bayesian Learning for Uncertainty Quantification, Optimization, and Inverse Design", IEEE Transactions on Microwave Theory and Techniques, 2022</w:t>
      </w:r>
    </w:p>
    <w:p>
      <w:r>
        <w:rPr>
          <w:b/>
        </w:rPr>
        <w:t xml:space="preserve">Author response: </w:t>
      </w:r>
      <w:r>
        <w:t>Added, and placed where it does work. Our detector emits a vote fraction and gates both alerting and explanation on it, so how much confidence a single score deserves is a live question in this design rather than an abstract one. Attribution answers which features drove a decision and says nothing about how certain that decision is, and the two are easy to conflate. We cite the work at that point in Sec. II-C and again in the limitations, where Bayesian treatment of the detector score is named as the natural next step.</w:t>
      </w:r>
    </w:p>
    <w:p>
      <w:r>
        <w:rPr>
          <w:b/>
        </w:rPr>
        <w:t xml:space="preserve">Author action: </w:t>
      </w:r>
      <w:r>
        <w:t>Added the reference and integrated it at two points in the text.</w:t>
      </w:r>
      <w:r>
        <w:rPr>
          <w:b/>
        </w:rPr>
        <w:t xml:space="preserve">  Location in the revised manuscript: </w:t>
      </w:r>
      <w:r>
        <w:t>Sec. II-C (final paragraph) and Sec. IX-D; reference [34]</w:t>
      </w:r>
    </w:p>
    <w:p/>
    <w:p/>
    <w:p>
      <w:r>
        <w:rPr>
          <w:b/>
          <w:sz w:val="26"/>
        </w:rPr>
        <w:t>Reviewer #4</w:t>
      </w:r>
    </w:p>
    <w:p>
      <w:r>
        <w:t>We thank Reviewer 4 for a detailed and practical review. The leakage audit, the cross-dataset validation and the live testbed requested here are all now part of the paper, and the resulting evidence changed several of our conclusions.</w:t>
      </w:r>
    </w:p>
    <w:p>
      <w:r>
        <w:rPr>
          <w:b/>
        </w:rPr>
        <w:t xml:space="preserve">Reviewer#4, Concern # 1: </w:t>
      </w:r>
      <w:r>
        <w:t>The near-perfect accuracy on CIC-DDoS2019 is not fully convincing. Although you include a leakage-robustness ablation and temporal split, the paper still does not fully rule out dataset-level artifacts. Please add a rigorous leakage audit (duplicate/near-duplicate flow analysis, feature-distribution checks) and cross-dataset validation (e.g., InSDN, CIC-IDS2017/2018) with FPR/FNR confidence intervals.</w:t>
      </w:r>
    </w:p>
    <w:p>
      <w:r>
        <w:rPr>
          <w:b/>
        </w:rPr>
        <w:t xml:space="preserve">Author response: </w:t>
      </w:r>
      <w:r>
        <w:t>Thank you for setting out exactly what would be convincing; it gave us a concrete programme to follow, and following it changed the paper. We did each of the three things you ask.</w:t>
        <w:br/>
        <w:br/>
        <w:t>On duplicates and near-duplicates, the finding is more serious than a footnote. Before cleaning, the partition contains 446,671 exactly duplicated feature vectors, an 11.06 percent duplicate rate, rising to 12.36 percent among benign flows alone. Under the stratified random split that produced the submitted numbers, 15.49 percent of test rows have a feature-identical twin in the training partition, and a lookup table that learns nothing except the training labels of those twins already reaches 99.28 percent accuracy. Under a chronological split the same lookup reaches 97.14 percent and only 0.04 percent of test rows have a training twin. That difference isolates how much of the submitted performance was available to pure memorization. After deduplication and under the chronological protocol, no test flow has an exact training twin, the median standardized distance from a test flow to its nearest training neighbor is 0.142, and no test flow lies closer than 1e-6.</w:t>
        <w:br/>
        <w:br/>
        <w:t>On feature distributions, no feature has class-disjoint ranges. We also defined the suspect set by measurement rather than by intuition: every feature separating the classes alone at AUC 0.99 or above, of which there are five. Removing all five leaves macro F1 at 97.94 percent against 97.88 percent for the full set, with overlapping bootstrap intervals. Two controls support the rest: a label permutation collapses the pipeline to chance, at macro F1 0.4978 and ROC-AUC 0.5027, and scrambling the arrival order before computing the entropy features drops their individual AUCs from about 0.99 to about 0.56, which confirms the entropy features carry genuine temporal structure rather than a static artifact.</w:t>
        <w:br/>
        <w:br/>
        <w:t>On cross-dataset validation, we evaluated on both corpora you name, with bootstrap confidence intervals on the error rates. The result is negative and we report it as such: zero-shot macro F1 is 0.6026 on InSDN and 0.2788 on CIC-IDS2017, the latter with a false-negative rate of 98.13 percent. We now state that the detector does not transfer across corpora without retraining, and the limitations section says plainly that dataset-specific artifacts cannot be excluded by any experiment available to us on a single synthetic corpus.</w:t>
      </w:r>
    </w:p>
    <w:p>
      <w:r>
        <w:rPr>
          <w:b/>
        </w:rPr>
        <w:t xml:space="preserve">Author action: </w:t>
      </w:r>
      <w:r>
        <w:t>Added a duplicate and near-duplicate analysis across both split protocols with a memorization baseline, a feature-distribution and separability audit with an objectively defined suspect set, two negative controls, and cross-dataset evaluation on InSDN and CIC-IDS2017 with bootstrap intervals on FPR and FNR.</w:t>
      </w:r>
      <w:r>
        <w:rPr>
          <w:b/>
        </w:rPr>
        <w:t xml:space="preserve">  Location in the revised manuscript: </w:t>
      </w:r>
      <w:r>
        <w:t>Sec. VII-D (Leakage and dataset-artifact audit) and its tables; Sec. VII-J (Cross-dataset validation); Sec. IX (Limitations)</w:t>
      </w:r>
    </w:p>
    <w:p/>
    <w:p>
      <w:r>
        <w:rPr>
          <w:b/>
        </w:rPr>
        <w:t xml:space="preserve">Reviewer#4, Concern # 2: </w:t>
      </w:r>
      <w:r>
        <w:t>The evaluation is offline and the explainability cost is high (60,606 flows/s without SHAP vs. 1,953 flows/s with explanations). Please provide a Mininet/Ryu or ONOS proof-of-concept with live traffic, measure controller CPU/memory, end-to-end detection latency, and QoS impact. Also compare against modern deep learning detectors (CNN, LSTM, autoencoder, GNN, transformer) under the same protocol.</w:t>
      </w:r>
    </w:p>
    <w:p>
      <w:r>
        <w:rPr>
          <w:b/>
        </w:rPr>
        <w:t xml:space="preserve">Author response: </w:t>
      </w:r>
      <w:r>
        <w:t>*** TO BE WRITTEN ***</w:t>
      </w:r>
    </w:p>
    <w:p>
      <w:r>
        <w:rPr>
          <w:b/>
        </w:rPr>
        <w:t xml:space="preserve">Author action: </w:t>
      </w:r>
      <w:r>
        <w:t>*** TO BE WRITTEN ***</w:t>
      </w:r>
    </w:p>
    <w:p/>
    <w:p>
      <w:r>
        <w:rPr>
          <w:b/>
        </w:rPr>
        <w:t xml:space="preserve">Reviewer#4, Concern # 3: </w:t>
      </w:r>
      <w:r>
        <w:t>Please add a dedicated discussion subsection on DDoS detection in SDN using deep learning and QoS-aware software-defined Internet of Things. Discuss how deep learning models can be integrated into SDN for DDoS detection, their accuracy/latency/explainability trade-offs versus your RF+SHAP approach, and how XAI-SDN can be adapted to SD-IoT environments with QoS constraints (latency, energy, reliability, scalability, heterogeneous traffic). Also address lightweight/edge inference and cross-layer coordination between security enforcement and QoS policies.</w:t>
      </w:r>
    </w:p>
    <w:p>
      <w:r>
        <w:rPr>
          <w:b/>
        </w:rPr>
        <w:t xml:space="preserve">Author response: </w:t>
      </w:r>
      <w:r>
        <w:t>Added as a dedicated discussion section covering each point raised. On deep learning in SDN, we report the accuracy, latency and explainability trade-off against measured numbers from our own CPU-only comparison rather than against published figures from different hardware, and we note two deployment caveats that accuracy tables hide: sequence models classify a window rather than a flow, so the unit of decision differs from the unit of enforcement, and graph models are transductive, so per-flow latency is not well defined without incremental graph maintenance. On SD-IoT, we work through latency and energy, reliability and scalability, heterogeneous traffic, and cross-layer coordination in turn. The cross-layer discussion is grounded in our TCAM measurements, which show the concrete failure mode: exact-match mitigation rules against a spoofed-source flood exhaust a bounded table and evict the entries carrying QoS policy, so the security function degrades service before the attack does. Prefix aggregation bounds occupancy by the number of attacking prefixes instead, which is what makes coordinated enforcement feasible. On lightweight and edge inference, we identify the serialized forest size as the binding constraint for a gateway deployment and point to the compression work that addresses it.</w:t>
      </w:r>
    </w:p>
    <w:p>
      <w:r>
        <w:rPr>
          <w:b/>
        </w:rPr>
        <w:t xml:space="preserve">Author action: </w:t>
      </w:r>
      <w:r>
        <w:t>Added Sec. IX-B (deep learning for SDN DDoS detection) and Sec. IX-C (QoS-aware software-defined IoT), together with six supporting references.</w:t>
      </w:r>
      <w:r>
        <w:rPr>
          <w:b/>
        </w:rPr>
        <w:t xml:space="preserve">  Location in the revised manuscript: </w:t>
      </w:r>
      <w:r>
        <w:t>Sec. IX-B and Sec. IX-C; references [35]-[40]</w:t>
      </w:r>
    </w:p>
    <w:p/>
    <w:p/>
    <w:p>
      <w:r>
        <w:rPr>
          <w:b/>
          <w:sz w:val="26"/>
        </w:rPr>
        <w:t>Reviewer #5</w:t>
      </w:r>
    </w:p>
    <w:p>
      <w:r>
        <w:t>We thank Reviewer 5 for a precise and helpful checklist. Every item has been addressed, and the structural additions in particular have made the paper easier to follow.</w:t>
      </w:r>
    </w:p>
    <w:p>
      <w:r>
        <w:rPr>
          <w:b/>
        </w:rPr>
        <w:t xml:space="preserve">Reviewer#5, Concern # 1: </w:t>
      </w:r>
      <w:r>
        <w:t>Does the paper contain a brief introduction/summary at the beginning of each section/subsection, improving the "fluidity" of the text? No. Please, write a brief introduction summarizing the content of the following section(s) before its/their respective subsection: II, III, V, VI, VII, and VIII.</w:t>
      </w:r>
    </w:p>
    <w:p>
      <w:r>
        <w:rPr>
          <w:b/>
        </w:rPr>
        <w:t xml:space="preserve">Author response: </w:t>
      </w:r>
      <w:r>
        <w:t>Added. Each of the sections named now opens with a short paragraph stating what the section establishes and how its subsections relate, before the first subsection heading.</w:t>
      </w:r>
    </w:p>
    <w:p>
      <w:r>
        <w:rPr>
          <w:b/>
        </w:rPr>
        <w:t xml:space="preserve">Author action: </w:t>
      </w:r>
      <w:r>
        <w:t>Added scene-setting paragraphs to the six sections requested.</w:t>
      </w:r>
      <w:r>
        <w:rPr>
          <w:b/>
        </w:rPr>
        <w:t xml:space="preserve">  Location in the revised manuscript: </w:t>
      </w:r>
      <w:r>
        <w:t>Openings of Secs. II, III, V, VI, VII and IX</w:t>
      </w:r>
    </w:p>
    <w:p/>
    <w:p>
      <w:r>
        <w:rPr>
          <w:b/>
        </w:rPr>
        <w:t xml:space="preserve">Reviewer#5, Concern # 2: </w:t>
      </w:r>
      <w:r>
        <w:t>Does the end of the Introduction contain a table summarizing the used symbols, notations, and acronyms? No.</w:t>
      </w:r>
    </w:p>
    <w:p>
      <w:r>
        <w:rPr>
          <w:b/>
        </w:rPr>
        <w:t xml:space="preserve">Author response: </w:t>
      </w:r>
      <w:r>
        <w:t>Added. The table covers the symbols used in the problem formulation and the entropy derivation, and the acronyms used throughout, and it sits at the end of the Introduction as requested.</w:t>
      </w:r>
    </w:p>
    <w:p>
      <w:r>
        <w:rPr>
          <w:b/>
        </w:rPr>
        <w:t xml:space="preserve">Author action: </w:t>
      </w:r>
      <w:r>
        <w:t>Added the notation, symbols and acronyms table.</w:t>
      </w:r>
      <w:r>
        <w:rPr>
          <w:b/>
        </w:rPr>
        <w:t xml:space="preserve">  Location in the revised manuscript: </w:t>
      </w:r>
      <w:r>
        <w:t>Table 1, end of Sec. I</w:t>
      </w:r>
    </w:p>
    <w:p/>
    <w:p>
      <w:r>
        <w:rPr>
          <w:b/>
        </w:rPr>
        <w:t xml:space="preserve">Reviewer#5, Concern # 3: </w:t>
      </w:r>
      <w:r>
        <w:t>Did the authors mention the hardware configuration and/or software, library, programming language, etc., used during the tests? Hardware configuration missing.</w:t>
      </w:r>
    </w:p>
    <w:p>
      <w:r>
        <w:rPr>
          <w:b/>
        </w:rPr>
        <w:t xml:space="preserve">Author response: </w:t>
      </w:r>
      <w:r>
        <w:t>This was a genuine omission, and it turned out to matter for Reviewer 1's comments as well. The revision gives the full hardware and software environment in a table, and states that every timing figure in the paper was measured on that one machine, on the CPU, with the same thread budget and the same harness. We also rebuilt the environment with a PyTorch installation that carries no CUDA support, so no model in the comparison can be timed on a GPU even by accident. Timing figures across all our tables are therefore comparable with one another, and we say plainly that they are not comparable with figures published elsewhere on different hardware.</w:t>
      </w:r>
    </w:p>
    <w:p>
      <w:r>
        <w:rPr>
          <w:b/>
        </w:rPr>
        <w:t xml:space="preserve">Author action: </w:t>
      </w:r>
      <w:r>
        <w:t>Added the environment table and the comparability statement.</w:t>
      </w:r>
      <w:r>
        <w:rPr>
          <w:b/>
        </w:rPr>
        <w:t xml:space="preserve">  Location in the revised manuscript: </w:t>
      </w:r>
      <w:r>
        <w:t>Table 5 and Sec. VI-D</w:t>
      </w:r>
    </w:p>
    <w:p/>
    <w:p>
      <w:r>
        <w:rPr>
          <w:b/>
        </w:rPr>
        <w:t xml:space="preserve">Reviewer#5, Concern # 4: </w:t>
      </w:r>
      <w:r>
        <w:t>Are the references recent? More or less.</w:t>
      </w:r>
    </w:p>
    <w:p>
      <w:r>
        <w:rPr>
          <w:b/>
        </w:rPr>
        <w:t xml:space="preserve">Author response: </w:t>
      </w:r>
      <w:r>
        <w:t>Thank you for the suggestion, which we were glad to act on. We refreshed the contemporary layer of the bibliography. References published in 2023 or later went from 3 of 32 to 10 of 41, and references from 2020 or later from 9 to 17. The additions are substantive rather than decorative: current work on SDN DDoS detection and mitigation, software-defined IoT under QoS constraints, graph and transformer intrusion detectors, compressed models for edge deployment, and the present state of explainable AI for intrusion detection. We deliberately did not churn the foundational citations. Shannon 1948, Cortes and Vapnik 1995, Breiman 2001 and McKeown 2008 are old because the results they report are old, and replacing them to raise an average year would make the bibliography worse rather than better.</w:t>
      </w:r>
    </w:p>
    <w:p>
      <w:r>
        <w:rPr>
          <w:b/>
        </w:rPr>
        <w:t xml:space="preserve">Author action: </w:t>
      </w:r>
      <w:r>
        <w:t>Added nine references, all verified against the publisher record, and reported the before and after recency profile here.</w:t>
      </w:r>
      <w:r>
        <w:rPr>
          <w:b/>
        </w:rPr>
        <w:t xml:space="preserve">  Location in the revised manuscript: </w:t>
      </w:r>
      <w:r>
        <w:t>References [33]-[41]; discussed in Sec. II-B, Sec. II-C, Sec. II-D and Sec. IX</w:t>
      </w:r>
    </w:p>
    <w:p/>
    <w:p>
      <w:r>
        <w:rPr>
          <w:b/>
        </w:rPr>
        <w:t xml:space="preserve">Reviewer#5, Concern # 5: </w:t>
      </w:r>
      <w:r>
        <w:t>Is there any ArXiV or blog reference? Please, replace the following arXiv reference(s) with its/their (respective) final published version(s) if possible: 23, 25, 31, and 34.</w:t>
      </w:r>
    </w:p>
    <w:p>
      <w:r>
        <w:rPr>
          <w:b/>
        </w:rPr>
        <w:t xml:space="preserve">Author response: </w:t>
      </w:r>
      <w:r>
        <w:t>Thank you for catching these. We checked all four against the publisher record and the outcome differs by entry, so we report each one. On the numbering, our submitted manuscript contains 32 references, so we were unable to identify a reference 34 and have taken the request to cover 23, 25, 31 and 32, which are the preprint-style entries. We hope this matches the reviewer's intention, and we are happy to revisit if a different entry was meant. Reference 25, Lundberg and Lee, was published at NeurIPS 2017 and now cites the proceedings with editors and publisher rather than the arXiv DOI. Reference 23, Doshi-Velez and Kim, has not appeared in a peer-reviewed venue and remains arXiv:1702.08608, so we kept it but recast the entry from a journal field into a properly formatted preprint citation. References 31 and 32 are likewise still preprints and now carry their arXiv identifiers, which the submitted entries omitted. No entry in the revised bibliography carries "arXiv preprint" in a journal field.</w:t>
      </w:r>
    </w:p>
    <w:p>
      <w:r>
        <w:rPr>
          <w:b/>
        </w:rPr>
        <w:t xml:space="preserve">Author action: </w:t>
      </w:r>
      <w:r>
        <w:t>Replaced one entry with its published version and reformatted three as proper preprint citations. Verified the bibliography against IEEEtran.bst with zero warnings.</w:t>
      </w:r>
      <w:r>
        <w:rPr>
          <w:b/>
        </w:rPr>
        <w:t xml:space="preserve">  Location in the revised manuscript: </w:t>
      </w:r>
      <w:r>
        <w:t>References [23], [25], [31], [32]</w:t>
      </w:r>
    </w:p>
    <w:p/>
    <w:p>
      <w:r>
        <w:rPr>
          <w:b/>
        </w:rPr>
        <w:t xml:space="preserve">Reviewer#5, Concern # 6: </w:t>
      </w:r>
      <w:r>
        <w:t>Are all the inserted figures, tables, and algorithms mentioned in the text? No.</w:t>
      </w:r>
    </w:p>
    <w:p>
      <w:r>
        <w:rPr>
          <w:b/>
        </w:rPr>
        <w:t xml:space="preserve">Author response: </w:t>
      </w:r>
      <w:r>
        <w:t>Corrected. Five floats were never referenced in the body: Fig. 7, Fig. 9, Table 5, Eq. (4) and Eq. (5). Four are now cited where they are discussed. The fifth, the radar chart, has been removed rather than cited, because Reviewer 2 separately objected to treating radar-chart area as evidence and we agree that the figure argued from area rather than from measurement. Every remaining figure, table, algorithm and numbered equation is cited at least once, and an automated check on the compiled PDF enforces this.</w:t>
      </w:r>
    </w:p>
    <w:p>
      <w:r>
        <w:rPr>
          <w:b/>
        </w:rPr>
        <w:t xml:space="preserve">Author action: </w:t>
      </w:r>
      <w:r>
        <w:t>Added the missing citations, removed the radar figure, and added an automated float-citation check to the build.</w:t>
      </w:r>
      <w:r>
        <w:rPr>
          <w:b/>
        </w:rPr>
        <w:t xml:space="preserve">  Location in the revised manuscript: </w:t>
      </w:r>
      <w:r>
        <w:t>Throughout; the removed figure was the former Fig. 9</w:t>
      </w:r>
    </w:p>
    <w:p/>
    <w:p>
      <w:r>
        <w:rPr>
          <w:b/>
        </w:rPr>
        <w:t xml:space="preserve">Reviewer#5, Concern # 7: </w:t>
      </w:r>
      <w:r>
        <w:t>Is the font size of texts in figures (such as titles and names of axes in graphics) big enough to read? Increase the font size in the graphics, if possible, please.</w:t>
      </w:r>
    </w:p>
    <w:p>
      <w:r>
        <w:rPr>
          <w:b/>
        </w:rPr>
        <w:t xml:space="preserve">Author response: </w:t>
      </w:r>
      <w:r>
        <w:t>Thank you, and we are sorry the figures were hard to read. All figures have been regenerated at larger type. Axis labels, tick labels and legends are set so that they remain legible at single-column width in print, and every figure is vector rather than raster so that text stays selectable and scales without loss. Two figures were rebuilt for other reasons at the same time, Fig. 2 to resolve the broken equation reference and Fig. 6 to correct an axis label and a caption that did not match the panels.</w:t>
      </w:r>
    </w:p>
    <w:p>
      <w:r>
        <w:rPr>
          <w:b/>
        </w:rPr>
        <w:t xml:space="preserve">Author action: </w:t>
      </w:r>
      <w:r>
        <w:t>Regenerated every figure with larger fonts in vector format, and rebuilt two figures that had content defects.</w:t>
      </w:r>
      <w:r>
        <w:rPr>
          <w:b/>
        </w:rPr>
        <w:t xml:space="preserve">  Location in the revised manuscript: </w:t>
      </w:r>
      <w:r>
        <w:t>All figures</w:t>
      </w:r>
    </w:p>
    <w:p/>
    <w:p/>
    <w:p>
      <w:r>
        <w:rPr>
          <w:b/>
          <w:sz w:val="26"/>
        </w:rPr>
        <w:t>Reviewer #6</w:t>
      </w:r>
    </w:p>
    <w:p>
      <w:r>
        <w:t>We thank Reviewer 6 for a demanding review. The concerns raised here were substantially correct, and pursuing them uncovered an error in our own evaluation protocol that we would otherwise have carried into print. We are genuinely grateful for the rigor of this reading.</w:t>
      </w:r>
    </w:p>
    <w:p>
      <w:r>
        <w:rPr>
          <w:b/>
        </w:rPr>
        <w:t xml:space="preserve">Reviewer#6, Concern # 1: </w:t>
      </w:r>
      <w:r>
        <w:t>Relying solely on the SYN-flood partition of CIC-DDoS2019 is methodologically bankrupt; this dataset is notorious for temporal leakage and trivial separability at the flow level, meaning the 99.9987% accuracy reflects dataset artifacts rather than genuine detection capability. You must validate the framework on rigorous, modern datasets.</w:t>
      </w:r>
    </w:p>
    <w:p>
      <w:r>
        <w:rPr>
          <w:b/>
        </w:rPr>
        <w:t xml:space="preserve">Author response: </w:t>
      </w:r>
      <w:r>
        <w:t>We are grateful for the force of this comment. It prompted us to audit the corpus far more carefully than we had, and the reviewer's suspicion turned out to be better founded than we realized. Three findings are new in this revision, and all three support the reviewer's concern. First, the submitted results were produced by a stratified random split rather than the temporal split our manuscript described; under a chronological split macro F1 falls from 99.95% to 97.88%. We regret this error and have corrected it. Second, before deduplication, 15.5% of test rows under that stratified split have a feature-identical twin in the training partition, and a lookup table that learns nothing reaches 99.28% accuracy, so a large share of the headline figure was available to memorisation. Third, and most useful to others working with this corpus, 97.9% of benign flows occur in the final 30% of the capture, with a median position of 0.995, so a chronological split leaves only 582 benign flows for training against 30,432 at test. On the wider point, we would gently offer that a corpus whose limitations have been measured and published is more useful to the community than one whose limitations remain unexamined, and we hope these measurements contribute in that spirit. We have also followed the reviewer's instruction to validate more broadly, adding transfer across four attack vectors, a second capture day, InSDN and CIC-IDS2017, with confidence intervals, and we report the degradation observed rather than the best case.</w:t>
      </w:r>
    </w:p>
    <w:p>
      <w:r>
        <w:rPr>
          <w:b/>
        </w:rPr>
        <w:t xml:space="preserve">Author action: </w:t>
      </w:r>
      <w:r>
        <w:t>Added the protocol audit, duplicate and memorisation analysis, temporal-structure analysis, and cross-vector, cross-day and cross-dataset evaluation.</w:t>
      </w:r>
      <w:r>
        <w:rPr>
          <w:b/>
        </w:rPr>
        <w:t xml:space="preserve">  Location in the revised manuscript: </w:t>
      </w:r>
      <w:r>
        <w:t>Sec. VII-B, Sec. VII-C, Sec. VII-D, Sec. VII-J, Sec. VII-K, Sec. IX-D</w:t>
      </w:r>
    </w:p>
    <w:p/>
    <w:p>
      <w:r>
        <w:rPr>
          <w:b/>
        </w:rPr>
        <w:t xml:space="preserve">Reviewer#6, Concern # 2: </w:t>
      </w:r>
      <w:r>
        <w:t>The manuscript contains highly informal phrasing entirely inappropriate, the authors need to thoroughly rewrite the manuscript using formal, precise academic English and consider professional proofreading.</w:t>
      </w:r>
    </w:p>
    <w:p>
      <w:r>
        <w:rPr>
          <w:b/>
        </w:rPr>
        <w:t xml:space="preserve">Author response: </w:t>
      </w:r>
      <w:r>
        <w:t>We are grateful for this comment, and we have taken it seriously rather than treating it as a copy-editing note. The manuscript has been rewritten rather than edited. Every section from the abstract to the conclusion was reworked for register, and the passages that prompted this comment are gone. To make the standard enforceable rather than a matter of opinion, the build now runs an automated check that fails on a list of conversational constructions, on over-claiming vocabulary, on em dashes, and on British spellings, and the manuscript currently passes all four with zero hits. We recognize that an automated check is not a substitute for a careful human reading, and the text has had that as well.</w:t>
      </w:r>
    </w:p>
    <w:p>
      <w:r>
        <w:rPr>
          <w:b/>
        </w:rPr>
        <w:t xml:space="preserve">Author action: </w:t>
      </w:r>
      <w:r>
        <w:t>Full rewrite of the manuscript prose, plus an automated style gate enforced on every build.</w:t>
      </w:r>
      <w:r>
        <w:rPr>
          <w:b/>
        </w:rPr>
        <w:t xml:space="preserve">  Location in the revised manuscript: </w:t>
      </w:r>
      <w:r>
        <w:t>Throughout</w:t>
      </w:r>
    </w:p>
    <w:p/>
    <w:p>
      <w:r>
        <w:rPr>
          <w:b/>
        </w:rPr>
        <w:t xml:space="preserve">Reviewer#6, Concern # 3: </w:t>
      </w:r>
      <w:r>
        <w:t>You claim a throughput of 1,953 flows/s when SHAP is enabled (Table 6), but since 99.14% of the test traffic is DDoS, Algorithm 1 will trigger SHAP for almost every flow, creating a massive bottleneck at the SDN controller.</w:t>
      </w:r>
    </w:p>
    <w:p>
      <w:r>
        <w:rPr>
          <w:b/>
        </w:rPr>
        <w:t xml:space="preserve">Author response: </w:t>
      </w:r>
      <w:r>
        <w:t>You are right, and the measurement is worse than your estimate. We have turned the objection into a contribution rather than softening the claim.</w:t>
        <w:br/>
        <w:br/>
        <w:t>Over a 60,000-flow stream at 99.998 percent attack prevalence, the alert rate is 0.99997, so the policy of the submitted paper does attribute essentially every flow. Classification alone sustains 35,715 flows per second at 0.028 milliseconds per flow. One TreeSHAP attribution costs 1.485 milliseconds, so the unbudgeted pipeline sustains 661 flows per second, a factor of 54 below the classification rate. The 1,953 flows per second reported in the submitted manuscript was optimistic by roughly a factor of three.</w:t>
        <w:br/>
        <w:br/>
        <w:t>The revision defines the explanation trigger formally as a separate admission decision rather than a consequence of the prediction, and measures three budget policies against it. The one that works is not a faster explainer. It is a trigger that distinguishes an alert from an episode: structurally identical flood flows are one attack, so one representative is attributed and every other alert in the episode carries an explicit reference to it, which keeps the audit trail complete while the number of TreeSHAP evaluations falls.</w:t>
        <w:br/>
        <w:br/>
        <w:t>How far it falls depends entirely on how an episode is defined, and this is the part we did not anticipate. Our first signature included per-flow volume terms, which fragmented the flood into 53,817 episodes and recovered almost nothing, a factor of 1.1. A signature on the target address and protocol collapses the same stream to two episodes, a reduction of thirty thousand, and restores 35,652 flows per second, which is the classification rate to within 0.2 percent. A token-bucket budget makes the opposite trade, keeping full per-flow fidelity for a fixed number of alerts per second: at 50 explanations per second it sustains 33,273 flows per second with 0.19 percent of alerts individually attributed. Asynchronous off-path attribution is the weakest of the three, because a queue large enough to avoid drops moves the bottleneck without relieving it.</w:t>
        <w:br/>
        <w:br/>
        <w:t>We state the cost of the policy that works rather than presenting the throughput figure alone. A coarse episode explains why a flood against a given service is being blocked. It does not explain why one particular flow within that flood scored as it did, and an analyst investigating a suspected false positive needs the latter. The policy is therefore a scale control to be tightened as alert volume falls, and the reported frontier is what lets an operator choose the point rather than discover the cost in production.</w:t>
      </w:r>
    </w:p>
    <w:p>
      <w:r>
        <w:rPr>
          <w:b/>
        </w:rPr>
        <w:t xml:space="preserve">Author action: </w:t>
      </w:r>
      <w:r>
        <w:t>Defined the explanation trigger formally as an admission decision, measured the unbudgeted collapse, and measured episode deduplication at three granularities, a token-bucket budget at six rates and asynchronous off-path attribution at three queue depths, reporting the throughput-versus-coverage frontier and the interpretive cost of the policy that recovers the most throughput.</w:t>
      </w:r>
      <w:r>
        <w:rPr>
          <w:b/>
        </w:rPr>
        <w:t xml:space="preserve">  Location in the revised manuscript: </w:t>
      </w:r>
      <w:r>
        <w:t>Sec. VII-L (The cost of explanation, and how to bound it) and its table; Algorithm 1 and Sec. IV; Sec. IX-C (Deployment considerations)</w:t>
      </w:r>
    </w:p>
    <w:p/>
    <w:p>
      <w:r>
        <w:rPr>
          <w:b/>
        </w:rPr>
        <w:t xml:space="preserve">Reviewer#6, Concern # 4: </w:t>
      </w:r>
      <w:r>
        <w:t>Eq. (6) updates entropy via incremental addition and subtraction, which inevitably leads to catastrophic cancellation and floating-point drift over continuous streaming.</w:t>
      </w:r>
    </w:p>
    <w:p>
      <w:r>
        <w:rPr>
          <w:b/>
        </w:rPr>
        <w:t xml:space="preserve">Author response: </w:t>
      </w:r>
      <w:r>
        <w:t>The objection is well posed and we measured it rather than arguing. Two things had to be corrected first. The equation printed in the submitted manuscript was not the recurrence the implementation executes, and the printed form is only valid while the window length is constant, so it is wrong during warm-up. The revision prints the running-sum recurrence the code actually runs. On drift, a stream of 12,000,000 admit and evict updates over 65,524 distinct keys was compared against exact recomputation at 240 checkpoints, with a rational-arithmetic evaluation confirming the float64 reference is itself exact. Maximum accumulated drift is 7.5e-14 bits for the implemented form and 2.3e-13 bits for the equation as previously printed. Converting that to the quantity that matters, perturbing all eight entropy features of all 1,077,238 test flows by the worst-case magnitude changes zero decisions. Compensated summation and periodic resynchronization were also measured and buy no accuracy at this scale, so neither is enabled. Incidentally, the printed phi-form is both three times less accurate and nearly twice as slow as the implemented one.</w:t>
      </w:r>
    </w:p>
    <w:p>
      <w:r>
        <w:rPr>
          <w:b/>
        </w:rPr>
        <w:t xml:space="preserve">Author action: </w:t>
      </w:r>
      <w:r>
        <w:t>Corrected the equation to match the implementation, added a numerical-stability study with three mitigations, and reported the decision-level impact.</w:t>
      </w:r>
      <w:r>
        <w:rPr>
          <w:b/>
        </w:rPr>
        <w:t xml:space="preserve">  Location in the revised manuscript: </w:t>
      </w:r>
      <w:r>
        <w:t>Eqs. (5)-(7) in Sec. V-B, Sec. V-C, Sec. VII-H and Table 10</w:t>
      </w:r>
    </w:p>
    <w:p/>
    <w:p>
      <w:r>
        <w:rPr>
          <w:b/>
        </w:rPr>
        <w:t xml:space="preserve">Reviewer#6, Concern # 5: </w:t>
      </w:r>
      <w:r>
        <w:t>Comparing models trained on a tiny, class-balanced subset (10K train/3K test in Table 8) against the proposed RF trained on 2.5M imbalanced flows (Table 4) is completely unfair and renders the comparison meaningless. You must either use subsampling consistently for all models or employ computationally efficient baselines that can handle the full imbalanced dataset without artificial balancing.</w:t>
      </w:r>
    </w:p>
    <w:p>
      <w:r>
        <w:rPr>
          <w:b/>
        </w:rPr>
        <w:t xml:space="preserve">Author response: </w:t>
      </w:r>
      <w:r>
        <w:t>You are right, and we have rebuilt the comparison rather than defended it. Comparing a detector trained on 2.5 million imbalanced flows against baselines trained on a 10,000-flow class-balanced subset is not a comparison, and presenting the two in adjacent tables invited exactly the reading you describe.</w:t>
        <w:br/>
        <w:br/>
        <w:t>Every method is now run twice by us, on the same machine, on the CPU, under one measurement harness. Protocol A is the full chronological split at the natural class prevalence: 2,513,556 training and 1,077,238 test flows, no subsampling, no artificial balancing. Protocol B applies an identical subsampling to every model, preserving the natural class ratio rather than balancing it. The two are reported in separate tables and never mixed, and the headline comparison is Protocol A, because that is the setting the detector is claimed to operate in.</w:t>
        <w:br/>
        <w:br/>
        <w:t>The result is less flattering than the submitted version and more informative. Under Protocol A the detector reaches 97.88 percent macro F1, statistically indistinguishable from LightGBM at 97.89 percent, and it no longer has a unique claim to the top of any accuracy column. What it does have is the lowest false positive rate of any method tested, by a factor of four: 0.095 percent against 0.371 percent for LightGBM, which over the test partition is 29 false alarms against 113. It is also the slowest tree model per flow, at 7.05 milliseconds against 0.26 for LightGBM, and we treat that as the configuration defect it is rather than omitting it.</w:t>
        <w:br/>
        <w:br/>
        <w:t>Two baselines could not be run at full scale and we state the cap rather than dropping them. The RBF kernel SVM is quadratic in the sample count and appears only under Protocol B. The linear SVM had not converged after thirty minutes on the full partition, so it is fitted on a capped subsample of 300,000 flows, which is recorded in the table and in the text. We would rather report a capped baseline with the cap visible than report only the baselines that happened to be convenient.</w:t>
      </w:r>
    </w:p>
    <w:p>
      <w:r>
        <w:rPr>
          <w:b/>
        </w:rPr>
        <w:t xml:space="preserve">Author action: </w:t>
      </w:r>
      <w:r>
        <w:t>Replaced the class-balanced subset comparison with two protocols applied identically to every model, reported them in separate tables with a statement that they answer different questions, added the false-positive column that the comparison turns on, and stated every training cap explicitly.</w:t>
      </w:r>
      <w:r>
        <w:rPr>
          <w:b/>
        </w:rPr>
        <w:t xml:space="preserve">  Location in the revised manuscript: </w:t>
      </w:r>
      <w:r>
        <w:t>Sec. VIII-B (Baseline comparison) and its table; Sec. VI-B (Evaluation protocol); Sec. VI-C (Computing environment)</w:t>
      </w:r>
    </w:p>
    <w:p/>
    <w:p>
      <w:r>
        <w:rPr>
          <w:b/>
        </w:rPr>
        <w:t xml:space="preserve">Reviewer#6, Concern # 6: </w:t>
      </w:r>
      <w:r>
        <w:t>Feeding all 80 CICFlowMeter features plus 8 entropy features into the RF ignores severe multicollinearity and redundancy inherent in flow-level statistics.</w:t>
      </w:r>
    </w:p>
    <w:p>
      <w:r>
        <w:rPr>
          <w:b/>
        </w:rPr>
        <w:t xml:space="preserve">Author response: </w:t>
      </w:r>
      <w:r>
        <w:t>The reviewer is right and the measurements are worse than the comment implies. Fifty-five of the 76 non-constant features have VIF above 10 and 32 above 100, with a condition number of 3.9e16. Separately, twelve of the 80 exported flow statistics are constant across all 3,590,794 flows of this partition and carry no information at all. We note in particular that FIN_Flag_Count is one of them, and that the submitted manuscript ranked it among the three most influential features, which cannot be true of a column that never varies. The recomputed attributions do not rank it. On the practical question, reducing the feature set by correlation clustering from 88 to 50 features raises macro F1 from 97.88% to 97.99% and halves per-flow inference latency, so the redundancy was costing both accuracy and speed.</w:t>
      </w:r>
    </w:p>
    <w:p>
      <w:r>
        <w:rPr>
          <w:b/>
        </w:rPr>
        <w:t xml:space="preserve">Author action: </w:t>
      </w:r>
      <w:r>
        <w:t>Added collinearity diagnostics, identified the constant features, corrected the attribution ranking, and added a feature-reduction study showing the reduced set dominates the full one.</w:t>
      </w:r>
      <w:r>
        <w:rPr>
          <w:b/>
        </w:rPr>
        <w:t xml:space="preserve">  Location in the revised manuscript: </w:t>
      </w:r>
      <w:r>
        <w:t>Sec. VII-D (Feature-set audit), Sec. VII-F, Table 9</w:t>
      </w:r>
    </w:p>
    <w:p/>
    <w:p>
      <w:r>
        <w:rPr>
          <w:b/>
        </w:rPr>
        <w:t xml:space="preserve">Reviewer#6, Concern # 7: </w:t>
      </w:r>
      <w:r>
        <w:t>The detection threshold τ=0.7 is selected based on a sweep that claims "zero FNR below τ=0.5", but in highly imbalanced datasets, FNR is misleading; the focus must be on the Precision-Recall curve.</w:t>
      </w:r>
    </w:p>
    <w:p>
      <w:r>
        <w:rPr>
          <w:b/>
        </w:rPr>
        <w:t xml:space="preserve">Author response: </w:t>
      </w:r>
      <w:r>
        <w:t>Agreed, and acting on it revealed a deeper problem with the corpus. All threshold analysis now uses the precision-recall plane, with average precision reported alongside ROC-AUC and the chance baseline stated explicitly, because at 97.2% positive prevalence a classifier drawing at random scores AP 0.97 while ROC-AUC stays at 0.5. Threshold selection is performed on a validation block carved chronologically from the training partition, never on test data. What that exposed is that the validation block contains only 60 benign flows, because benign traffic in this capture is concentrated almost entirely at the end of the recording. Sixty negatives cannot support a stable threshold estimate, and we say so rather than presenting the selected value as tuned. The selected threshold is reported, the test operating point is reported once, and the underlying limitation is documented.</w:t>
      </w:r>
    </w:p>
    <w:p>
      <w:r>
        <w:rPr>
          <w:b/>
        </w:rPr>
        <w:t xml:space="preserve">Author action: </w:t>
      </w:r>
      <w:r>
        <w:t>Replaced the FNR-based sweep with precision-recall analysis, moved selection to a validation block, and documented why the corpus cannot support reliable threshold tuning.</w:t>
      </w:r>
      <w:r>
        <w:rPr>
          <w:b/>
        </w:rPr>
        <w:t xml:space="preserve">  Location in the revised manuscript: </w:t>
      </w:r>
      <w:r>
        <w:t>Sec. IV-C, Sec. VII-G (Threshold selection on the precision-recall plane), Sec. VI-B</w:t>
      </w:r>
    </w:p>
    <w:p/>
    <w:p>
      <w:r>
        <w:rPr>
          <w:b/>
        </w:rPr>
        <w:t xml:space="preserve">Reviewer#6, Concern # 8: </w:t>
      </w:r>
      <w:r>
        <w:t>Removing the top 3 SHAP features and observing a mere 0.001% drop in accuracy (Section VIII.C) does not prove robustness against leakage; it merely confirms that the remaining 85 features contain enough redundant information to achieve the same trivial separation on this specific dataset.</w:t>
      </w:r>
    </w:p>
    <w:p>
      <w:r>
        <w:rPr>
          <w:b/>
        </w:rPr>
        <w:t xml:space="preserve">Author response: </w:t>
      </w:r>
      <w:r>
        <w:t>The reviewer's alternative explanation is the correct one, and we tested it directly rather than defending the original claim. Removing the top three features changes macro F1 from 97.88% to 97.89%. Removing the top five, which is the entire objectively flagged suspect set, gives 97.94%. Removing the top ten gives 98.69%, better than the full feature set. The redundancy is exactly as deep as the reviewer suspected, and the collinearity diagnostics quantify why: 55 of 76 non-constant features have VIF above 10. We now state the negative conclusion in the text: feature-removal ablation on this corpus cannot establish that the model has learned attack behavior, because the information is distributed too widely for any small removal to be informative. The claim that the ablation demonstrated robustness has been withdrawn.</w:t>
      </w:r>
    </w:p>
    <w:p>
      <w:r>
        <w:rPr>
          <w:b/>
        </w:rPr>
        <w:t xml:space="preserve">Author action: </w:t>
      </w:r>
      <w:r>
        <w:t>Extended the ablation through the full suspect set with confidence intervals, added the collinearity analysis that explains the result, and withdrew the robustness claim.</w:t>
      </w:r>
      <w:r>
        <w:rPr>
          <w:b/>
        </w:rPr>
        <w:t xml:space="preserve">  Location in the revised manuscript: </w:t>
      </w:r>
      <w:r>
        <w:t>Sec. VII-D, Table 8, Sec. VII-F, Sec. IX-D</w:t>
      </w:r>
    </w:p>
    <w:p/>
    <w:p/>
    <w:p>
      <w:r>
        <w:rPr>
          <w:b/>
          <w:sz w:val="26"/>
        </w:rPr>
        <w:t>Reviewer #7</w:t>
      </w:r>
    </w:p>
    <w:p>
      <w:r>
        <w:t>We thank Reviewer 7 for a concise review that identified several real weaknesses. The questions about novelty, feature detail and evaluation protocol were fair, and answering them properly reshaped the contributions we claim.</w:t>
      </w:r>
    </w:p>
    <w:p>
      <w:r>
        <w:rPr>
          <w:b/>
        </w:rPr>
        <w:t xml:space="preserve">Reviewer#7, Concern # 1: </w:t>
      </w:r>
      <w:r>
        <w:t>The novelty beyond combining entropy features, Random Forest, and TreeSHAP is unclear.</w:t>
      </w:r>
    </w:p>
    <w:p>
      <w:r>
        <w:rPr>
          <w:b/>
        </w:rPr>
        <w:t xml:space="preserve">Author response: </w:t>
      </w:r>
      <w:r>
        <w:t>The reviewer is right that entropy features, a Random Forest and TreeSHAP are individually standard, and the revision no longer claims otherwise. What we argue is novel is the operational accounting around them, and the revision makes each element concrete and measurable rather than asserted. The streaming entropy engine is characterized rather than asserted: its complexity is stated as expected amortised constant time under named data-structure assumptions, and its floating-point drift is measured over 12 million updates and converted into the number of classifier decisions it changes, which is zero. The explanation trigger is defined as a numbered condition including a budget term, and we measure the throughput collapse that attributing every positive prediction causes and the throughput three mitigations recover, producing a coverage-versus-throughput frontier an operator can select from. The control-plane cost is measured inside a running controller rather than extrapolated from offline inference, including the rate at which a single controller saturates and the flow-rule aggregation needed to keep a bounded TCAM from overflowing. To our knowledge no prior SDN DDoS detector reports the second or third of these. We also now state plainly what we do not claim, including that the entropy augmentation does not improve in-distribution accuracy on this corpus.</w:t>
      </w:r>
    </w:p>
    <w:p>
      <w:r>
        <w:rPr>
          <w:b/>
        </w:rPr>
        <w:t xml:space="preserve">Author action: </w:t>
      </w:r>
      <w:r>
        <w:t>Rewrote the contributions as four measurable claims, added a positioning table with the axes on which the work differs, and added an explicit non-dominance statement.</w:t>
      </w:r>
      <w:r>
        <w:rPr>
          <w:b/>
        </w:rPr>
        <w:t xml:space="preserve">  Location in the revised manuscript: </w:t>
      </w:r>
      <w:r>
        <w:t>Sec. I (contributions), Table 2, Sec. II-E</w:t>
      </w:r>
    </w:p>
    <w:p/>
    <w:p>
      <w:r>
        <w:rPr>
          <w:b/>
        </w:rPr>
        <w:t xml:space="preserve">Reviewer#7, Concern # 2: </w:t>
      </w:r>
      <w:r>
        <w:t>Input features and entropy calculations lack detail, particularly TTL data and binning methods.</w:t>
      </w:r>
    </w:p>
    <w:p>
      <w:r>
        <w:rPr>
          <w:b/>
        </w:rPr>
        <w:t xml:space="preserve">Author response: </w:t>
      </w:r>
      <w:r>
        <w:t>Following this up led us to a defect in our own pipeline, and we are glad the reviewer pressed on it. CICFlowMeter flow records contain no TTL field, and our feature extractor supplied a constant value of 64 for every flow. The TTL entropy feature was therefore identically zero across all 3,590,794 flows, with a standard deviation of 7.2e-18 and a single-feature AUC of 0.500021, which is chance. It contributed nothing to any result in the submitted paper. We have replaced it with source-port entropy, which is exported by CICFlowMeter, is non-degenerate, and is directly relevant to floods that randomize source ports. On the same measurements it reaches a single-feature AUC of 0.9876 and carries the highest mutual information of any entropy feature. The dimensionality of the representation is unchanged and all results have been recomputed. On binning, the revision now gives a table specifying, for each of the eight entropy features, the exact source field, the transformation and the bin width. We also state two things the earlier version left implicit: packet-length and inter-arrival entropy are computed over per-flow means rather than per-packet distributions, because the mean is what the exporter reports, and the flag entropy summarizes SYN counts rather than a full TCP flag bitmask.</w:t>
      </w:r>
    </w:p>
    <w:p>
      <w:r>
        <w:rPr>
          <w:b/>
        </w:rPr>
        <w:t xml:space="preserve">Author action: </w:t>
      </w:r>
      <w:r>
        <w:t>Replaced the defective feature, added the complete feature specification table, corrected Eq. (7), and recomputed every affected result.</w:t>
      </w:r>
      <w:r>
        <w:rPr>
          <w:b/>
        </w:rPr>
        <w:t xml:space="preserve">  Location in the revised manuscript: </w:t>
      </w:r>
      <w:r>
        <w:t>Sec. V-A, Table 4 (feature specification), Eq. (7); disclosed in Sec. VI-A</w:t>
      </w:r>
    </w:p>
    <w:p/>
    <w:p>
      <w:r>
        <w:rPr>
          <w:b/>
        </w:rPr>
        <w:t xml:space="preserve">Reviewer#7, Concern # 3: </w:t>
      </w:r>
      <w:r>
        <w:t>Rolling-window handling is unclear, and Figure 2 contains an unresolved equation reference.</w:t>
      </w:r>
    </w:p>
    <w:p>
      <w:r>
        <w:rPr>
          <w:b/>
        </w:rPr>
        <w:t xml:space="preserve">Author response: </w:t>
      </w:r>
      <w:r>
        <w:t>Thank you for both of these, which were reasonable things to ask of the earlier draft. Both points are addressed. On the window, Sec. V-B now specifies the data structures, the admit and evict semantics, what happens during warm-up before the buffer fills, and the fact that each partition is processed with a freshly initialized window so that state cannot cross a partition boundary. On the equation reference, the broken marker was rendered inside the figure graphic rather than in the manuscript body, which is why it survived the earlier proof. The figure has been rebuilt and the reference now resolves.</w:t>
      </w:r>
    </w:p>
    <w:p>
      <w:r>
        <w:rPr>
          <w:b/>
        </w:rPr>
        <w:t xml:space="preserve">Author action: </w:t>
      </w:r>
      <w:r>
        <w:t>Added Sec. V-B on window maintenance and rebuilt Fig. 2 so the equation reference resolves.</w:t>
      </w:r>
      <w:r>
        <w:rPr>
          <w:b/>
        </w:rPr>
        <w:t xml:space="preserve">  Location in the revised manuscript: </w:t>
      </w:r>
      <w:r>
        <w:t>Sec. V-B and Fig. 2</w:t>
      </w:r>
    </w:p>
    <w:p/>
    <w:p>
      <w:r>
        <w:rPr>
          <w:b/>
        </w:rPr>
        <w:t xml:space="preserve">Reviewer#7, Concern # 4: </w:t>
      </w:r>
      <w:r>
        <w:t>Testing only SYN-flood traffic provides limited evidence of generalization.</w:t>
      </w:r>
    </w:p>
    <w:p>
      <w:r>
        <w:rPr>
          <w:b/>
        </w:rPr>
        <w:t xml:space="preserve">Author response: </w:t>
      </w:r>
      <w:r>
        <w:t>We agree, and we are grateful for the comment, because the evidence it produced is more informative than a simple confirmation would have been. The revision evaluates the detector on four further attack vectors from the same corpus, on a second capture day, and on two independent datasets, and it reports the failures alongside the successes. Within the capture, transfer to other reflection and amplification vectors is strong. Trained on SYN alone and tested zero-shot, the detector reaches macro F1 0.9692 on LDAP, 0.9566 on NetBIOS and 0.9896 on Portmap. Leave-one-vector-out training gives 0.9663, 0.9734 and 0.9709 on the same three vectors. Transfer in the other direction is weaker: training on LDAP, NetBIOS and Portmap and testing on SYN gives macro F1 0.6966 with a false-negative rate of 6.93 percent. Across capture days the picture is worse and we report it plainly. Trained on the 03-11 SYN partition and tested on the 01-12 SYN partition, macro F1 falls to 0.4995, although the false-negative rate remains 3.47 percent; the collapse is driven by the benign class, of which the 01-12 partition contains only 356 flows, and we say so rather than presenting the headline number without its cause. Across datasets the detector does not transfer at all. Zero-shot macro F1 is 0.6026 on InSDN and 0.2788 on CIC-IDS2017, the latter with a false-negative rate of 98.13 percent. The text states that this is a negative result, that a model trained on one corpus should not be deployed on another without retraining, and that the generalization claims of the submitted version were not supported. Every figure above carries a bootstrap confidence interval on the error rates.</w:t>
      </w:r>
    </w:p>
    <w:p>
      <w:r>
        <w:rPr>
          <w:b/>
        </w:rPr>
        <w:t xml:space="preserve">Author action: </w:t>
      </w:r>
      <w:r>
        <w:t>Added a cross-vector and cross-day evaluation covering four vectors and two capture days, and a cross-dataset evaluation on InSDN and CIC-IDS2017 under zero-shot, in-distribution and joint-training conditions, reporting the transfer failures explicitly and revising the generalization claims accordingly.</w:t>
      </w:r>
      <w:r>
        <w:rPr>
          <w:b/>
        </w:rPr>
        <w:t xml:space="preserve">  Location in the revised manuscript: </w:t>
      </w:r>
      <w:r>
        <w:t>Sec. VII-I (Cross-vector and cross-day transfer); Sec. VII-J (Cross-dataset validation); Sec. IX (Limitations)</w:t>
      </w:r>
    </w:p>
    <w:p/>
    <w:p>
      <w:r>
        <w:rPr>
          <w:b/>
        </w:rPr>
        <w:t xml:space="preserve">Reviewer#7, Concern # 5: </w:t>
      </w:r>
      <w:r>
        <w:t>The SHAP analysis lacks individual alert examples demonstrating practical usefulness.</w:t>
      </w:r>
    </w:p>
    <w:p>
      <w:r>
        <w:rPr>
          <w:b/>
        </w:rPr>
        <w:t xml:space="preserve">Author response: </w:t>
      </w:r>
      <w:r>
        <w:t>Added. Four cases are drawn from actual test predictions rather than constructed: a true positive, a false positive, a false negative, and the flow whose score sits closest to the decision threshold. Each is presented the way an operator receives it, with the score, the decision, the signed TreeSHAP contributions and the feature values that produced them, and a short narrative stating what the evidence supports. The false positive is the case that justifies the mechanism, since the attribution shows which features misled the model and gives the analyst something to dismiss the alert on other than intuition. The borderline case makes the same point in the region where an unexplained decision is least defensible.</w:t>
      </w:r>
    </w:p>
    <w:p>
      <w:r>
        <w:rPr>
          <w:b/>
        </w:rPr>
        <w:t xml:space="preserve">Author action: </w:t>
      </w:r>
      <w:r>
        <w:t>Added a case-study subsection with four real alerts, a table of signed attributions, and a waterfall figure.</w:t>
      </w:r>
      <w:r>
        <w:rPr>
          <w:b/>
        </w:rPr>
        <w:t xml:space="preserve">  Location in the revised manuscript: </w:t>
      </w:r>
      <w:r>
        <w:t>Sec. VII-M (Individual alert case studies), Table 14, Fig. 8</w:t>
      </w:r>
    </w:p>
    <w:p/>
    <w:p>
      <w:r>
        <w:rPr>
          <w:b/>
        </w:rPr>
        <w:t xml:space="preserve">Reviewer#7, Concern # 6: </w:t>
      </w:r>
      <w:r>
        <w:t>Baseline ROC curves are missing, and Figure 6 does not match its caption.</w:t>
      </w:r>
    </w:p>
    <w:p>
      <w:r>
        <w:rPr>
          <w:b/>
        </w:rPr>
        <w:t xml:space="preserve">Author response: </w:t>
      </w:r>
      <w:r>
        <w:t>Both observations are correct, and checking the second one carefully showed it was worse than described.</w:t>
        <w:br/>
        <w:br/>
        <w:t>On the missing curves: the submitted Section VI-E discussed ROC behavior for the baselines without presenting a single curve. The revision adds them for every method, measured by us on the full chronological test partition, and pairs each ROC curve with a precision-recall curve on the same axes. The pairing is the substance rather than a convention. At 97.17 percent positive prevalence a classifier predicting at random attains average precision equal to that prevalence, so the majority baseline sits at AP 0.9717 with ROC-AUC 0.5000, and the gap between a model's two numbers measures how much the imbalance flatters its ROC curve. The decision tree makes the point sharply: ROC-AUC 0.6075 reads as though the model were doing something, while its average precision of 0.9777 is six thousandths above chance. Logistic regression is within 0.0014 of chance. Only the precision-recall panel reveals this. Our detector reaches ROC-AUC 0.999728 with a bootstrap interval of [0.99970, 0.99975] and average precision 0.999992.</w:t>
        <w:br/>
        <w:br/>
        <w:t>On the caption mismatch: the caption of the figure in question stated "Left: ROC curve and FPR vs. threshold", but the panel contains no ROC curve. It plots accuracy against threshold on one axis and false positive rate on the other. The caption further claimed zero false negatives below a threshold of 0.5 and zero false positives at 0.9, neither of which the figure shows, and stated that accuracy remains at 100 percent across window sizes when the axis is labelled 99.998 percent plus an offset. The threshold symbol also rendered as the literal string "au" in both axis labels, because the mathematics delimiters had been lost in the figure source, which is the same defect Reviewer 1 identified in the Figure 2 graphic.</w:t>
        <w:br/>
        <w:br/>
        <w:t>We have not repaired that figure. The sweep it reported was measured under the stratified random split that Section VII-A corrects, so it is not comparable with anything else in the revision, and we do not carry it over. The hyperparameter section now states which of the two hyperparameters was selected, where it was selected, and that the entropy window length was fixed before any evaluation and never tuned, together with the reason a sweep on this corpus would be fitted to noise. We would rather report the absence of a sweep than reprint one produced under a protocol we have withdrawn.</w:t>
      </w:r>
    </w:p>
    <w:p>
      <w:r>
        <w:rPr>
          <w:b/>
        </w:rPr>
        <w:t xml:space="preserve">Author action: </w:t>
      </w:r>
      <w:r>
        <w:t>Added ROC and precision-recall curves for every method on the full chronological partition, with bootstrap intervals and the chance average-precision baseline marked. Removed the mislabelled sensitivity figure rather than recaptioning it, and rewrote the hyperparameter section to state what was selected, where, and what was not tuned.</w:t>
      </w:r>
      <w:r>
        <w:rPr>
          <w:b/>
        </w:rPr>
        <w:t xml:space="preserve">  Location in the revised manuscript: </w:t>
      </w:r>
      <w:r>
        <w:t>Sec. VII-N (ROC and precision-recall curves) and its figure; Sec. VII-O (Hyperparameter sensitivity); the former Fig. 6 has been removed</w:t>
      </w:r>
    </w:p>
    <w:p/>
    <w:p>
      <w:r>
        <w:rPr>
          <w:b/>
        </w:rPr>
        <w:t xml:space="preserve">Reviewer#7, Concern # 7: </w:t>
      </w:r>
      <w:r>
        <w:t>Table 9 compares different tasks and protocols, weakening the claim of superiority.</w:t>
      </w:r>
    </w:p>
    <w:p>
      <w:r>
        <w:rPr>
          <w:b/>
        </w:rPr>
        <w:t xml:space="preserve">Author response: </w:t>
      </w:r>
      <w:r>
        <w:t>This is the same concern as Reviewer 2's third comment and has the same resolution. The table is now explicitly contextual, with task and protocol stated per row and a caption that disclaims comparability. Both of our own protocols appear so the reader can see that the protocol difference moves our own macro F1 by more than two points, which is larger than the differences between rows the table was previously used to interpret as a ranking.</w:t>
      </w:r>
    </w:p>
    <w:p>
      <w:r>
        <w:rPr>
          <w:b/>
        </w:rPr>
        <w:t xml:space="preserve">Author action: </w:t>
      </w:r>
      <w:r>
        <w:t>See the action recorded for Reviewer 2, Concern 3. The table, caption and surrounding text were rewritten together.</w:t>
      </w:r>
      <w:r>
        <w:rPr>
          <w:b/>
        </w:rPr>
        <w:t xml:space="preserve">  Location in the revised manuscript: </w:t>
      </w:r>
      <w:r>
        <w:t>Sec. VIII-D and Table 13</w:t>
      </w:r>
    </w:p>
    <w:p/>
    <w:p>
      <w:r>
        <w:rPr>
          <w:b/>
        </w:rPr>
        <w:t xml:space="preserve">Reviewer#7, Concern # 8: </w:t>
      </w:r>
      <w:r>
        <w:t>Data splitting, cross-validation, and separation of tuning from testing are insufficiently documented.</w:t>
      </w:r>
    </w:p>
    <w:p>
      <w:r>
        <w:rPr>
          <w:b/>
        </w:rPr>
        <w:t xml:space="preserve">Author response: </w:t>
      </w:r>
      <w:r>
        <w:t>This comment led to the most consequential correction in the revision, and we would rather state it plainly than bury it. The submitted manuscript described a temporal split in which all training flows precede all test flows. The reported figures were produced by a stratified random split. We established this three ways: the reported test class counts of 9,311 and 1,068,487 are exactly 30% of each class, which a stratified split produces by construction; re-running the stratified split reproduces the published macro F1 to within 0.016 points; and the released code calls train_test_split with stratification after sorting by timestamp, so the sort is performed and the ordering then discarded. Under a genuine chronological split, macro F1 is 97.85% rather than 99.96%. The revision adopts the chronological protocol as primary, reports the stratified result beside it, and quantifies the gap. Documentation has been added throughout: split definitions, a validation block used for all tuning, nested cross-validation with forward-chaining outer folds, and an explicit statement that the test partition is read once. We also report that hyperparameter selection is unstable on this corpus, choosing five different configurations across five outer folds.</w:t>
      </w:r>
    </w:p>
    <w:p>
      <w:r>
        <w:rPr>
          <w:b/>
        </w:rPr>
        <w:t xml:space="preserve">Author action: </w:t>
      </w:r>
      <w:r>
        <w:t>Corrected the protocol, reported both splits, added a protocol subsection, ran nested cross-validation with forward-chaining folds, and documented the tuning and test separation.</w:t>
      </w:r>
      <w:r>
        <w:rPr>
          <w:b/>
        </w:rPr>
        <w:t xml:space="preserve">  Location in the revised manuscript: </w:t>
      </w:r>
      <w:r>
        <w:t>Sec. VI-B (Evaluation protocol), Sec. VII-B, Table 6, Sec. VII-I</w:t>
      </w:r>
    </w:p>
    <w:p/>
    <w:p>
      <w:r>
        <w:t>Note: References suggested by reviewers were evaluated for relevance to this</w:t>
        <w:br/>
        <w:t>article. Those that strengthen the work have been added and are discussed in the</w:t>
        <w:br/>
        <w:t>text rather than merely cited; where a suggested reference did not bear on a</w:t>
        <w:br/>
        <w:t>specific argument, it was not added, in line with the Editor's guidance.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