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0850-620, Spring 2017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bookmarkStart w:id="22" w:name="spring-2017-studio-hackers"/>
    <w:p>
      <w:pPr>
        <w:pStyle w:val="Heading2"/>
      </w:pPr>
      <w:r>
        <w:t xml:space="preserve">Spring 2017 Studio: Hackers</w:t>
      </w:r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bookmarkEnd w:id="22"/>
    <w:bookmarkStart w:id="23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bookmarkEnd w:id="23"/>
    <w:bookmarkStart w:id="24" w:name="recommended-books"/>
    <w:p>
      <w:pPr>
        <w:pStyle w:val="Heading2"/>
      </w:pPr>
      <w:r>
        <w:t xml:space="preserve">Recommended Books</w:t>
      </w:r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Cs/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Cs/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Cs/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Cs/>
          <w:i/>
        </w:rPr>
        <w:t xml:space="preserve">@War</w:t>
      </w:r>
      <w:r>
        <w:rPr>
          <w:iCs/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Cs/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Cs/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Cs/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Cs/>
          <w:i/>
        </w:rPr>
        <w:t xml:space="preserve">The Craft of System Security</w:t>
      </w:r>
      <w:r>
        <w:t xml:space="preserve">. Upper Saddle River, NJ: Addison-Wesley Professional.</w:t>
      </w:r>
    </w:p>
    <w:bookmarkEnd w:id="24"/>
    <w:bookmarkStart w:id="32" w:name="Xeba3c2f3420c339c3ff5bf9459ba3741edb2a9a"/>
    <w:p>
      <w:pPr>
        <w:pStyle w:val="Heading2"/>
      </w:pPr>
      <w:r>
        <w:t xml:space="preserve">Online resources for information security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Security in a Box</w:t>
        </w:r>
      </w:hyperlink>
    </w:p>
    <w:bookmarkEnd w:id="32"/>
    <w:bookmarkStart w:id="33" w:name="class-meetings"/>
    <w:p>
      <w:pPr>
        <w:pStyle w:val="Heading2"/>
      </w:pPr>
      <w:r>
        <w:t xml:space="preserve">Class meetings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bookmarkEnd w:id="33"/>
    <w:bookmarkStart w:id="43" w:name="assignments"/>
    <w:p>
      <w:pPr>
        <w:pStyle w:val="Heading2"/>
      </w:pPr>
      <w:r>
        <w:t xml:space="preserve">Assignments</w:t>
      </w:r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Cs/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Cs/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bookmarkStart w:id="34" w:name="grading-due-dates"/>
    <w:p>
      <w:pPr>
        <w:pStyle w:val="Heading3"/>
      </w:pPr>
      <w:r>
        <w:t xml:space="preserve">Grading &amp; due dates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bookmarkEnd w:id="34"/>
    <w:bookmarkStart w:id="35" w:name="briefings"/>
    <w:p>
      <w:pPr>
        <w:pStyle w:val="Heading3"/>
      </w:pPr>
      <w:r>
        <w:t xml:space="preserve">Briefings</w:t>
      </w:r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bookmarkEnd w:id="35"/>
    <w:bookmarkStart w:id="36" w:name="book-talk"/>
    <w:p>
      <w:pPr>
        <w:pStyle w:val="Heading3"/>
      </w:pPr>
      <w:r>
        <w:t xml:space="preserve">Book talk</w:t>
      </w:r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Cs/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Cs/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bookmarkEnd w:id="36"/>
    <w:bookmarkStart w:id="37" w:name="pitch"/>
    <w:p>
      <w:pPr>
        <w:pStyle w:val="Heading3"/>
      </w:pPr>
      <w:r>
        <w:t xml:space="preserve">Pitch</w:t>
      </w:r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bookmarkEnd w:id="37"/>
    <w:bookmarkStart w:id="42" w:name="midpoint-and-final-evaluation-criteria"/>
    <w:p>
      <w:pPr>
        <w:pStyle w:val="Heading3"/>
      </w:pPr>
      <w:r>
        <w:t xml:space="preserve">Midpoint and Final Evaluation Criteria</w:t>
      </w:r>
    </w:p>
    <w:p>
      <w:pPr>
        <w:pStyle w:val="FirstParagraph"/>
      </w:pPr>
      <w:r>
        <w:rPr>
          <w:iCs/>
          <w:i/>
        </w:rPr>
        <w:t xml:space="preserve">Refer to these criteria for the evaluation of your multimedia project.</w:t>
      </w:r>
    </w:p>
    <w:bookmarkStart w:id="38" w:name="originality-innovation"/>
    <w:p>
      <w:pPr>
        <w:pStyle w:val="Heading4"/>
      </w:pPr>
      <w:r>
        <w:t xml:space="preserve">Originality &amp; innovation</w:t>
      </w:r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Cs/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bookmarkEnd w:id="38"/>
    <w:bookmarkStart w:id="39" w:name="design"/>
    <w:p>
      <w:pPr>
        <w:pStyle w:val="Heading4"/>
      </w:pPr>
      <w:r>
        <w:t xml:space="preserve">Design</w:t>
      </w:r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bookmarkEnd w:id="39"/>
    <w:bookmarkStart w:id="40" w:name="technique"/>
    <w:p>
      <w:pPr>
        <w:pStyle w:val="Heading4"/>
      </w:pPr>
      <w:r>
        <w:t xml:space="preserve">Technique</w:t>
      </w:r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bookmarkEnd w:id="40"/>
    <w:bookmarkStart w:id="41" w:name="learning-science"/>
    <w:p>
      <w:pPr>
        <w:pStyle w:val="Heading4"/>
      </w:pPr>
      <w:r>
        <w:t xml:space="preserve">Learning science</w:t>
      </w:r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1" Target="https://securityinabox.org/en/" TargetMode="External" /><Relationship Type="http://schemas.openxmlformats.org/officeDocument/2006/relationships/hyperlink" Id="rId30" Target="https://www.cryptoparty.in/index" TargetMode="External" /><Relationship Type="http://schemas.openxmlformats.org/officeDocument/2006/relationships/hyperlink" Id="rId29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7" Target="https://www.theatlantic.com/technology/" TargetMode="External" /><Relationship Type="http://schemas.openxmlformats.org/officeDocument/2006/relationships/hyperlink" Id="rId26" Target="https://www.wired.com/category/security/" TargetMode="External" /><Relationship Type="http://schemas.openxmlformats.org/officeDocument/2006/relationships/hyperlink" Id="rId25" Target="https://www.wired.com/category/threatlev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1" Target="https://securityinabox.org/en/" TargetMode="External" /><Relationship Type="http://schemas.openxmlformats.org/officeDocument/2006/relationships/hyperlink" Id="rId30" Target="https://www.cryptoparty.in/index" TargetMode="External" /><Relationship Type="http://schemas.openxmlformats.org/officeDocument/2006/relationships/hyperlink" Id="rId29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7" Target="https://www.theatlantic.com/technology/" TargetMode="External" /><Relationship Type="http://schemas.openxmlformats.org/officeDocument/2006/relationships/hyperlink" Id="rId26" Target="https://www.wired.com/category/security/" TargetMode="External" /><Relationship Type="http://schemas.openxmlformats.org/officeDocument/2006/relationships/hyperlink" Id="rId25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2023-08-29T18:19:36Z</dcterms:created>
  <dcterms:modified xsi:type="dcterms:W3CDTF">2023-08-29T18:19:36Z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