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Computer Science 0145-602, Fall 2019</w:t>
      </w:r>
    </w:p>
    <w:p>
      <w:pPr>
        <w:pStyle w:val="BodyText"/>
      </w:pPr>
      <w:r>
        <w:rPr>
          <w:bCs/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Cs/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Cs/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Thursday 4:30-6:20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Cs/>
          <w:i/>
        </w:rPr>
        <w:t xml:space="preserve">fully online</w:t>
      </w:r>
    </w:p>
    <w:p>
      <w:pPr>
        <w:pStyle w:val="FirstParagraph"/>
      </w:pPr>
      <w:r>
        <w:rPr>
          <w:bCs/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Cs/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2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office hours by appointment</w:t>
      </w:r>
    </w:p>
    <w:bookmarkStart w:id="22" w:name="learning-goals"/>
    <w:p>
      <w:pPr>
        <w:pStyle w:val="Heading1"/>
      </w:pPr>
      <w:r>
        <w:t xml:space="preserve">Learning Goals</w:t>
      </w:r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bookmarkEnd w:id="22"/>
    <w:bookmarkStart w:id="24" w:name="required-books"/>
    <w:p>
      <w:pPr>
        <w:pStyle w:val="Heading1"/>
      </w:pPr>
      <w:r>
        <w:t xml:space="preserve">Required Books</w:t>
      </w:r>
    </w:p>
    <w:p>
      <w:pPr>
        <w:numPr>
          <w:ilvl w:val="0"/>
          <w:numId w:val="1004"/>
        </w:numPr>
        <w:pStyle w:val="Compact"/>
      </w:pPr>
      <w:hyperlink r:id="rId23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bookmarkEnd w:id="24"/>
    <w:bookmarkStart w:id="28" w:name="required-softwareonline-accounts"/>
    <w:p>
      <w:pPr>
        <w:pStyle w:val="Heading1"/>
      </w:pPr>
      <w:r>
        <w:t xml:space="preserve">Required Software/Online Accounts</w:t>
      </w:r>
    </w:p>
    <w:p>
      <w:pPr>
        <w:numPr>
          <w:ilvl w:val="0"/>
          <w:numId w:val="1005"/>
        </w:numPr>
        <w:pStyle w:val="Compact"/>
      </w:pPr>
      <w:r>
        <w:t xml:space="preserve">Software</w:t>
      </w:r>
    </w:p>
    <w:p>
      <w:pPr>
        <w:numPr>
          <w:ilvl w:val="1"/>
          <w:numId w:val="1006"/>
        </w:numPr>
        <w:pStyle w:val="Compact"/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5"/>
        </w:numPr>
        <w:pStyle w:val="Compact"/>
      </w:pPr>
      <w:r>
        <w:t xml:space="preserve">Accounts</w:t>
      </w:r>
    </w:p>
    <w:p>
      <w:pPr>
        <w:numPr>
          <w:ilvl w:val="1"/>
          <w:numId w:val="1007"/>
        </w:numPr>
        <w:pStyle w:val="Compact"/>
      </w:pPr>
      <w:hyperlink r:id="rId26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7"/>
        </w:numPr>
        <w:pStyle w:val="Compact"/>
      </w:pPr>
      <w:hyperlink r:id="rId27">
        <w:r>
          <w:rPr>
            <w:rStyle w:val="Hyperlink"/>
          </w:rPr>
          <w:t xml:space="preserve">AU Ed Tech Slack channel #code</w:t>
        </w:r>
      </w:hyperlink>
    </w:p>
    <w:bookmarkEnd w:id="28"/>
    <w:bookmarkStart w:id="29" w:name="class-sessions"/>
    <w:p>
      <w:pPr>
        <w:pStyle w:val="Heading1"/>
      </w:pPr>
      <w:r>
        <w:t xml:space="preserve">Class Sessions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study!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bookmarkEnd w:id="29"/>
    <w:bookmarkStart w:id="46" w:name="assignments-and-grading"/>
    <w:p>
      <w:pPr>
        <w:pStyle w:val="Heading1"/>
      </w:pPr>
      <w:r>
        <w:t xml:space="preserve">Assignments and Grading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bookmarkStart w:id="30" w:name="labs-50"/>
    <w:p>
      <w:pPr>
        <w:pStyle w:val="Heading2"/>
      </w:pPr>
      <w:r>
        <w:t xml:space="preserve">Labs (50%)</w:t>
      </w:r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bookmarkEnd w:id="30"/>
    <w:bookmarkStart w:id="31" w:name="midterm-25"/>
    <w:p>
      <w:pPr>
        <w:pStyle w:val="Heading2"/>
      </w:pPr>
      <w:r>
        <w:t xml:space="preserve">Midterm (25%)</w:t>
      </w:r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Cs/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bookmarkEnd w:id="31"/>
    <w:bookmarkStart w:id="33" w:name="final-project-25"/>
    <w:p>
      <w:pPr>
        <w:pStyle w:val="Heading2"/>
      </w:pPr>
      <w:r>
        <w:t xml:space="preserve">Final project (25%)</w:t>
      </w:r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2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Cs/>
          <w:b/>
        </w:rPr>
        <w:t xml:space="preserve">The final solution will be scored using the following guide:</w:t>
      </w:r>
    </w:p>
    <w:p>
      <w:pPr>
        <w:pStyle w:val="BodyText"/>
      </w:pPr>
      <w:r>
        <w:rPr>
          <w:bCs/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Cs/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Cs/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Cs/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Cs/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Cs/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Cs/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Cs/>
          <w:i/>
        </w:rPr>
        <w:t xml:space="preserve">All project members will receive the same grade.</w:t>
      </w:r>
    </w:p>
    <w:bookmarkEnd w:id="33"/>
    <w:bookmarkStart w:id="38" w:name="javascript-documentation-and-references"/>
    <w:p>
      <w:pPr>
        <w:pStyle w:val="Heading2"/>
      </w:pPr>
      <w:r>
        <w:t xml:space="preserve">Javascript Documentation and References</w:t>
      </w:r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5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ES6 Lang Spec</w:t>
        </w:r>
      </w:hyperlink>
    </w:p>
    <w:bookmarkEnd w:id="38"/>
    <w:bookmarkStart w:id="45" w:name="books-tutorials"/>
    <w:p>
      <w:pPr>
        <w:pStyle w:val="Heading2"/>
      </w:pPr>
      <w:r>
        <w:t xml:space="preserve">Books &amp; Tutorials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3" Target="https://mcuringa.github.io/think-js/" TargetMode="External" /><Relationship Type="http://schemas.openxmlformats.org/officeDocument/2006/relationships/hyperlink" Id="rId32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3" Target="https://mcuringa.github.io/think-js/" TargetMode="External" /><Relationship Type="http://schemas.openxmlformats.org/officeDocument/2006/relationships/hyperlink" Id="rId32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2023-08-29T18:19:33Z</dcterms:created>
  <dcterms:modified xsi:type="dcterms:W3CDTF">2023-08-29T18:19:33Z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