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1" w:name="instructors"/>
      <w:bookmarkEnd w:id="21"/>
      <w:r>
        <w:t xml:space="preserve">Instructors</w:t>
      </w:r>
    </w:p>
    <w:p>
      <w:pPr>
        <w:pStyle w:val="Compact"/>
        <w:numPr>
          <w:numId w:val="1001"/>
          <w:ilvl w:val="0"/>
        </w:numPr>
      </w:pPr>
      <w:r>
        <w:t xml:space="preserve">Matt Curinga –</w:t>
      </w:r>
      <w:r>
        <w:t xml:space="preserve"> </w:t>
      </w:r>
      <w:hyperlink r:id="rId22">
        <w:r>
          <w:rPr>
            <w:rStyle w:val="Hyperlink"/>
          </w:rPr>
          <w:t xml:space="preserve">mcuringa@adelphi.edu</w:t>
        </w:r>
      </w:hyperlink>
    </w:p>
    <w:p>
      <w:pPr>
        <w:pStyle w:val="Compact"/>
        <w:numPr>
          <w:numId w:val="1001"/>
          <w:ilvl w:val="0"/>
        </w:numPr>
      </w:pPr>
      <w:r>
        <w:t xml:space="preserve">Loreto Dumitrescu –</w:t>
      </w:r>
      <w:r>
        <w:t xml:space="preserve"> </w:t>
      </w:r>
      <w:hyperlink r:id="rId23">
        <w:r>
          <w:rPr>
            <w:rStyle w:val="Hyperlink"/>
          </w:rPr>
          <w:t xml:space="preserve">ldumitrescu@adelphi.edu</w:t>
        </w:r>
      </w:hyperlink>
    </w:p>
    <w:p>
      <w:pPr>
        <w:pStyle w:val="Heading2"/>
      </w:pPr>
      <w:bookmarkStart w:id="24" w:name="software-prerequisites"/>
      <w:bookmarkEnd w:id="24"/>
      <w:r>
        <w:t xml:space="preserve">Software &amp; Prerequisites</w:t>
      </w:r>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5">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6">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7">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8">
        <w:r>
          <w:rPr>
            <w:rStyle w:val="Hyperlink"/>
          </w:rPr>
          <w:t xml:space="preserve">Sign up for a padlet account here.</w:t>
        </w:r>
      </w:hyperlink>
    </w:p>
    <w:p>
      <w:pPr>
        <w:pStyle w:val="Heading2"/>
      </w:pPr>
      <w:bookmarkStart w:id="29" w:name="assignments-grading"/>
      <w:bookmarkEnd w:id="2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30" w:name="participation"/>
      <w:bookmarkEnd w:id="30"/>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1" w:name="scholarly-article-review"/>
      <w:bookmarkEnd w:id="31"/>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2" w:name="instructional-design-challenge"/>
      <w:bookmarkEnd w:id="32"/>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3" w:name="mlearning-unitdesign-plan"/>
      <w:bookmarkEnd w:id="33"/>
      <w:r>
        <w:t xml:space="preserve">mLearning Unit/Design Plan</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4" w:name="bibliography"/>
      <w:bookmarkEnd w:id="34"/>
      <w:r>
        <w:t xml:space="preserve">Bibliography</w:t>
      </w:r>
    </w:p>
    <w:p>
      <w:pPr>
        <w:pStyle w:val="FirstParagraph"/>
      </w:pPr>
      <w:r>
        <w:t xml:space="preserve">Ally, M. (Ed.). (2009).</w:t>
      </w:r>
      <w:r>
        <w:t xml:space="preserve"> </w:t>
      </w:r>
      <w:hyperlink r:id="rId35">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6">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7">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8">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9">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0">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1">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2">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3">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4">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5">
        <w:r>
          <w:rPr>
            <w:rStyle w:val="Hyperlink"/>
          </w:rPr>
          <w:t xml:space="preserve">moodle</w:t>
        </w:r>
      </w:hyperlink>
    </w:p>
    <w:p>
      <w:pPr>
        <w:pStyle w:val="BodyText"/>
      </w:pPr>
      <w:r>
        <w:t xml:space="preserve">Mirzoeff, N. (2011, January 31).</w:t>
      </w:r>
      <w:r>
        <w:t xml:space="preserve"> </w:t>
      </w:r>
      <w:hyperlink r:id="rId46">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7">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8">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9">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0">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1">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2">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3">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4">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5">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6">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7">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8">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9">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0">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1">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2">
        <w:r>
          <w:rPr>
            <w:rStyle w:val="Hyperlink"/>
          </w:rPr>
          <w:t xml:space="preserve">Communities of practice: A brief introduction.</w:t>
        </w:r>
      </w:hyperlink>
    </w:p>
    <w:p>
      <w:pPr>
        <w:pStyle w:val="BodyText"/>
      </w:pPr>
      <w:r>
        <w:t xml:space="preserve">Wishart, J. (2009).</w:t>
      </w:r>
      <w:r>
        <w:t xml:space="preserve"> </w:t>
      </w:r>
      <w:hyperlink r:id="rId63">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025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f935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8927f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6badb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coreProperties>
</file>