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 that mobile technologies can be used for teaching and learning. They will also consider the impact of mobile computing on the field of education as a whole.</w:t>
      </w:r>
    </w:p>
    <w:p>
      <w:pPr>
        <w:pStyle w:val="BodyText"/>
      </w:pPr>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Hyper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 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 your 2 comments on your classmates’ response posts are due every 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 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 every day. You are required to comment on at least two of your peer’s responses each week. Usually you will want to respond to people who engage with you.</w:t>
      </w:r>
    </w:p>
    <w:p>
      <w:pPr>
        <w:pStyle w:val="BodyText"/>
      </w:pPr>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a898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34d2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be3fb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2005cfc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