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1">
        <w:r>
          <w:rPr>
            <w:rStyle w:val="Hyperlink"/>
          </w:rPr>
          <w:t xml:space="preserve">http://mlearnau.tumblr.com</w:t>
        </w:r>
      </w:hyperlink>
    </w:p>
    <w:p>
      <w:pPr>
        <w:pStyle w:val="BodyText"/>
      </w:pPr>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p>
      <w:pPr>
        <w:pStyle w:val="Heading2"/>
      </w:pPr>
      <w:bookmarkStart w:id="25" w:name="goals-objectives"/>
      <w:bookmarkEnd w:id="25"/>
      <w:r>
        <w:t xml:space="preserve">Goals &amp; objectives</w:t>
      </w:r>
    </w:p>
    <w:p>
      <w:pPr>
        <w:pStyle w:val="FirstParagraph"/>
      </w:pPr>
      <w:r>
        <w:t xml:space="preserve">Students taking this course will develop an understanding of the ways that mobile technologies can be used for teaching and learning. They will also consider the impact of mobile computing on the field of education as a whole.</w:t>
      </w:r>
    </w:p>
    <w:p>
      <w:pPr>
        <w:pStyle w:val="BodyText"/>
      </w:pPr>
      <w:r>
        <w:t xml:space="preserve">Students will:</w:t>
      </w:r>
    </w:p>
    <w:p>
      <w:pPr>
        <w:pStyle w:val="Compact"/>
        <w:numPr>
          <w:numId w:val="1001"/>
          <w:ilvl w:val="0"/>
        </w:numPr>
      </w:pPr>
      <w:r>
        <w:t xml:space="preserve">understand basic underlying mobile technologies, and their 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 learning</w:t>
      </w:r>
    </w:p>
    <w:p>
      <w:pPr>
        <w:pStyle w:val="Compact"/>
        <w:numPr>
          <w:numId w:val="1001"/>
          <w:ilvl w:val="0"/>
        </w:numPr>
      </w:pPr>
      <w:r>
        <w:t xml:space="preserve">understand the specific strengths and constraints of mobile 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 places of learning</w:t>
      </w:r>
    </w:p>
    <w:p>
      <w:pPr>
        <w:pStyle w:val="Heading2"/>
      </w:pPr>
      <w:bookmarkStart w:id="26" w:name="course-expectations"/>
      <w:bookmarkEnd w:id="26"/>
      <w:r>
        <w:t xml:space="preserve">Course expectations</w:t>
      </w:r>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7">
        <w:r>
          <w:rPr>
            <w:rStyle w:val="Hyperlink"/>
          </w:rPr>
          <w:t xml:space="preserve">Tumblr</w:t>
        </w:r>
      </w:hyperlink>
      <w:r>
        <w:t xml:space="preserve"> </w:t>
      </w:r>
      <w:r>
        <w:t xml:space="preserve">as our main course website this semester. Here are the basics of how we will use it:</w:t>
      </w:r>
    </w:p>
    <w:p>
      <w:pPr>
        <w:pStyle w:val="Compact"/>
        <w:numPr>
          <w:numId w:val="1004"/>
          <w:ilvl w:val="0"/>
        </w:numPr>
      </w:pPr>
      <w:r>
        <w:t xml:space="preserve">assignments, writing prompts, and other useful information will be posted at</w:t>
      </w:r>
      <w:r>
        <w:t xml:space="preserve"> </w:t>
      </w:r>
      <w:hyperlink r:id="rId21">
        <w:r>
          <w:rPr>
            <w:rStyle w:val="Hyperlink"/>
          </w:rPr>
          <w:t xml:space="preserve">mLearn AU</w:t>
        </w:r>
      </w:hyperlink>
      <w:r>
        <w:t xml:space="preserve"> </w:t>
      </w:r>
      <w:r>
        <w:t xml:space="preserve">&amp;oumdash; the main 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 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 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 devices; some work, though, is better suited to using larger computers</w:t>
      </w:r>
    </w:p>
    <w:p>
      <w:pPr>
        <w:pStyle w:val="Compact"/>
        <w:numPr>
          <w:numId w:val="1004"/>
          <w:ilvl w:val="0"/>
        </w:numPr>
      </w:pPr>
      <w:r>
        <w:t xml:space="preserve">other than reading responses, you should use your blog to post links, 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Hyperlink"/>
          </w:rPr>
          <w:t xml:space="preserve">http://mlearnau.tumblr.com/ask</w:t>
        </w:r>
      </w:hyperlink>
      <w:r>
        <w:t xml:space="preserve"> </w:t>
      </w:r>
      <w:r>
        <w:t xml:space="preserve">or contact the instructor</w:t>
      </w:r>
    </w:p>
    <w:p>
      <w:pPr>
        <w:pStyle w:val="Heading2"/>
      </w:pPr>
      <w:bookmarkStart w:id="29" w:name="weekly-topics"/>
      <w:bookmarkEnd w:id="29"/>
      <w:r>
        <w:t xml:space="preserve">Weekly topics</w:t>
      </w:r>
    </w:p>
    <w:p>
      <w:pPr>
        <w:pStyle w:val="FirstParagraph"/>
      </w:pPr>
      <w:r>
        <w:rPr>
          <w:i/>
        </w:rPr>
        <w:t xml:space="preserve">Readings, prompts for posts, and other assignments are available on the course website’s post for the week.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Style w:val="Compact"/>
          </w:p>
        </w:tc>
        <w:tc>
          <w:p>
            <w:pStyle w:val="Compact"/>
          </w:p>
        </w:tc>
        <w:tc>
          <w:p>
            <w:pPr>
              <w:pStyle w:val="Compact"/>
              <w:jc w:val="left"/>
            </w:pPr>
            <w:r>
              <w:t xml:space="preserve">Final Projects</w:t>
            </w:r>
          </w:p>
        </w:tc>
        <w:tc>
          <w:p>
            <w:pStyle w:val="Compact"/>
          </w:p>
        </w:tc>
        <w:tc>
          <w:p>
            <w:pStyle w:val="Compact"/>
          </w:p>
        </w:tc>
      </w:tr>
    </w:tbl>
    <w:p>
      <w:pPr>
        <w:pStyle w:val="BodyText"/>
      </w:pPr>
      <w:r>
        <w:t xml:space="preserve">Note: Reading response posts are due every Sunday at midnight and your 2 comments on your classmates’ response posts are due every Wednesday at midnight.</w:t>
      </w:r>
    </w:p>
    <w:p>
      <w:pPr>
        <w:pStyle w:val="Heading2"/>
      </w:pPr>
      <w:bookmarkStart w:id="30" w:name="assignments-grading"/>
      <w:bookmarkEnd w:id="30"/>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 website.</w:t>
      </w:r>
    </w:p>
    <w:p>
      <w:pPr>
        <w:pStyle w:val="Heading3"/>
      </w:pPr>
      <w:bookmarkStart w:id="31" w:name="reading-responses"/>
      <w:bookmarkEnd w:id="31"/>
      <w:r>
        <w:t xml:space="preserve">Reading Responses</w:t>
      </w:r>
    </w:p>
    <w:p>
      <w:pPr>
        <w:pStyle w:val="FirstParagraph"/>
      </w:pPr>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 every day. You are required to comment on at least two of your peer’s responses each week. Usually you will want to respond to people who engage with you.</w:t>
      </w:r>
    </w:p>
    <w:p>
      <w:pPr>
        <w:pStyle w:val="BodyText"/>
      </w:pPr>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p>
      <w:pPr>
        <w:pStyle w:val="Heading3"/>
      </w:pPr>
      <w:bookmarkStart w:id="32" w:name="mobile-blog"/>
      <w:bookmarkEnd w:id="32"/>
      <w:r>
        <w:t xml:space="preserve">Mobile Blog</w:t>
      </w:r>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3" w:name="where-im-from"/>
      <w:bookmarkEnd w:id="33"/>
      <w:r>
        <w:t xml:space="preserve">Where I’m from</w:t>
      </w:r>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p>
      <w:pPr>
        <w:pStyle w:val="Heading3"/>
      </w:pPr>
      <w:bookmarkStart w:id="34" w:name="tech-report"/>
      <w:bookmarkEnd w:id="34"/>
      <w:r>
        <w:t xml:space="preserve">Tech Report</w:t>
      </w:r>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5" w:name="mobile-video-interview"/>
      <w:bookmarkEnd w:id="35"/>
      <w:r>
        <w:t xml:space="preserve">Mobile Video Interview</w:t>
      </w:r>
    </w:p>
    <w:p>
      <w:pPr>
        <w:pStyle w:val="FirstParagraph"/>
      </w:pPr>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6" w:name="podcasts"/>
      <w:bookmarkEnd w:id="36"/>
      <w:r>
        <w:t xml:space="preserve">Podcasts</w:t>
      </w:r>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7">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8" w:name="educational-app-review"/>
      <w:bookmarkEnd w:id="38"/>
      <w:r>
        <w:t xml:space="preserve">Educational App Review</w:t>
      </w:r>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9">
        <w:r>
          <w:rPr>
            <w:rStyle w:val="Hyperlink"/>
          </w:rPr>
          <w:t xml:space="preserve">#app-review</w:t>
        </w:r>
      </w:hyperlink>
    </w:p>
    <w:p>
      <w:pPr>
        <w:pStyle w:val="Heading3"/>
      </w:pPr>
      <w:bookmarkStart w:id="40" w:name="final-project"/>
      <w:bookmarkEnd w:id="40"/>
      <w:r>
        <w:t xml:space="preserve">Final project</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41" w:name="course-readings-bibliography"/>
      <w:bookmarkEnd w:id="41"/>
      <w:r>
        <w:t xml:space="preserve">Course Readings &amp; Bibliography</w:t>
      </w:r>
    </w:p>
    <w:p>
      <w:pPr>
        <w:pStyle w:val="FirstParagraph"/>
      </w:pPr>
      <w:r>
        <w:t xml:space="preserve">Ally, M. (Ed.). (2009).</w:t>
      </w:r>
      <w:r>
        <w:t xml:space="preserve"> </w:t>
      </w:r>
      <w:hyperlink r:id="rId42">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3">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4">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5">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6">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7">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8">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9">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50">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51">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Hyperlink"/>
          </w:rPr>
          <w:t xml:space="preserve">moodle</w:t>
        </w:r>
      </w:hyperlink>
    </w:p>
    <w:p>
      <w:pPr>
        <w:pStyle w:val="BodyText"/>
      </w:pPr>
      <w:r>
        <w:t xml:space="preserve">Mirzoeff, N. (2011, January 31).</w:t>
      </w:r>
      <w:r>
        <w:t xml:space="preserve"> </w:t>
      </w:r>
      <w:hyperlink r:id="rId53">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4">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5">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6">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7">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8">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9">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60">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61">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62">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3">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4">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5">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6">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7">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8">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9">
        <w:r>
          <w:rPr>
            <w:rStyle w:val="Hyperlink"/>
          </w:rPr>
          <w:t xml:space="preserve">Communities of practice: A brief introduction.</w:t>
        </w:r>
      </w:hyperlink>
    </w:p>
    <w:p>
      <w:pPr>
        <w:pStyle w:val="BodyText"/>
      </w:pPr>
      <w:r>
        <w:t xml:space="preserve">Wishart, J. (2009).</w:t>
      </w:r>
      <w:r>
        <w:t xml:space="preserve"> </w:t>
      </w:r>
      <w:hyperlink r:id="rId70">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c271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625e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a6fa4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27500a6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