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pair"/>
      <w:r>
        <w:t xml:space="preserve">Session leader (pair)</w:t>
      </w:r>
      <w:bookmarkEnd w:id="26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-solo"/>
      <w:r>
        <w:t xml:space="preserve">Reading Responses (solo)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odcast-pair"/>
      <w:r>
        <w:t xml:space="preserve">Tech Report Podcast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app-inventor-app-team"/>
      <w:r>
        <w:t xml:space="preserve">App Inventor app (team)</w:t>
      </w:r>
      <w:bookmarkEnd w:id="29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1" w:name="mini-literature-review-solo"/>
      <w:r>
        <w:t xml:space="preserve">Mini literature review (solo)</w:t>
      </w:r>
      <w:bookmarkEnd w:id="31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4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37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38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9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0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1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2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3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44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5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6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5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5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5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6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6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3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4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5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6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7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68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9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2" Target="http://firstmonday.org/htbin/cgiwrap/bin/ojs/index.php/fm/article/viewArticle/2762/2504" TargetMode="External" /><Relationship Type="http://schemas.openxmlformats.org/officeDocument/2006/relationships/hyperlink" Id="rId39" Target="http://ijoc.org/ojs/index.php/ijoc/article/download/46/35" TargetMode="External" /><Relationship Type="http://schemas.openxmlformats.org/officeDocument/2006/relationships/hyperlink" Id="rId62" Target="http://itidjournal.org/itid/article/view/614/254" TargetMode="External" /><Relationship Type="http://schemas.openxmlformats.org/officeDocument/2006/relationships/hyperlink" Id="rId59" Target="http://jhauge.tie.wikispaces.net/file/view/ISTE.pdf" TargetMode="External" /><Relationship Type="http://schemas.openxmlformats.org/officeDocument/2006/relationships/hyperlink" Id="rId40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7" Target="http://nicholasmirzoeff.com/RTL/?p=32" TargetMode="External" /><Relationship Type="http://schemas.openxmlformats.org/officeDocument/2006/relationships/hyperlink" Id="rId61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64" Target="http://uxdesign.smashingmagazine.com/2012/03/12/dads-plea-developers-ipad-apps-children/" TargetMode="External" /><Relationship Type="http://schemas.openxmlformats.org/officeDocument/2006/relationships/hyperlink" Id="rId63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7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6" Target="http://www.ewenger.com/theory/" TargetMode="External" /><Relationship Type="http://schemas.openxmlformats.org/officeDocument/2006/relationships/hyperlink" Id="rId41" Target="http://www.locusmag.com/Perspectives/2011/05/cory-doctorow-techno-optimism/" TargetMode="External" /><Relationship Type="http://schemas.openxmlformats.org/officeDocument/2006/relationships/hyperlink" Id="rId45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3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5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4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34" Target="https://developer.apple.com/design/human-interface-guidelines/" TargetMode="External" /><Relationship Type="http://schemas.openxmlformats.org/officeDocument/2006/relationships/hyperlink" Id="rId37" Target="https://doi.org/10.1016/j.chb.2014.04.018" TargetMode="External" /><Relationship Type="http://schemas.openxmlformats.org/officeDocument/2006/relationships/hyperlink" Id="rId51" Target="https://doi.org/10.29333/aquademia/8227" TargetMode="External" /><Relationship Type="http://schemas.openxmlformats.org/officeDocument/2006/relationships/hyperlink" Id="rId68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6" Target="https://moodle.adelphi.edu/file.php/49382/mayer-2003-multimedia-methods.pdf" TargetMode="External" /><Relationship Type="http://schemas.openxmlformats.org/officeDocument/2006/relationships/hyperlink" Id="rId38" Target="https://moodle.adelphi.edu/mod/url/view.php?id=3347563" TargetMode="External" /><Relationship Type="http://schemas.openxmlformats.org/officeDocument/2006/relationships/hyperlink" Id="rId50" Target="https://www.aquademia-journal.com/download/mobile-learning-in-higher-education-unavoidable-alternative-during-covid-19-8227.pdf" TargetMode="External" /><Relationship Type="http://schemas.openxmlformats.org/officeDocument/2006/relationships/hyperlink" Id="rId58" Target="https://www.theverge.com/22832490/niantic-ceo-john-hanke-metaverse-pokemon-go-ar-vr-podcast-decoder-interview" TargetMode="External" /><Relationship Type="http://schemas.openxmlformats.org/officeDocument/2006/relationships/hyperlink" Id="rId44" Target="https://www.wired.com/story/mirrorworld-ar-next-big-tech-platform/" TargetMode="External" /><Relationship Type="http://schemas.openxmlformats.org/officeDocument/2006/relationships/hyperlink" Id="rId60" Target="https://www.wired.com/story/what-is-the-metaverse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2" Target="http://firstmonday.org/htbin/cgiwrap/bin/ojs/index.php/fm/article/viewArticle/2762/2504" TargetMode="External" /><Relationship Type="http://schemas.openxmlformats.org/officeDocument/2006/relationships/hyperlink" Id="rId39" Target="http://ijoc.org/ojs/index.php/ijoc/article/download/46/35" TargetMode="External" /><Relationship Type="http://schemas.openxmlformats.org/officeDocument/2006/relationships/hyperlink" Id="rId62" Target="http://itidjournal.org/itid/article/view/614/254" TargetMode="External" /><Relationship Type="http://schemas.openxmlformats.org/officeDocument/2006/relationships/hyperlink" Id="rId59" Target="http://jhauge.tie.wikispaces.net/file/view/ISTE.pdf" TargetMode="External" /><Relationship Type="http://schemas.openxmlformats.org/officeDocument/2006/relationships/hyperlink" Id="rId40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7" Target="http://nicholasmirzoeff.com/RTL/?p=32" TargetMode="External" /><Relationship Type="http://schemas.openxmlformats.org/officeDocument/2006/relationships/hyperlink" Id="rId61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64" Target="http://uxdesign.smashingmagazine.com/2012/03/12/dads-plea-developers-ipad-apps-children/" TargetMode="External" /><Relationship Type="http://schemas.openxmlformats.org/officeDocument/2006/relationships/hyperlink" Id="rId63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7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6" Target="http://www.ewenger.com/theory/" TargetMode="External" /><Relationship Type="http://schemas.openxmlformats.org/officeDocument/2006/relationships/hyperlink" Id="rId41" Target="http://www.locusmag.com/Perspectives/2011/05/cory-doctorow-techno-optimism/" TargetMode="External" /><Relationship Type="http://schemas.openxmlformats.org/officeDocument/2006/relationships/hyperlink" Id="rId45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3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5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4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34" Target="https://developer.apple.com/design/human-interface-guidelines/" TargetMode="External" /><Relationship Type="http://schemas.openxmlformats.org/officeDocument/2006/relationships/hyperlink" Id="rId37" Target="https://doi.org/10.1016/j.chb.2014.04.018" TargetMode="External" /><Relationship Type="http://schemas.openxmlformats.org/officeDocument/2006/relationships/hyperlink" Id="rId51" Target="https://doi.org/10.29333/aquademia/8227" TargetMode="External" /><Relationship Type="http://schemas.openxmlformats.org/officeDocument/2006/relationships/hyperlink" Id="rId68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6" Target="https://moodle.adelphi.edu/file.php/49382/mayer-2003-multimedia-methods.pdf" TargetMode="External" /><Relationship Type="http://schemas.openxmlformats.org/officeDocument/2006/relationships/hyperlink" Id="rId38" Target="https://moodle.adelphi.edu/mod/url/view.php?id=3347563" TargetMode="External" /><Relationship Type="http://schemas.openxmlformats.org/officeDocument/2006/relationships/hyperlink" Id="rId50" Target="https://www.aquademia-journal.com/download/mobile-learning-in-higher-education-unavoidable-alternative-during-covid-19-8227.pdf" TargetMode="External" /><Relationship Type="http://schemas.openxmlformats.org/officeDocument/2006/relationships/hyperlink" Id="rId58" Target="https://www.theverge.com/22832490/niantic-ceo-john-hanke-metaverse-pokemon-go-ar-vr-podcast-decoder-interview" TargetMode="External" /><Relationship Type="http://schemas.openxmlformats.org/officeDocument/2006/relationships/hyperlink" Id="rId44" Target="https://www.wired.com/story/mirrorworld-ar-next-big-tech-platform/" TargetMode="External" /><Relationship Type="http://schemas.openxmlformats.org/officeDocument/2006/relationships/hyperlink" Id="rId60" Target="https://www.wired.com/story/what-is-the-metaverse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2022-01-21T16:06:47Z</dcterms:created>
  <dcterms:modified xsi:type="dcterms:W3CDTF">2022-01-21T16:06:47Z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