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p>
      <w:r>
        <w:rPr>
          <w:b/>
        </w:rPr>
        <w:t xml:space="preserve">Educational Technology 0850-620, Spring 2013</w:t>
      </w:r>
    </w:p>
    <w:p>
      <w:r>
        <w:rPr>
          <w:b/>
        </w:rPr>
        <w:t xml:space="preserve">Keywords:</w:t>
      </w:r>
      <w:r>
        <w:t xml:space="preserve"> </w:t>
      </w:r>
      <w:r>
        <w:t xml:space="preserve">studio pedagogy, interaction design, multimedia learning, digital studio, ed tech capstone, instructional design</w:t>
      </w:r>
    </w:p>
    <w:p>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Quote"/>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Link"/>
          </w:rPr>
          <w:t xml:space="preserve">StudyPlace</w:t>
        </w:r>
      </w:hyperlink>
    </w:p>
    <w:p>
      <w:pPr>
        <w:pStyle w:val="BlockQuote"/>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3"/>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r>
        <w:t xml:space="preserve">Debt is one of the defining characteristics of our times. Student debt in the U.S. has passed the one trillion dollar mark.</w:t>
      </w:r>
      <w:r>
        <w:t xml:space="preserve"> </w:t>
      </w:r>
      <w:hyperlink r:id="rId24">
        <w:r>
          <w:rPr>
            <w:rStyle w:val="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5">
        <w:r>
          <w:rPr>
            <w:rStyle w:val="Link"/>
          </w:rPr>
          <w:t xml:space="preserve">$20 billion behind in paying back their credit card debt</w:t>
        </w:r>
      </w:hyperlink>
      <w:r>
        <w:t xml:space="preserve">.</w:t>
      </w:r>
    </w:p>
    <w:p>
      <w:r>
        <w:t xml:space="preserve">This studio challenges students to create multimedia learning artifacts that explore the history and contemporary issues surrounding debt.</w:t>
      </w:r>
    </w:p>
    <w:p>
      <w:pPr>
        <w:pStyle w:val="Heading2"/>
      </w:pPr>
      <w:bookmarkStart w:id="26" w:name="goals"/>
      <w:bookmarkEnd w:id="26"/>
      <w:r>
        <w:t xml:space="preserve">Goals</w:t>
      </w:r>
    </w:p>
    <w:p>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r>
        <w:t xml:space="preserve">At the end of the studio, every student will have a high quality, published multimedia artefact that will be part of their portfolio.</w:t>
      </w:r>
    </w:p>
    <w:p>
      <w:pPr>
        <w:pStyle w:val="Heading2"/>
      </w:pPr>
      <w:bookmarkStart w:id="27" w:name="required-text"/>
      <w:bookmarkEnd w:id="27"/>
      <w:r>
        <w:t xml:space="preserve">Required text</w:t>
      </w:r>
    </w:p>
    <w:p>
      <w:r>
        <w:t xml:space="preserve">Graeber, D. (2011).</w:t>
      </w:r>
      <w:r>
        <w:t xml:space="preserve"> </w:t>
      </w:r>
      <w:r>
        <w:rPr>
          <w:i/>
        </w:rPr>
        <w:t xml:space="preserve">Debt: the first 5,000 years</w:t>
      </w:r>
      <w:r>
        <w:t xml:space="preserve">. Brooklyn, NY: Melville House.</w:t>
      </w:r>
    </w:p>
    <w:p>
      <w:pPr>
        <w:pStyle w:val="Heading2"/>
      </w:pPr>
      <w:bookmarkStart w:id="28" w:name="debt-readings"/>
      <w:bookmarkEnd w:id="28"/>
      <w:r>
        <w:t xml:space="preserve">Debt readings</w:t>
      </w:r>
    </w:p>
    <w:p>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hyperlink r:id="rId29">
        <w:r>
          <w:rPr>
            <w:rStyle w:val="Link"/>
          </w:rPr>
          <w:t xml:space="preserve">BEYOND GOOD AND EVIL COMMONS: A seminar Silvia Federici, George Caffentzis, &amp; David Graeber</w:t>
        </w:r>
      </w:hyperlink>
      <w:r>
        <w:t xml:space="preserve">.</w:t>
      </w:r>
    </w:p>
    <w:p>
      <w:r>
        <w:t xml:space="preserve">Graeber, D. (2012). [Video] [DEBT: The First 5,000 Years](http://www.youtube.com/watch?v=CZIINXhGDcs). Authors@Google.</w:t>
      </w:r>
    </w:p>
    <w:p>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hyperlink r:id="rId30">
        <w:r>
          <w:rPr>
            <w:rStyle w:val="Link"/>
          </w:rPr>
          <w:t xml:space="preserve">Strike Debt! Debt Resistance for the 99%</w:t>
        </w:r>
      </w:hyperlink>
    </w:p>
    <w:p>
      <w:pPr>
        <w:pStyle w:val="Heading2"/>
      </w:pPr>
      <w:bookmarkStart w:id="31" w:name="multimedia-design-readings"/>
      <w:bookmarkEnd w:id="31"/>
      <w:r>
        <w:t xml:space="preserve">Multimedia &amp; design readings</w:t>
      </w:r>
    </w:p>
    <w:p>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r>
        <w:t xml:space="preserve">Kvan, T. (2001)</w:t>
      </w:r>
      <w:r>
        <w:t xml:space="preserve"> </w:t>
      </w:r>
      <w:hyperlink r:id="rId32">
        <w:r>
          <w:rPr>
            <w:rStyle w:val="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r>
        <w:t xml:space="preserve">Moggridge, B. 2007.</w:t>
      </w:r>
      <w:r>
        <w:t xml:space="preserve"> </w:t>
      </w:r>
      <w:r>
        <w:rPr>
          <w:i/>
        </w:rPr>
        <w:t xml:space="preserve">Designing interactions.</w:t>
      </w:r>
      <w:r>
        <w:t xml:space="preserve"> </w:t>
      </w:r>
      <w:r>
        <w:t xml:space="preserve">MIT Press. Cambridge Mass. ISBN 9780262134743</w:t>
      </w:r>
    </w:p>
    <w:p>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3" w:name="schedule"/>
      <w:bookmarkEnd w:id="33"/>
      <w:r>
        <w:t xml:space="preserve">Schedule</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r>
        <w:rPr>
          <w:i/>
        </w:rPr>
        <w:t xml:space="preserve">This is a tentative list and schedule of workshops. The actual studio will be organized to be responsive to the needs of the students.</w:t>
      </w:r>
    </w:p>
    <w:p>
      <w:pPr>
        <w:pStyle w:val="Heading2"/>
      </w:pPr>
      <w:bookmarkStart w:id="34" w:name="assignments"/>
      <w:bookmarkEnd w:id="34"/>
      <w:r>
        <w:t xml:space="preserve">Assignments</w:t>
      </w:r>
    </w:p>
    <w:p>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5" w:name="grading-due-dates"/>
      <w:bookmarkEnd w:id="35"/>
      <w:r>
        <w:t xml:space="preserve">Grading &amp; due dates</w:t>
      </w:r>
    </w:p>
    <w:tbl>
      <w:tblPr>
        <w:tblStyle w:val="TableNormal"/>
        <w:tblW w:type="pct" w:w="0.0"/>
      </w:tblPr>
      <w:tblGrid/>
      <w:t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36" w:name="evaluation-criteria"/>
      <w:bookmarkEnd w:id="36"/>
      <w:r>
        <w:t xml:space="preserve">Evaluation Criteria</w:t>
      </w:r>
    </w:p>
    <w:p>
      <w:pPr>
        <w:pStyle w:val="Heading3"/>
      </w:pPr>
      <w:bookmarkStart w:id="37" w:name="design"/>
      <w:bookmarkEnd w:id="37"/>
      <w:r>
        <w:t xml:space="preserve">Design</w:t>
      </w:r>
    </w:p>
    <w:p>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38" w:name="technique"/>
      <w:bookmarkEnd w:id="38"/>
      <w:r>
        <w:t xml:space="preserve">Technique</w:t>
      </w:r>
    </w:p>
    <w:p>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39" w:name="originality-innovation"/>
      <w:bookmarkEnd w:id="39"/>
      <w:r>
        <w:t xml:space="preserve">Originality &amp; innovation</w:t>
      </w:r>
    </w:p>
    <w:p>
      <w:r>
        <w:t xml:space="preserve">Teams will gain points based on the originality of their project. Does the project take a novel approach to teaching with digital media? Does it combine existing practices in new ways, for a new effect?</w:t>
      </w:r>
    </w:p>
    <w:p>
      <w:r>
        <w:t xml:space="preserve">Students will lose points in originality for verbatim translating of existing learning solutions to the new problem space.</w:t>
      </w:r>
    </w:p>
    <w:p>
      <w:pPr>
        <w:pStyle w:val="Heading3"/>
      </w:pPr>
      <w:bookmarkStart w:id="40" w:name="learning-science"/>
      <w:bookmarkEnd w:id="40"/>
      <w:r>
        <w:t xml:space="preserve">Learning science</w:t>
      </w:r>
    </w:p>
    <w:p>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125de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33f3a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hyperlink" Id="rId25" Target="http://dealbook.nytimes.com/2012/08/12/problems-riddle-moves-to-collect-credit-card-debt" TargetMode="External" /><Relationship Type="http://schemas.openxmlformats.org/officeDocument/2006/relationships/hyperlink" Id="rId30" Target="http://strikedebt.org/" TargetMode="External" /><Relationship Type="http://schemas.openxmlformats.org/officeDocument/2006/relationships/hyperlink" Id="rId29" Target="http://www.16beavergroup.org/silvia_george_david/" TargetMode="External" /><Relationship Type="http://schemas.openxmlformats.org/officeDocument/2006/relationships/hyperlink" Id="rId24" Target="http://www.businessweek.com/ap/2012-09-12/underwater-mortgages-declined-in-2nd-quarter" TargetMode="External" /><Relationship Type="http://schemas.openxmlformats.org/officeDocument/2006/relationships/hyperlink" Id="rId32"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5" Target="http://dealbook.nytimes.com/2012/08/12/problems-riddle-moves-to-collect-credit-card-debt" TargetMode="External" /><Relationship Type="http://schemas.openxmlformats.org/officeDocument/2006/relationships/hyperlink" Id="rId30" Target="http://strikedebt.org/" TargetMode="External" /><Relationship Type="http://schemas.openxmlformats.org/officeDocument/2006/relationships/hyperlink" Id="rId29" Target="http://www.16beavergroup.org/silvia_george_david/" TargetMode="External" /><Relationship Type="http://schemas.openxmlformats.org/officeDocument/2006/relationships/hyperlink" Id="rId24" Target="http://www.businessweek.com/ap/2012-09-12/underwater-mortgages-declined-in-2nd-quarter" TargetMode="External" /><Relationship Type="http://schemas.openxmlformats.org/officeDocument/2006/relationships/hyperlink" Id="rId32"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