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1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2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3" w:name="spring-2017-studio-hackers"/>
      <w:bookmarkEnd w:id="23"/>
      <w:r>
        <w:t xml:space="preserve">Spring 2017 Studio: Hackers</w:t>
      </w:r>
    </w:p>
    <w:p>
      <w:pPr>
        <w:pStyle w:val="FirstParagraph"/>
      </w:pPr>
      <w:r>
        <w:t xml:space="preserve">Each semester will feature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4" w:name="goals"/>
      <w:bookmarkEnd w:id="24"/>
      <w:r>
        <w:t xml:space="preserve">Goals</w:t>
      </w:r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 and following sound and ethical</w:t>
      </w:r>
      <w:r>
        <w:t xml:space="preserve"> </w:t>
      </w:r>
      <w:r>
        <w:t xml:space="preserve">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5" w:name="recommended-books"/>
      <w:bookmarkEnd w:id="25"/>
      <w:r>
        <w:t xml:space="preserve">Recommended Books</w:t>
      </w:r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6" w:name="online-resources-for-information-security"/>
      <w:bookmarkEnd w:id="26"/>
      <w:r>
        <w:t xml:space="preserve">Online resources for information security</w:t>
      </w:r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3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4" w:name="class-meetings"/>
      <w:bookmarkEnd w:id="34"/>
      <w:r>
        <w:t xml:space="preserve">Class meetings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>
            <w:pStyle w:val="Compact"/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5" w:name="assignments"/>
      <w:bookmarkEnd w:id="35"/>
      <w:r>
        <w:t xml:space="preserve">Assignments</w:t>
      </w:r>
    </w:p>
    <w:p>
      <w:pPr>
        <w:pStyle w:val="FirstParagraph"/>
      </w:pPr>
      <w:r>
        <w:t xml:space="preserve">The studio format allows for frequent and ongoing evaluation of the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6" w:name="grading-due-dates"/>
      <w:bookmarkEnd w:id="36"/>
      <w:r>
        <w:t xml:space="preserve">Grading &amp; due dates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7" w:name="briefings"/>
      <w:bookmarkEnd w:id="37"/>
      <w:r>
        <w:t xml:space="preserve">Briefings</w:t>
      </w:r>
    </w:p>
    <w:p>
      <w:pPr>
        <w:pStyle w:val="FirstParagraph"/>
      </w:pPr>
      <w:r>
        <w:t xml:space="preserve">You will choose a specific topic of your choice related to information security and then write a short (300 word)</w:t>
      </w:r>
      <w:r>
        <w:t xml:space="preserve"> </w:t>
      </w:r>
      <w:r>
        <w:t xml:space="preserve">information 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before the class session when it’s due.</w:t>
      </w:r>
    </w:p>
    <w:p>
      <w:pPr>
        <w:pStyle w:val="Heading3"/>
      </w:pPr>
      <w:bookmarkStart w:id="38" w:name="book-talk"/>
      <w:bookmarkEnd w:id="38"/>
      <w:r>
        <w:t xml:space="preserve">Book talk</w:t>
      </w:r>
    </w:p>
    <w:p>
      <w:pPr>
        <w:pStyle w:val="FirstParagraph"/>
      </w:pPr>
      <w:r>
        <w:t xml:space="preserve">Choose one of the books from the suggested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9" w:name="pitch"/>
      <w:bookmarkEnd w:id="39"/>
      <w:r>
        <w:t xml:space="preserve">Pitch</w:t>
      </w:r>
    </w:p>
    <w:p>
      <w:pPr>
        <w:pStyle w:val="FirstParagraph"/>
      </w:pPr>
      <w:r>
        <w:t xml:space="preserve">In this class session you will formally pitch your idea for your idea for your final project. The purpose of the</w:t>
      </w:r>
      <w:r>
        <w:t xml:space="preserve"> </w:t>
      </w:r>
      <w:r>
        <w:t xml:space="preserve">pitch is to propose your project in a way that makes it sound exciting, worthwhile, and feasible. The most important</w:t>
      </w:r>
      <w:r>
        <w:t xml:space="preserve"> </w:t>
      </w:r>
      <w:r>
        <w:t xml:space="preserve">part is that you can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40" w:name="midpoint-and-final-evaluation-criteria"/>
      <w:bookmarkEnd w:id="40"/>
      <w:r>
        <w:t xml:space="preserve">Midpoint and Final Evaluation Criteria</w:t>
      </w:r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1" w:name="originality-innovation"/>
      <w:bookmarkEnd w:id="41"/>
      <w:r>
        <w:t xml:space="preserve">Originality &amp; innovation</w:t>
      </w:r>
    </w:p>
    <w:p>
      <w:pPr>
        <w:pStyle w:val="FirstParagraph"/>
      </w:pPr>
      <w:r>
        <w:t xml:space="preserve">Teams will gain points based on the originality of their project. Does</w:t>
      </w:r>
      <w:r>
        <w:t xml:space="preserve"> </w:t>
      </w:r>
      <w:r>
        <w:t xml:space="preserve">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2" w:name="design"/>
      <w:bookmarkEnd w:id="42"/>
      <w:r>
        <w:t xml:space="preserve">Design</w:t>
      </w:r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media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3" w:name="technique"/>
      <w:bookmarkEnd w:id="43"/>
      <w:r>
        <w:t xml:space="preserve">Technique</w:t>
      </w:r>
    </w:p>
    <w:p>
      <w:pPr>
        <w:pStyle w:val="FirstParagraph"/>
      </w:pPr>
      <w:r>
        <w:t xml:space="preserve">The project’s technique reflects the proficiency of the teams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4" w:name="learning-science"/>
      <w:bookmarkEnd w:id="44"/>
      <w:r>
        <w:t xml:space="preserve">Learning science</w:t>
      </w:r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1eec9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53656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613945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www.defenseone.com/technology/" TargetMode="External" /><Relationship Type="http://schemas.openxmlformats.org/officeDocument/2006/relationships/hyperlink" Id="rId21" Target="http://www.studyplace.org/wiki/The_Studio_for" TargetMode="External" /><Relationship Type="http://schemas.openxmlformats.org/officeDocument/2006/relationships/hyperlink" Id="rId33" Target="https://securityinabox.org/en/" TargetMode="External" /><Relationship Type="http://schemas.openxmlformats.org/officeDocument/2006/relationships/hyperlink" Id="rId32" Target="https://www.cryptoparty.in/index" TargetMode="External" /><Relationship Type="http://schemas.openxmlformats.org/officeDocument/2006/relationships/hyperlink" Id="rId31" Target="https://www.eff.org/" TargetMode="External" /><Relationship Type="http://schemas.openxmlformats.org/officeDocument/2006/relationships/hyperlink" Id="rId22" Target="https://www.eff.org/cyberspace-independence" TargetMode="External" /><Relationship Type="http://schemas.openxmlformats.org/officeDocument/2006/relationships/hyperlink" Id="rId29" Target="https://www.theatlantic.com/technology/" TargetMode="External" /><Relationship Type="http://schemas.openxmlformats.org/officeDocument/2006/relationships/hyperlink" Id="rId28" Target="https://www.wired.com/category/security/" TargetMode="External" /><Relationship Type="http://schemas.openxmlformats.org/officeDocument/2006/relationships/hyperlink" Id="rId27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www.defenseone.com/technology/" TargetMode="External" /><Relationship Type="http://schemas.openxmlformats.org/officeDocument/2006/relationships/hyperlink" Id="rId21" Target="http://www.studyplace.org/wiki/The_Studio_for" TargetMode="External" /><Relationship Type="http://schemas.openxmlformats.org/officeDocument/2006/relationships/hyperlink" Id="rId33" Target="https://securityinabox.org/en/" TargetMode="External" /><Relationship Type="http://schemas.openxmlformats.org/officeDocument/2006/relationships/hyperlink" Id="rId32" Target="https://www.cryptoparty.in/index" TargetMode="External" /><Relationship Type="http://schemas.openxmlformats.org/officeDocument/2006/relationships/hyperlink" Id="rId31" Target="https://www.eff.org/" TargetMode="External" /><Relationship Type="http://schemas.openxmlformats.org/officeDocument/2006/relationships/hyperlink" Id="rId22" Target="https://www.eff.org/cyberspace-independence" TargetMode="External" /><Relationship Type="http://schemas.openxmlformats.org/officeDocument/2006/relationships/hyperlink" Id="rId29" Target="https://www.theatlantic.com/technology/" TargetMode="External" /><Relationship Type="http://schemas.openxmlformats.org/officeDocument/2006/relationships/hyperlink" Id="rId28" Target="https://www.wired.com/category/security/" TargetMode="External" /><Relationship Type="http://schemas.openxmlformats.org/officeDocument/2006/relationships/hyperlink" Id="rId27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</cp:coreProperties>
</file>