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the basic tenets, movement and use of online, blended and web-enhanced learning in K-12 and higher education;</w:t>
      </w:r>
    </w:p>
    <w:p>
      <w:pPr>
        <w:pStyle w:val="Compact"/>
        <w:numPr>
          <w:numId w:val="1001"/>
          <w:ilvl w:val="0"/>
        </w:numPr>
      </w:pPr>
      <w:r>
        <w:t xml:space="preserve">understand various technologies used for teaching and learning and course delivery in online, blended and web-enhanced environments;</w:t>
      </w:r>
    </w:p>
    <w:p>
      <w:pPr>
        <w:pStyle w:val="Compact"/>
        <w:numPr>
          <w:numId w:val="1001"/>
          <w:ilvl w:val="0"/>
        </w:numPr>
      </w:pPr>
      <w:r>
        <w:t xml:space="preserve">apply principles for the development of engaging and interactive online, blended and web-enhanced curriculum;</w:t>
      </w:r>
    </w:p>
    <w:p>
      <w:pPr>
        <w:pStyle w:val="Compact"/>
        <w:numPr>
          <w:numId w:val="1001"/>
          <w:ilvl w:val="0"/>
        </w:numPr>
      </w:pPr>
      <w:r>
        <w:t xml:space="preserve">design learning environments that address the challenges of creating interaction and community in online and virtual environments;</w:t>
      </w:r>
    </w:p>
    <w:p>
      <w:pPr>
        <w:pStyle w:val="Compact"/>
        <w:numPr>
          <w:numId w:val="1001"/>
          <w:ilvl w:val="0"/>
        </w:numPr>
      </w:pPr>
      <w:r>
        <w:t xml:space="preserve">apply best practices for teaching in online, blended and web-enhanced environments.</w:t>
      </w:r>
    </w:p>
    <w:p>
      <w:pPr>
        <w:pStyle w:val="Compact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Compact"/>
      </w:pPr>
      <w:r>
        <w:t xml:space="preserve">Week</w:t>
      </w:r>
    </w:p>
    <w:p>
      <w:pPr>
        <w:pStyle w:val="Compact"/>
      </w:pPr>
      <w:r>
        <w:t xml:space="preserve">Topics</w:t>
      </w:r>
    </w:p>
    <w:p>
      <w:pPr>
        <w:pStyle w:val="Compact"/>
      </w:pPr>
      <w:r>
        <w:t xml:space="preserve">Readings</w:t>
      </w:r>
    </w:p>
    <w:p>
      <w:pPr>
        <w:pStyle w:val="Compact"/>
      </w:pPr>
      <w:r>
        <w:t xml:space="preserve">Due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t xml:space="preserve">Syllabus (this page)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Moodle (this website)</w:t>
      </w:r>
    </w:p>
    <w:p>
      <w:pPr>
        <w:pStyle w:val="Compact"/>
        <w:numPr>
          <w:numId w:val="1002"/>
          <w:ilvl w:val="0"/>
        </w:numPr>
      </w:pPr>
      <w:r>
        <w:t xml:space="preserve">Tutorials</w:t>
      </w:r>
    </w:p>
    <w:p>
      <w:pPr>
        <w:pStyle w:val="Compact"/>
        <w:numPr>
          <w:numId w:val="1002"/>
          <w:ilvl w:val="0"/>
        </w:numPr>
      </w:pPr>
      <w:r>
        <w:t xml:space="preserve">Progress Report (shared with your Adelphi student account)</w:t>
      </w:r>
    </w:p>
    <w:p>
      <w:pPr>
        <w:pStyle w:val="Compact"/>
      </w:pPr>
      <w:r>
        <w:t xml:space="preserve">Syllabus Quiz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03"/>
          <w:ilvl w:val="0"/>
        </w:numPr>
      </w:pPr>
      <w:r>
        <w:t xml:space="preserve">Bender (2012) Paradigm lost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pStyle w:val="Compact"/>
        <w:numPr>
          <w:numId w:val="1004"/>
          <w:ilvl w:val="1"/>
        </w:numPr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pStyle w:val="Compact"/>
        <w:numPr>
          <w:numId w:val="1004"/>
          <w:ilvl w:val="1"/>
        </w:numPr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pStyle w:val="Compact"/>
        <w:numPr>
          <w:numId w:val="1004"/>
          <w:ilvl w:val="1"/>
        </w:numPr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pStyle w:val="Compact"/>
        <w:numPr>
          <w:numId w:val="1004"/>
          <w:ilvl w:val="1"/>
        </w:numPr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Compact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Lowenthal et al (2014) Benefits and challenges of flipping the learning of procedural knowledge</w:t>
      </w:r>
    </w:p>
    <w:p>
      <w:pPr>
        <w:pStyle w:val="Compact"/>
        <w:numPr>
          <w:numId w:val="1005"/>
          <w:ilvl w:val="0"/>
        </w:numPr>
      </w:pPr>
      <w:r>
        <w:t xml:space="preserve">Tabert (2017) The history and theory of flipped learning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Multimedia Theory</w:t>
      </w:r>
    </w:p>
    <w:p>
      <w:pPr>
        <w:pStyle w:val="Compact"/>
        <w:numPr>
          <w:numId w:val="1006"/>
          <w:ilvl w:val="0"/>
        </w:numPr>
      </w:pPr>
      <w:r>
        <w:t xml:space="preserve">Clark and Mayer (2016) Applying the Multimedia Principle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Contiguity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Modality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Redundancy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Coherence Principle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Instructional Design</w:t>
      </w:r>
    </w:p>
    <w:p>
      <w:pPr>
        <w:pStyle w:val="Compact"/>
        <w:numPr>
          <w:numId w:val="1008"/>
          <w:ilvl w:val="0"/>
        </w:numPr>
      </w:pPr>
      <w:r>
        <w:t xml:space="preserve">Nilson and Goodson (2018) Setting significant outcomes</w:t>
      </w:r>
    </w:p>
    <w:p>
      <w:pPr>
        <w:pStyle w:val="Compact"/>
        <w:numPr>
          <w:numId w:val="1008"/>
          <w:ilvl w:val="0"/>
        </w:numPr>
      </w:pPr>
      <w:r>
        <w:t xml:space="preserve">Nilson and Goodson (2018) Designing a coherent course</w:t>
      </w:r>
    </w:p>
    <w:p>
      <w:pPr>
        <w:pStyle w:val="Compact"/>
        <w:numPr>
          <w:numId w:val="1008"/>
          <w:ilvl w:val="0"/>
        </w:numPr>
      </w:pPr>
      <w:r>
        <w:t xml:space="preserve">Nilson and Goodson (2018) Applying cognitive science to online teaching and learning strategies</w:t>
      </w:r>
    </w:p>
    <w:p>
      <w:pPr>
        <w:pStyle w:val="Compact"/>
      </w:pPr>
      <w:r>
        <w:t xml:space="preserve">Narrated Tutorial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Universal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The case for better online course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Fewer barriers, more support: UDL guidelines in action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10"/>
          <w:ilvl w:val="0"/>
        </w:numPr>
      </w:pPr>
      <w:r>
        <w:t xml:space="preserve">Davidson-Shivers and Reese (2014) Are online assessments measuring student learning or something else?</w:t>
      </w:r>
    </w:p>
    <w:p>
      <w:pPr>
        <w:pStyle w:val="Compact"/>
        <w:numPr>
          <w:numId w:val="1010"/>
          <w:ilvl w:val="0"/>
        </w:numPr>
      </w:pPr>
      <w:r>
        <w:t xml:space="preserve">Yan et al (2014) Overview of computerized multistage tests</w:t>
      </w:r>
    </w:p>
    <w:p>
      <w:pPr>
        <w:pStyle w:val="Compact"/>
      </w:pPr>
      <w:r>
        <w:t xml:space="preserve">Adaptive Quiz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Social Presence</w:t>
      </w:r>
    </w:p>
    <w:p>
      <w:pPr>
        <w:pStyle w:val="Compact"/>
        <w:numPr>
          <w:numId w:val="1011"/>
          <w:ilvl w:val="0"/>
        </w:numPr>
      </w:pPr>
      <w:r>
        <w:t xml:space="preserve">Bender (2012) Discussion-based online teaching to enhance student learning</w:t>
      </w:r>
    </w:p>
    <w:p>
      <w:pPr>
        <w:pStyle w:val="Compact"/>
        <w:numPr>
          <w:numId w:val="1011"/>
          <w:ilvl w:val="0"/>
        </w:numPr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MOOCs</w:t>
      </w:r>
    </w:p>
    <w:p>
      <w:pPr>
        <w:pStyle w:val="Compact"/>
        <w:numPr>
          <w:numId w:val="1012"/>
          <w:ilvl w:val="0"/>
        </w:numPr>
      </w:pPr>
      <w:r>
        <w:t xml:space="preserve">Bell (2015) The fairy tail MOOC</w:t>
      </w:r>
    </w:p>
    <w:p>
      <w:pPr>
        <w:pStyle w:val="Compact"/>
        <w:numPr>
          <w:numId w:val="1012"/>
          <w:ilvl w:val="0"/>
        </w:numPr>
      </w:pPr>
      <w:r>
        <w:t xml:space="preserve">Rhoads (2015) The rise of the MOOC</w:t>
      </w:r>
    </w:p>
    <w:p>
      <w:pPr>
        <w:pStyle w:val="Compact"/>
      </w:pPr>
      <w:r>
        <w:t xml:space="preserve">MOOC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Bots</w:t>
      </w:r>
    </w:p>
    <w:p>
      <w:pPr>
        <w:pStyle w:val="Compact"/>
      </w:pPr>
      <w:r>
        <w:t xml:space="preserve">Chatbot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Prototyping 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Prototyping 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Prototyping III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Final Run 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Final Run 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Final Run III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2020-09-16T21:19:26Z</dcterms:created>
  <dcterms:modified xsi:type="dcterms:W3CDTF">2020-09-16T21:19:26Z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