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0858-610 Distance learning, blended classes, and virtual schools</w:t>
      </w:r>
    </w:p>
    <w:p>
      <w:pPr>
        <w:pStyle w:val="BodyText"/>
      </w:pPr>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pPr>
        <w:pStyle w:val="BodyText"/>
      </w:pPr>
      <w:r>
        <w:rPr>
          <w:b/>
        </w:rPr>
        <w:t xml:space="preserve">Keywords:</w:t>
      </w:r>
      <w:r>
        <w:t xml:space="preserve"> </w:t>
      </w:r>
      <w:r>
        <w:t xml:space="preserve">online learning, hybrid learning, blended learning, virtual schools, distance learning, distance education, MOOC, flipped classroom</w:t>
      </w:r>
    </w:p>
    <w:p>
      <w:pPr>
        <w:pStyle w:val="Heading2"/>
      </w:pPr>
      <w:bookmarkStart w:id="21" w:name="required-books"/>
      <w:bookmarkEnd w:id="21"/>
      <w:r>
        <w:t xml:space="preserve">Required Books</w:t>
      </w:r>
    </w:p>
    <w:p>
      <w:pPr>
        <w:pStyle w:val="FirstParagraph"/>
      </w:pPr>
      <w:r>
        <w:t xml:space="preserve">Cavanaugh, C. (2007).</w:t>
      </w:r>
      <w:r>
        <w:t xml:space="preserve"> </w:t>
      </w:r>
      <w:r>
        <w:rPr>
          <w:i/>
        </w:rPr>
        <w:t xml:space="preserve">What works in K-12 online learning</w:t>
      </w:r>
      <w:r>
        <w:t xml:space="preserve"> </w:t>
      </w:r>
      <w:r>
        <w:t xml:space="preserve">(1st ed.). Eugene Or.: International Society for Technology in Education.</w:t>
      </w:r>
    </w:p>
    <w:p>
      <w:pPr>
        <w:pStyle w:val="Heading2"/>
      </w:pPr>
      <w:bookmarkStart w:id="22" w:name="readings"/>
      <w:bookmarkEnd w:id="22"/>
      <w:r>
        <w:t xml:space="preserve">Readings</w:t>
      </w:r>
    </w:p>
    <w:p>
      <w:pPr>
        <w:pStyle w:val="FirstParagraph"/>
      </w:pPr>
      <w:r>
        <w:t xml:space="preserve">DiPietro, M. Virtual School Pedagogy: The Instructional Practices of K-12 Virtual School Teachers. Journal of Educational Computing Research v. 42 no. 3 (2010) p. 327-54</w:t>
      </w:r>
    </w:p>
    <w:p>
      <w:pPr>
        <w:pStyle w:val="BodyText"/>
      </w:pPr>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pPr>
        <w:pStyle w:val="BodyText"/>
      </w:pPr>
      <w:r>
        <w:t xml:space="preserve">iNACOL (International Association for K-12 Online Learning) National Standards of Quality for Online Courses. Web site for online books:</w:t>
      </w:r>
      <w:r>
        <w:t xml:space="preserve"> </w:t>
      </w:r>
      <w:hyperlink r:id="rId23">
        <w:r>
          <w:rPr>
            <w:rStyle w:val="Hyperlink"/>
          </w:rPr>
          <w:t xml:space="preserve">http://www.inacol.org/research/bookstore/index.php</w:t>
        </w:r>
      </w:hyperlink>
    </w:p>
    <w:p>
      <w:pPr>
        <w:pStyle w:val="BodyText"/>
      </w:pPr>
      <w:r>
        <w:t xml:space="preserve">iNACOL (International Association for K-12 Online Learning) National Standards of Quality for Online Courses. Web site:</w:t>
      </w:r>
      <w:r>
        <w:t xml:space="preserve"> </w:t>
      </w:r>
      <w:hyperlink r:id="rId24">
        <w:r>
          <w:rPr>
            <w:rStyle w:val="Hyperlink"/>
          </w:rPr>
          <w:t xml:space="preserve">http://www.inacol.org/research/nationalstandards</w:t>
        </w:r>
      </w:hyperlink>
    </w:p>
    <w:p>
      <w:pPr>
        <w:pStyle w:val="BodyText"/>
      </w:pPr>
      <w:r>
        <w:t xml:space="preserve">Quality Matters Course Rubric Standards (2008-2010 edition).</w:t>
      </w:r>
      <w:r>
        <w:t xml:space="preserve"> </w:t>
      </w:r>
      <w:hyperlink r:id="rId25">
        <w:r>
          <w:rPr>
            <w:rStyle w:val="Hyperlink"/>
          </w:rPr>
          <w:t xml:space="preserve">http://qminstitute.org/home/Public Library/About QM/RubricStandards2008-2010.pdf</w:t>
        </w:r>
      </w:hyperlink>
    </w:p>
    <w:p>
      <w:pPr>
        <w:pStyle w:val="BodyText"/>
      </w:pPr>
      <w:r>
        <w:t xml:space="preserve">Ragan, Larry. Best Practices for Teaching Online. Available at:</w:t>
      </w:r>
      <w:r>
        <w:t xml:space="preserve"> </w:t>
      </w:r>
      <w:hyperlink r:id="rId26">
        <w:r>
          <w:rPr>
            <w:rStyle w:val="Hyperlink"/>
          </w:rPr>
          <w:t xml:space="preserve">http://cnx.org/content/col10453/latest</w:t>
        </w:r>
      </w:hyperlink>
      <w:r>
        <w:t xml:space="preserve">.</w:t>
      </w:r>
    </w:p>
    <w:p>
      <w:pPr>
        <w:pStyle w:val="Heading2"/>
      </w:pPr>
      <w:bookmarkStart w:id="27" w:name="class-sessions"/>
      <w:bookmarkEnd w:id="27"/>
      <w:r>
        <w:t xml:space="preserve">Class sessions</w:t>
      </w:r>
    </w:p>
    <w:p>
      <w:pPr>
        <w:pStyle w:val="Heading3"/>
      </w:pPr>
      <w:bookmarkStart w:id="28" w:name="introduction-to-online-blended-and-web-enhanced-learning"/>
      <w:bookmarkEnd w:id="28"/>
      <w:r>
        <w:t xml:space="preserve">Introduction to online, blended and web-enhanced learning</w:t>
      </w:r>
    </w:p>
    <w:p>
      <w:pPr>
        <w:pStyle w:val="FirstParagraph"/>
      </w:pPr>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Hyperlink"/>
          </w:rPr>
          <w:t xml:space="preserve">http://sloanconsortium.org</w:t>
        </w:r>
      </w:hyperlink>
      <w:r>
        <w:t xml:space="preserve">) which they will use throughout the semester as a source to go to for data, best practices and general research on online learning for higher education.</w:t>
      </w:r>
    </w:p>
    <w:p>
      <w:pPr>
        <w:pStyle w:val="BodyText"/>
      </w:pPr>
      <w:r>
        <w:rPr>
          <w:i/>
        </w:rPr>
        <w:t xml:space="preserve">Readings due: Patrick, ch 1</w:t>
      </w:r>
    </w:p>
    <w:p>
      <w:pPr>
        <w:pStyle w:val="Heading3"/>
      </w:pPr>
      <w:bookmarkStart w:id="30" w:name="evaluation-of-online-blended-and-web-enhanced-models"/>
      <w:bookmarkEnd w:id="30"/>
      <w:r>
        <w:t xml:space="preserve">Evaluation of online, blended and web-enhanced models</w:t>
      </w:r>
    </w:p>
    <w:p>
      <w:pPr>
        <w:pStyle w:val="FirstParagraph"/>
      </w:pPr>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pPr>
        <w:pStyle w:val="BodyText"/>
      </w:pPr>
      <w:r>
        <w:rPr>
          <w:i/>
        </w:rPr>
        <w:t xml:space="preserve">Readings due: Patrick, ch 2</w:t>
      </w:r>
    </w:p>
    <w:p>
      <w:pPr>
        <w:pStyle w:val="Heading3"/>
      </w:pPr>
      <w:bookmarkStart w:id="31" w:name="the-notion-of-anytime-and-anyplace-learning"/>
      <w:bookmarkEnd w:id="31"/>
      <w:r>
        <w:t xml:space="preserve">The notion of anytime and anyplace learning</w:t>
      </w:r>
    </w:p>
    <w:p>
      <w:pPr>
        <w:pStyle w:val="FirstParagraph"/>
      </w:pPr>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pPr>
        <w:pStyle w:val="BodyText"/>
      </w:pPr>
      <w:r>
        <w:rPr>
          <w:i/>
        </w:rPr>
        <w:t xml:space="preserve">Readings due: iNACOL</w:t>
      </w:r>
    </w:p>
    <w:p>
      <w:pPr>
        <w:pStyle w:val="Heading3"/>
      </w:pPr>
      <w:bookmarkStart w:id="32" w:name="technology-for-online-and-blended-learning"/>
      <w:bookmarkEnd w:id="32"/>
      <w:r>
        <w:t xml:space="preserve">Technology for online and blended learning</w:t>
      </w:r>
    </w:p>
    <w:p>
      <w:pPr>
        <w:pStyle w:val="FirstParagraph"/>
      </w:pPr>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pPr>
        <w:pStyle w:val="BodyText"/>
      </w:pPr>
      <w:r>
        <w:rPr>
          <w:i/>
        </w:rPr>
        <w:t xml:space="preserve">Readings due: Ragan, Part I: Getting Started</w:t>
      </w:r>
    </w:p>
    <w:p>
      <w:pPr>
        <w:pStyle w:val="Heading3"/>
      </w:pPr>
      <w:bookmarkStart w:id="33" w:name="technology-for-online-and-blended-learning---part-2"/>
      <w:bookmarkEnd w:id="33"/>
      <w:r>
        <w:t xml:space="preserve">Technology for online and blended learning - part 2</w:t>
      </w:r>
    </w:p>
    <w:p>
      <w:pPr>
        <w:pStyle w:val="FirstParagraph"/>
      </w:pPr>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pPr>
        <w:pStyle w:val="BodyText"/>
      </w:pPr>
      <w:r>
        <w:rPr>
          <w:i/>
        </w:rPr>
        <w:t xml:space="preserve">Readings due: Ragan, Part II: During Teaching</w:t>
      </w:r>
    </w:p>
    <w:p>
      <w:pPr>
        <w:pStyle w:val="Heading3"/>
      </w:pPr>
      <w:bookmarkStart w:id="34" w:name="online-blended-and-web-enhanced-kearning-in-k-12-and-higher-education"/>
      <w:bookmarkEnd w:id="34"/>
      <w:r>
        <w:t xml:space="preserve">Online, blended and web-enhanced kearning in k-12 and higher education</w:t>
      </w:r>
    </w:p>
    <w:p>
      <w:pPr>
        <w:pStyle w:val="FirstParagraph"/>
      </w:pPr>
      <w:r>
        <w:t xml:space="preserve">Students will explore, compare and contrast online, blended and web-enhanced learning in K-12 and higher education. Why are these types of learning important, what are the challenges and what is the purpose.</w:t>
      </w:r>
    </w:p>
    <w:p>
      <w:pPr>
        <w:pStyle w:val="BodyText"/>
      </w:pPr>
      <w:r>
        <w:rPr>
          <w:i/>
        </w:rPr>
        <w:t xml:space="preserve">Readings due: Patrick, ch 3</w:t>
      </w:r>
    </w:p>
    <w:p>
      <w:pPr>
        <w:pStyle w:val="Heading3"/>
      </w:pPr>
      <w:bookmarkStart w:id="35" w:name="virtual-schools"/>
      <w:bookmarkEnd w:id="35"/>
      <w:r>
        <w:t xml:space="preserve">Virtual schools</w:t>
      </w:r>
    </w:p>
    <w:p>
      <w:pPr>
        <w:pStyle w:val="FirstParagraph"/>
      </w:pPr>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pPr>
        <w:pStyle w:val="BodyText"/>
      </w:pPr>
      <w:r>
        <w:rPr>
          <w:i/>
        </w:rPr>
        <w:t xml:space="preserve">Readings due: DiPietro; Hew</w:t>
      </w:r>
    </w:p>
    <w:p>
      <w:pPr>
        <w:pStyle w:val="Heading3"/>
      </w:pPr>
      <w:bookmarkStart w:id="36" w:name="student-centered-learning"/>
      <w:bookmarkEnd w:id="36"/>
      <w:r>
        <w:t xml:space="preserve">Student centered learning</w:t>
      </w:r>
    </w:p>
    <w:p>
      <w:pPr>
        <w:pStyle w:val="FirstParagraph"/>
      </w:pPr>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pPr>
        <w:pStyle w:val="BodyText"/>
      </w:pPr>
      <w:r>
        <w:rPr>
          <w:i/>
        </w:rPr>
        <w:t xml:space="preserve">Readings due: Patrick, ch 4 &amp; 5</w:t>
      </w:r>
    </w:p>
    <w:p>
      <w:pPr>
        <w:pStyle w:val="Heading3"/>
      </w:pPr>
      <w:bookmarkStart w:id="37" w:name="interactivity-communication-and-active-learning"/>
      <w:bookmarkEnd w:id="37"/>
      <w:r>
        <w:t xml:space="preserve">Interactivity, communication and active learning</w:t>
      </w:r>
    </w:p>
    <w:p>
      <w:pPr>
        <w:pStyle w:val="FirstParagraph"/>
      </w:pPr>
      <w:r>
        <w:t xml:space="preserve">Students will learn how to design curriculum for online, blended and web-enhance environments that incorporates interactivity, communication and active learning.</w:t>
      </w:r>
    </w:p>
    <w:p>
      <w:pPr>
        <w:pStyle w:val="BodyText"/>
      </w:pPr>
      <w:r>
        <w:rPr>
          <w:i/>
        </w:rPr>
        <w:t xml:space="preserve">Readings due: Patrick, ch 9</w:t>
      </w:r>
    </w:p>
    <w:p>
      <w:pPr>
        <w:pStyle w:val="Heading3"/>
      </w:pPr>
      <w:bookmarkStart w:id="38" w:name="differentiation-and-special-needs"/>
      <w:bookmarkEnd w:id="38"/>
      <w:r>
        <w:t xml:space="preserve">Differentiation and special needs</w:t>
      </w:r>
    </w:p>
    <w:p>
      <w:pPr>
        <w:pStyle w:val="FirstParagraph"/>
      </w:pPr>
      <w:r>
        <w:t xml:space="preserve">Students will learn how to design online, blended and web-enhanced instruction that incorporates differentiation for multiple intelligences and special needs.</w:t>
      </w:r>
    </w:p>
    <w:p>
      <w:pPr>
        <w:pStyle w:val="BodyText"/>
      </w:pPr>
      <w:r>
        <w:rPr>
          <w:i/>
        </w:rPr>
        <w:t xml:space="preserve">Readings due: Patrick, ch 8</w:t>
      </w:r>
    </w:p>
    <w:p>
      <w:pPr>
        <w:pStyle w:val="Heading3"/>
      </w:pPr>
      <w:bookmarkStart w:id="39" w:name="assessment"/>
      <w:bookmarkEnd w:id="39"/>
      <w:r>
        <w:t xml:space="preserve">Assessment</w:t>
      </w:r>
    </w:p>
    <w:p>
      <w:pPr>
        <w:pStyle w:val="FirstParagraph"/>
      </w:pPr>
      <w:r>
        <w:t xml:space="preserve">Students will learn about assessing students in online, blended and web-enhanced learning environments.</w:t>
      </w:r>
    </w:p>
    <w:p>
      <w:pPr>
        <w:pStyle w:val="BodyText"/>
      </w:pPr>
      <w:r>
        <w:rPr>
          <w:i/>
        </w:rPr>
        <w:t xml:space="preserve">Readings due: Quality Matters</w:t>
      </w:r>
    </w:p>
    <w:p>
      <w:pPr>
        <w:pStyle w:val="Heading3"/>
      </w:pPr>
      <w:bookmarkStart w:id="40" w:name="teacher-professional-development"/>
      <w:bookmarkEnd w:id="40"/>
      <w:r>
        <w:t xml:space="preserve">Teacher professional development</w:t>
      </w:r>
    </w:p>
    <w:p>
      <w:pPr>
        <w:pStyle w:val="FirstParagraph"/>
      </w:pPr>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pPr>
        <w:pStyle w:val="BodyText"/>
      </w:pPr>
      <w:r>
        <w:rPr>
          <w:i/>
        </w:rPr>
        <w:t xml:space="preserve">Readings due: Patrick, ch 10</w:t>
      </w:r>
    </w:p>
    <w:p>
      <w:pPr>
        <w:pStyle w:val="Heading3"/>
      </w:pPr>
      <w:bookmarkStart w:id="41" w:name="curriculum-development"/>
      <w:bookmarkEnd w:id="41"/>
      <w:r>
        <w:t xml:space="preserve">Curriculum development</w:t>
      </w:r>
    </w:p>
    <w:p>
      <w:pPr>
        <w:pStyle w:val="FirstParagraph"/>
      </w:pPr>
      <w:r>
        <w:t xml:space="preserve">Students will learn about the best practices for designing online, blended and web-enhanced curriculum.</w:t>
      </w:r>
    </w:p>
    <w:p>
      <w:pPr>
        <w:pStyle w:val="BodyText"/>
      </w:pPr>
      <w:r>
        <w:rPr>
          <w:i/>
        </w:rPr>
        <w:t xml:space="preserve">Readings due: Ragan, Part III: Putting It All Together</w:t>
      </w:r>
    </w:p>
    <w:p>
      <w:pPr>
        <w:pStyle w:val="Heading3"/>
      </w:pPr>
      <w:bookmarkStart w:id="42" w:name="politics-of-online-and-blended-learning"/>
      <w:bookmarkEnd w:id="42"/>
      <w:r>
        <w:t xml:space="preserve">Politics of online and blended learning</w:t>
      </w:r>
    </w:p>
    <w:p>
      <w:pPr>
        <w:pStyle w:val="FirstParagraph"/>
      </w:pPr>
      <w:r>
        <w:t xml:space="preserve">Students will look at the various issues surrounding online and blended learning. Issues such as profit, quality of education, classroom space issues and quality of teachers/professors will be investigated.</w:t>
      </w:r>
    </w:p>
    <w:p>
      <w:pPr>
        <w:pStyle w:val="BodyText"/>
      </w:pPr>
      <w:r>
        <w:rPr>
          <w:i/>
        </w:rPr>
        <w:t xml:space="preserve">Readings due: Patrick, ch 11</w:t>
      </w:r>
    </w:p>
    <w:p>
      <w:pPr>
        <w:pStyle w:val="Heading3"/>
      </w:pPr>
      <w:bookmarkStart w:id="43" w:name="final-presentations"/>
      <w:bookmarkEnd w:id="43"/>
      <w:r>
        <w:t xml:space="preserve">Final presentations</w:t>
      </w:r>
    </w:p>
    <w:p>
      <w:pPr>
        <w:pStyle w:val="Heading2"/>
      </w:pPr>
      <w:bookmarkStart w:id="44" w:name="grading-and-assessment"/>
      <w:bookmarkEnd w:id="44"/>
      <w:r>
        <w:t xml:space="preserve">Grading and Assessment</w:t>
      </w:r>
    </w:p>
    <w:p>
      <w:pPr>
        <w:pStyle w:val="Heading3"/>
      </w:pPr>
      <w:bookmarkStart w:id="45" w:name="class-participation-15"/>
      <w:bookmarkEnd w:id="45"/>
      <w:r>
        <w:t xml:space="preserve">Class Participation (15%)</w:t>
      </w:r>
    </w:p>
    <w:p>
      <w:pPr>
        <w:pStyle w:val="FirstParagraph"/>
      </w:pPr>
      <w:r>
        <w:t xml:space="preserve">Students will be assessed on the quality and depth of class discussions, as carried out through synchronous and asynchronous online activities. Class participation will be based on weekly session topics and collaborative work with class members.</w:t>
      </w:r>
    </w:p>
    <w:p>
      <w:pPr>
        <w:pStyle w:val="Heading3"/>
      </w:pPr>
      <w:bookmarkStart w:id="46" w:name="reflectionresponse-papers-50"/>
      <w:bookmarkEnd w:id="46"/>
      <w:r>
        <w:t xml:space="preserve">Reflection/Response Papers (50%)</w:t>
      </w:r>
    </w:p>
    <w:p>
      <w:pPr>
        <w:pStyle w:val="FirstParagraph"/>
      </w:pPr>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pPr>
        <w:pStyle w:val="BodyText"/>
      </w:pPr>
      <w:r>
        <w:rPr>
          <w:b/>
        </w:rPr>
        <w:t xml:space="preserve">Sample questions for reflective papers:</w:t>
      </w:r>
    </w:p>
    <w:p>
      <w:pPr>
        <w:pStyle w:val="Compact"/>
        <w:numPr>
          <w:numId w:val="1001"/>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1001"/>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1001"/>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1001"/>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p>
      <w:pPr>
        <w:pStyle w:val="Heading3"/>
      </w:pPr>
      <w:bookmarkStart w:id="47" w:name="final-culminating-project-35"/>
      <w:bookmarkEnd w:id="47"/>
      <w:r>
        <w:t xml:space="preserve">Final Culminating Project (35%)</w:t>
      </w:r>
    </w:p>
    <w:p>
      <w:pPr>
        <w:pStyle w:val="FirstParagraph"/>
      </w:pPr>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c9b3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4b2f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