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1" w:name="required-books"/>
      <w:bookmarkEnd w:id="21"/>
      <w:r>
        <w:t xml:space="preserve">Required Books</w:t>
      </w:r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2" w:name="readings"/>
      <w:bookmarkEnd w:id="22"/>
      <w:r>
        <w:t xml:space="preserve">Readings</w:t>
      </w:r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4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5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6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7" w:name="class-sessions"/>
      <w:bookmarkEnd w:id="27"/>
      <w:r>
        <w:t xml:space="preserve">Class sessions</w:t>
      </w:r>
    </w:p>
    <w:p>
      <w:pPr>
        <w:pStyle w:val="Heading3"/>
      </w:pPr>
      <w:bookmarkStart w:id="28" w:name="introduction-to-online-blended-and-web-enhanced-learning"/>
      <w:bookmarkEnd w:id="28"/>
      <w:r>
        <w:t xml:space="preserve">Introduction to online, blended and web-enhanced learning</w:t>
      </w:r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30" w:name="evaluation-of-online-blended-and-web-enhanced-models"/>
      <w:bookmarkEnd w:id="30"/>
      <w:r>
        <w:t xml:space="preserve">Evaluation of online, blended and web-enhanced models</w:t>
      </w:r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1" w:name="the-notion-of-anytime-and-anyplace-learning"/>
      <w:bookmarkEnd w:id="31"/>
      <w:r>
        <w:t xml:space="preserve">The notion of anytime and anyplace learning</w:t>
      </w:r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2" w:name="technology-for-online-and-blended-learning"/>
      <w:bookmarkEnd w:id="32"/>
      <w:r>
        <w:t xml:space="preserve">Technology for online and blended learning</w:t>
      </w:r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3" w:name="technology-for-online-and-blended-learning---part-2"/>
      <w:bookmarkEnd w:id="33"/>
      <w:r>
        <w:t xml:space="preserve">Technology for online and blended learning - part 2</w:t>
      </w:r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4" w:name="online-blended-and-web-enhanced-kearning-in-k-12-and-higher-education"/>
      <w:bookmarkEnd w:id="34"/>
      <w:r>
        <w:t xml:space="preserve">Online, blended and web-enhanced kearning in k-12 and higher education</w:t>
      </w:r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5" w:name="virtual-schools"/>
      <w:bookmarkEnd w:id="35"/>
      <w:r>
        <w:t xml:space="preserve">Virtual schools</w:t>
      </w:r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6" w:name="student-centered-learning"/>
      <w:bookmarkEnd w:id="36"/>
      <w:r>
        <w:t xml:space="preserve">Student centered learning</w:t>
      </w:r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7" w:name="interactivity-communication-and-active-learning"/>
      <w:bookmarkEnd w:id="37"/>
      <w:r>
        <w:t xml:space="preserve">Interactivity, communication and active learning</w:t>
      </w:r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8" w:name="differentiation-and-special-needs"/>
      <w:bookmarkEnd w:id="38"/>
      <w:r>
        <w:t xml:space="preserve">Differentiation and special needs</w:t>
      </w:r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9" w:name="assessment"/>
      <w:bookmarkEnd w:id="39"/>
      <w:r>
        <w:t xml:space="preserve">Assessment</w:t>
      </w:r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40" w:name="teacher-professional-development"/>
      <w:bookmarkEnd w:id="40"/>
      <w:r>
        <w:t xml:space="preserve">Teacher professional development</w:t>
      </w:r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1" w:name="curriculum-development"/>
      <w:bookmarkEnd w:id="41"/>
      <w:r>
        <w:t xml:space="preserve">Curriculum development</w:t>
      </w:r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2" w:name="politics-of-online-and-blended-learning"/>
      <w:bookmarkEnd w:id="42"/>
      <w:r>
        <w:t xml:space="preserve">Politics of online and blended learning</w:t>
      </w:r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3" w:name="final-presentations"/>
      <w:bookmarkEnd w:id="43"/>
      <w:r>
        <w:t xml:space="preserve">Final presentations</w:t>
      </w:r>
    </w:p>
    <w:p>
      <w:pPr>
        <w:pStyle w:val="Heading2"/>
      </w:pPr>
      <w:bookmarkStart w:id="44" w:name="grading-and-assessment"/>
      <w:bookmarkEnd w:id="44"/>
      <w:r>
        <w:t xml:space="preserve">Grading and Assessment</w:t>
      </w:r>
    </w:p>
    <w:p>
      <w:pPr>
        <w:pStyle w:val="Heading3"/>
      </w:pPr>
      <w:bookmarkStart w:id="45" w:name="class-participation-15"/>
      <w:bookmarkEnd w:id="45"/>
      <w:r>
        <w:t xml:space="preserve">Class Participation (15%)</w:t>
      </w:r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6" w:name="reflectionresponse-papers-50"/>
      <w:bookmarkEnd w:id="46"/>
      <w:r>
        <w:t xml:space="preserve">Reflection/Response Papers (50%)</w:t>
      </w:r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7" w:name="final-culminating-project-35"/>
      <w:bookmarkEnd w:id="47"/>
      <w:r>
        <w:t xml:space="preserve">Final Culminating Project (35%)</w:t>
      </w:r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b4e7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28ee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cnx.org/content/col10453/latest" TargetMode="External" /><Relationship Type="http://schemas.openxmlformats.org/officeDocument/2006/relationships/hyperlink" Id="rId25" Target="http://qminstitute.org/home/Public%20Library/About%20QM/RubricStandards2008-2010.pdf" TargetMode="External" /><Relationship Type="http://schemas.openxmlformats.org/officeDocument/2006/relationships/hyperlink" Id="rId29" Target="http://sloanconsortium.org/" TargetMode="External" /><Relationship Type="http://schemas.openxmlformats.org/officeDocument/2006/relationships/hyperlink" Id="rId23" Target="http://www.inacol.org/research/bookstore/index.php" TargetMode="External" /><Relationship Type="http://schemas.openxmlformats.org/officeDocument/2006/relationships/hyperlink" Id="rId24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cnx.org/content/col10453/latest" TargetMode="External" /><Relationship Type="http://schemas.openxmlformats.org/officeDocument/2006/relationships/hyperlink" Id="rId25" Target="http://qminstitute.org/home/Public%20Library/About%20QM/RubricStandards2008-2010.pdf" TargetMode="External" /><Relationship Type="http://schemas.openxmlformats.org/officeDocument/2006/relationships/hyperlink" Id="rId29" Target="http://sloanconsortium.org/" TargetMode="External" /><Relationship Type="http://schemas.openxmlformats.org/officeDocument/2006/relationships/hyperlink" Id="rId23" Target="http://www.inacol.org/research/bookstore/index.php" TargetMode="External" /><Relationship Type="http://schemas.openxmlformats.org/officeDocument/2006/relationships/hyperlink" Id="rId24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</cp:coreProperties>
</file>