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numPr>
          <w:ilvl w:val="1"/>
          <w:numId w:val="1006"/>
        </w:numPr>
        <w:pStyle w:val="Compact"/>
      </w:pPr>
      <w:r>
        <w:t xml:space="preserve">Sweller, J. (2012).</w:t>
      </w:r>
      <w:r>
        <w:t xml:space="preserve"> </w:t>
      </w:r>
      <w:hyperlink r:id="rId39">
        <w:r>
          <w:rPr>
            <w:rStyle w:val="Hyperlink"/>
          </w:rPr>
          <w:t xml:space="preserve">Human cognitive architecture: Why some instructional procedures work and others do not.</w:t>
        </w:r>
      </w:hyperlink>
    </w:p>
    <w:p>
      <w:pPr>
        <w:pStyle w:val="Heading3"/>
      </w:pPr>
      <w:bookmarkStart w:id="40" w:name="week-4-universal-design-for-learning-udl"/>
      <w:r>
        <w:t xml:space="preserve">Week 4: Universal Design for Learning (UDL)</w:t>
      </w:r>
      <w:bookmarkEnd w:id="4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2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3" w:name="week-5-platforms"/>
      <w:r>
        <w:t xml:space="preserve">Week 5: Platforms</w:t>
      </w:r>
      <w:bookmarkEnd w:id="43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4" w:name="week-6-assessment"/>
      <w:r>
        <w:t xml:space="preserve">Week 6: Assessment</w:t>
      </w:r>
      <w:bookmarkEnd w:id="44"/>
    </w:p>
    <w:p>
      <w:pPr>
        <w:pStyle w:val="FirstParagraph"/>
      </w:pPr>
      <w:r>
        <w:rPr>
          <w:b/>
        </w:rPr>
        <w:t xml:space="preserve">Read:</w:t>
      </w:r>
    </w:p>
    <w:p>
      <w:pPr>
        <w:pStyle w:val="BodyText"/>
      </w:pPr>
      <w:r>
        <w:t xml:space="preserve">Wiggins, G., &amp; McTighe, J. (2005).</w:t>
      </w:r>
      <w:r>
        <w:t xml:space="preserve"> </w:t>
      </w:r>
      <w:hyperlink r:id="rId45">
        <w:r>
          <w:rPr>
            <w:rStyle w:val="Hyperlink"/>
          </w:rPr>
          <w:t xml:space="preserve">Chapter 1: Backwards Design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Understanding by design</w:t>
      </w:r>
      <w:r>
        <w:t xml:space="preserve">. Association for Supervision &amp; Curriculum Development.</w:t>
      </w:r>
      <w:r>
        <w:t xml:space="preserve"> </w:t>
      </w:r>
      <w:r>
        <w:t xml:space="preserve">- Veletsianos (2020).</w:t>
      </w:r>
      <w:r>
        <w:t xml:space="preserve"> </w:t>
      </w:r>
      <w:hyperlink r:id="rId46">
        <w:r>
          <w:rPr>
            <w:rStyle w:val="Hyperlink"/>
          </w:rPr>
          <w:t xml:space="preserve">The learner who cheated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Learning online: The student experience</w:t>
      </w:r>
      <w:r>
        <w:t xml:space="preserve">. Johns Hopkins University Press.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7" w:name="week-7-presence"/>
      <w:r>
        <w:t xml:space="preserve">Week 7: Presence</w:t>
      </w:r>
      <w:bookmarkEnd w:id="47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8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Novak and Thibodeau (2016)</w:t>
      </w:r>
      <w:r>
        <w:t xml:space="preserve"> </w:t>
      </w:r>
      <w:hyperlink r:id="rId49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50" w:name="week-8-adaptive-learning"/>
      <w:r>
        <w:t xml:space="preserve">Week 8: Adaptive Learning</w:t>
      </w:r>
      <w:bookmarkEnd w:id="50"/>
    </w:p>
    <w:p>
      <w:pPr>
        <w:pStyle w:val="FirstParagraph"/>
      </w:pPr>
      <w:r>
        <w:rPr>
          <w:b/>
        </w:rPr>
        <w:t xml:space="preserve">Read: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Intelligent Tutoring Systems and Online Learning</w:t>
        </w:r>
      </w:hyperlink>
      <w:r>
        <w:t xml:space="preserve">. In Peter Stone, Rodney Brooks, Erik Brynjolfsson, Ryan Calo, Oren Etzioni, Greg Hager, Julia Hirschberg, Shivaram Kalyanakrishnan, Ece Kamar, Sarit Kraus, Kevin Leyton-Brown, David Parkes, William Press, AnnaLee Saxenian, Julie Shah, Milind Tambe, and Astro Teller.</w:t>
      </w:r>
      <w:r>
        <w:t xml:space="preserve"> </w:t>
      </w:r>
      <w:r>
        <w:t xml:space="preserve">“</w:t>
      </w:r>
      <w:r>
        <w:t xml:space="preserve">Artificial Intelligence and Life in 2030.</w:t>
      </w:r>
      <w:r>
        <w:t xml:space="preserve">”</w:t>
      </w:r>
      <w:r>
        <w:t xml:space="preserve"> </w:t>
      </w:r>
      <w:r>
        <w:t xml:space="preserve">One Hundred Year Study on Artificial Intelligence: Report of the 2015-2016 Study Panel, Stanford University, Stanford, CA, September 2016.</w:t>
      </w:r>
      <w:r>
        <w:t xml:space="preserve"> </w:t>
      </w:r>
      <w:r>
        <w:t xml:space="preserve">- Moskal, P. D. Carter &amp; Dale Johnson</w:t>
      </w:r>
      <w:r>
        <w:t xml:space="preserve"> </w:t>
      </w:r>
      <w:hyperlink r:id="rId52">
        <w:r>
          <w:rPr>
            <w:rStyle w:val="Hyperlink"/>
          </w:rPr>
          <w:t xml:space="preserve">7 Things You Should Know About Adaptive Learning</w:t>
        </w:r>
      </w:hyperlink>
      <w:r>
        <w:t xml:space="preserve">.</w:t>
      </w:r>
      <w:r>
        <w:t xml:space="preserve"> </w:t>
      </w:r>
      <w:r>
        <w:rPr>
          <w:i/>
        </w:rPr>
        <w:t xml:space="preserve">Educause.</w:t>
      </w:r>
    </w:p>
    <w:p>
      <w:pPr>
        <w:pStyle w:val="BodyText"/>
      </w:pPr>
      <w:r>
        <w:rPr>
          <w:b/>
        </w:rPr>
        <w:t xml:space="preserve">Optional:</w:t>
      </w:r>
    </w:p>
    <w:p>
      <w:pPr>
        <w:numPr>
          <w:ilvl w:val="0"/>
          <w:numId w:val="1009"/>
        </w:numPr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(2017).</w:t>
      </w:r>
      <w:r>
        <w:t xml:space="preserve"> </w:t>
      </w:r>
      <w:hyperlink r:id="rId53">
        <w:r>
          <w:rPr>
            <w:rStyle w:val="Hyperlink"/>
          </w:rPr>
          <w:t xml:space="preserve">Instruction based on adaptive learning technologies</w:t>
        </w:r>
      </w:hyperlink>
    </w:p>
    <w:p>
      <w:pPr>
        <w:numPr>
          <w:ilvl w:val="0"/>
          <w:numId w:val="1009"/>
        </w:numPr>
      </w:pPr>
      <w:r>
        <w:t xml:space="preserve">Graesser, A. C., Conley, M. W., &amp; Olney, A. (2012). Intelligent tutoring systems. In K. R. Harris, S. Graham, T. Urdan, A. G. Bus, S. Major, &amp; H. L. Swanson (Eds.),</w:t>
      </w:r>
      <w:r>
        <w:t xml:space="preserve"> </w:t>
      </w:r>
      <w:r>
        <w:rPr>
          <w:i/>
        </w:rPr>
        <w:t xml:space="preserve">APA educational psychology handbook, Vol. 3. Application to learning and teaching (pp. 451–473)</w:t>
      </w:r>
      <w:r>
        <w:t xml:space="preserve">. American Psychological Association.</w:t>
      </w:r>
    </w:p>
    <w:p>
      <w:pPr>
        <w:numPr>
          <w:ilvl w:val="0"/>
          <w:numId w:val="1009"/>
        </w:numPr>
      </w:pPr>
      <w:r>
        <w:t xml:space="preserve">Xie, H., Chu, H. C., Hwang, G. J., &amp; Wang, C. C. (2019).</w:t>
      </w:r>
      <w:r>
        <w:t xml:space="preserve"> </w:t>
      </w:r>
      <w:hyperlink r:id="rId54">
        <w:r>
          <w:rPr>
            <w:rStyle w:val="Hyperlink"/>
          </w:rPr>
          <w:t xml:space="preserve">Trends and development in technology-enhanced adaptive/personalized learning: A systematic review of journal publications from 2007 to 2017</w:t>
        </w:r>
      </w:hyperlink>
      <w:r>
        <w:t xml:space="preserve">.</w:t>
      </w:r>
      <w:r>
        <w:t xml:space="preserve"> </w:t>
      </w:r>
      <w:r>
        <w:rPr>
          <w:i/>
        </w:rPr>
        <w:t xml:space="preserve">Computers &amp; Education</w:t>
      </w:r>
      <w:r>
        <w:t xml:space="preserve">, 140, 103599.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5" w:name="week-9-remote-learning-1"/>
      <w:r>
        <w:t xml:space="preserve">Week 9: Remote Learning 1</w:t>
      </w:r>
      <w:bookmarkEnd w:id="55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6" w:name="week-10-remote-learning-2"/>
      <w:r>
        <w:t xml:space="preserve">Week 10: Remote Learning 2</w:t>
      </w:r>
      <w:bookmarkEnd w:id="56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7" w:name="week-11-12-prototyping"/>
      <w:r>
        <w:t xml:space="preserve">Week 11 &amp; 12: Prototyping</w:t>
      </w:r>
      <w:bookmarkEnd w:id="57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8" w:name="week-13-14-final-run"/>
      <w:r>
        <w:t xml:space="preserve">Week 13 &amp; 14: Final Run</w:t>
      </w:r>
      <w:bookmarkEnd w:id="58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9" w:name="week-15-mini-unit-due"/>
      <w:r>
        <w:t xml:space="preserve">Week 15: Mini-unit due</w:t>
      </w:r>
      <w:bookmarkEnd w:id="59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60" w:name="assignments-grading"/>
      <w:r>
        <w:t xml:space="preserve">Assignments &amp; Grading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p>
      <w:pPr>
        <w:pStyle w:val="Heading3"/>
      </w:pPr>
      <w:bookmarkStart w:id="61" w:name="narrated-tutorial"/>
      <w:r>
        <w:t xml:space="preserve">Narrated Tutorial</w:t>
      </w:r>
      <w:bookmarkEnd w:id="61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62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63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6" w:name="remote-learning-report-pair"/>
      <w:r>
        <w:t xml:space="preserve">Remote Learning Report (pair)</w:t>
      </w:r>
      <w:bookmarkEnd w:id="66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7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1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1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1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8" w:name="mini-unit"/>
      <w:r>
        <w:t xml:space="preserve">Mini-unit</w:t>
      </w:r>
      <w:bookmarkEnd w:id="68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9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70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71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7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2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2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2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2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2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2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8" w:name="participation"/>
      <w:r>
        <w:t xml:space="preserve">Participation</w:t>
      </w:r>
      <w:bookmarkEnd w:id="78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2022-08-24T02:54:23Z</dcterms:created>
  <dcterms:modified xsi:type="dcterms:W3CDTF">2022-08-24T02:54:23Z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