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Fall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r>
        <w:rPr>
          <w:b/>
        </w:rPr>
        <w:t xml:space="preserve">Class meetings:</w:t>
      </w:r>
    </w:p>
    <w:p>
      <w:pPr>
        <w:pStyle w:val="Compact"/>
        <w:numPr>
          <w:numId w:val="3"/>
          <w:ilvl w:val="0"/>
        </w:numPr>
      </w:pPr>
      <w:r>
        <w:t xml:space="preserve">Tues. 4:30-6:20PM, Gallagher Lab, Swirbul Library (Garden City)</w:t>
      </w:r>
    </w:p>
    <w:p>
      <w:r>
        <w:rPr>
          <w:b/>
        </w:rPr>
        <w:t xml:space="preserve">Instructor</w:t>
      </w:r>
    </w:p>
    <w:p>
      <w:pPr>
        <w:pStyle w:val="Compact"/>
        <w:numPr>
          <w:numId w:val="4"/>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4"/>
          <w:ilvl w:val="0"/>
        </w:numPr>
      </w:pPr>
      <w:hyperlink r:id="rId23">
        <w:r>
          <w:rPr>
            <w:rStyle w:val="Link"/>
          </w:rPr>
          <w:t xml:space="preserve">Post Annex, Room 1</w:t>
        </w:r>
      </w:hyperlink>
    </w:p>
    <w:p>
      <w:r>
        <w:rPr>
          <w:b/>
        </w:rPr>
        <w:t xml:space="preserve">Dr. Curinga’s Office Hours</w:t>
      </w:r>
    </w:p>
    <w:p>
      <w:pPr>
        <w:pStyle w:val="Compact"/>
        <w:numPr>
          <w:numId w:val="5"/>
          <w:ilvl w:val="0"/>
        </w:numPr>
      </w:pPr>
      <w:r>
        <w:t xml:space="preserve">Monday, 3-5:00PM</w:t>
      </w:r>
    </w:p>
    <w:p>
      <w:pPr>
        <w:pStyle w:val="Compact"/>
        <w:numPr>
          <w:numId w:val="5"/>
          <w:ilvl w:val="0"/>
        </w:numPr>
      </w:pPr>
      <w:r>
        <w:t xml:space="preserve">Tuesday, 3:30-4:30PM, 8:30-9:30PM</w:t>
      </w:r>
    </w:p>
    <w:p>
      <w:pPr>
        <w:pStyle w:val="Compact"/>
        <w:numPr>
          <w:numId w:val="5"/>
          <w:ilvl w:val="0"/>
        </w:numPr>
      </w:pPr>
      <w:r>
        <w:t xml:space="preserve">Wednesday, 3-5PM</w:t>
      </w:r>
    </w:p>
    <w:p>
      <w:pPr>
        <w:pStyle w:val="Compact"/>
        <w:numPr>
          <w:numId w:val="5"/>
          <w:ilvl w:val="0"/>
        </w:numPr>
      </w:pPr>
      <w:r>
        <w:t xml:space="preserve">by appointment</w:t>
      </w:r>
    </w:p>
    <w:bookmarkStart w:id="24" w:name="readings"/>
    <w:p>
      <w:pPr>
        <w:pStyle w:val="Heading1"/>
      </w:pPr>
      <w:r>
        <w:t xml:space="preserve">Readings</w:t>
      </w:r>
    </w:p>
    <w:bookmarkEnd w:id="24"/>
    <w:bookmarkStart w:id="25" w:name="bibliography-readings"/>
    <w:p>
      <w:pPr>
        <w:pStyle w:val="Heading2"/>
      </w:pPr>
      <w:r>
        <w:t xml:space="preserve">Bibliography &amp; readings</w:t>
      </w:r>
    </w:p>
    <w:bookmarkEnd w:id="25"/>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26">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Link"/>
          </w:rPr>
          <w:t xml:space="preserve">download from moodle</w:t>
        </w:r>
      </w:hyperlink>
    </w:p>
    <w:p>
      <w:r>
        <w:t xml:space="preserve">Benkler, Y. (2006).</w:t>
      </w:r>
      <w:r>
        <w:t xml:space="preserve"> </w:t>
      </w:r>
      <w:hyperlink r:id="rId28">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29">
        <w:r>
          <w:rPr>
            <w:rStyle w:val="Link"/>
          </w:rPr>
          <w:t xml:space="preserve">Introduction</w:t>
        </w:r>
      </w:hyperlink>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31">
        <w:r>
          <w:rPr>
            <w:rStyle w:val="Link"/>
          </w:rPr>
          <w:t xml:space="preserve">What is a MOOC?</w:t>
        </w:r>
      </w:hyperlink>
      <w:r>
        <w:t xml:space="preserve"> </w:t>
      </w:r>
      <w:r>
        <w:t xml:space="preserve">[video, 04:27]</w:t>
      </w:r>
    </w:p>
    <w:p>
      <w:r>
        <w:t xml:space="preserve">Crouch, C. H., &amp; Mazur, E. (2001).</w:t>
      </w:r>
      <w:r>
        <w:t xml:space="preserve"> </w:t>
      </w:r>
      <w:hyperlink r:id="rId32">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33">
        <w:r>
          <w:rPr>
            <w:i/>
            <w:rStyle w:val="Link"/>
          </w:rPr>
          <w:t xml:space="preserve">Democracy and Education</w:t>
        </w:r>
      </w:hyperlink>
      <w:r>
        <w:t xml:space="preserve">. The Macmillan Company. New York.</w:t>
      </w:r>
    </w:p>
    <w:p>
      <w:r>
        <w:t xml:space="preserve">Edu-factory Collective. (2009).</w:t>
      </w:r>
      <w:r>
        <w:t xml:space="preserve"> </w:t>
      </w:r>
      <w:hyperlink r:id="rId34">
        <w:r>
          <w:rPr>
            <w:i/>
            <w:rStyle w:val="Link"/>
          </w:rPr>
          <w:t xml:space="preserve">Toward a global autonomous university</w:t>
        </w:r>
      </w:hyperlink>
      <w:r>
        <w:t xml:space="preserve">. New York: Autonomedia.</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37">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39">
        <w:r>
          <w:rPr>
            <w:i/>
            <w:rStyle w:val="Link"/>
          </w:rPr>
          <w:t xml:space="preserve">Deschooling Society</w:t>
        </w:r>
      </w:hyperlink>
      <w:r>
        <w:t xml:space="preserve">. Harper &amp; Row. New York.</w:t>
      </w:r>
    </w:p>
    <w:p>
      <w:r>
        <w:t xml:space="preserve">Kelty, C. (2008).</w:t>
      </w:r>
      <w:r>
        <w:t xml:space="preserve"> </w:t>
      </w:r>
      <w:hyperlink r:id="rId40">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41">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43">
        <w:r>
          <w:rPr>
            <w:i/>
            <w:rStyle w:val="Link"/>
          </w:rPr>
          <w:t xml:space="preserve">The social media reader</w:t>
        </w:r>
      </w:hyperlink>
      <w:r>
        <w:t xml:space="preserve">. New York: New York University Press.</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Peters, M., &amp; Bulut, E. (2011).</w:t>
      </w:r>
      <w:r>
        <w:t xml:space="preserve"> </w:t>
      </w:r>
      <w:r>
        <w:rPr>
          <w:i/>
        </w:rPr>
        <w:t xml:space="preserve">Cognitive capitalism, education, and digital labor</w:t>
      </w:r>
      <w:r>
        <w:t xml:space="preserve">. New York: Peter Lang. ISBN: 1433109816</w:t>
      </w:r>
    </w:p>
    <w:p>
      <w:r>
        <w:t xml:space="preserve">Rancière, J. 1991.</w:t>
      </w:r>
      <w:r>
        <w:t xml:space="preserve"> </w:t>
      </w:r>
      <w:r>
        <w:rPr>
          <w:i/>
        </w:rPr>
        <w:t xml:space="preserve">The Ignorant Schoolmaster: Five Lessons in Intellectual Emancipation</w:t>
      </w:r>
      <w:r>
        <w:t xml:space="preserve">. Stanford University Press. USA. ISBN 0804719691</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50">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53">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rId54">
        <w:r>
          <w:rPr>
            <w:rStyle w:val="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bookmarkStart w:id="55" w:name="class-sessions"/>
    <w:p>
      <w:pPr>
        <w:pStyle w:val="Heading1"/>
      </w:pPr>
      <w:r>
        <w:t xml:space="preserve">Class Sessions</w:t>
      </w:r>
    </w:p>
    <w:bookmarkEnd w:id="55"/>
    <w:bookmarkStart w:id="56" w:name="sep-15-foundations-of-open-education-connected-learning"/>
    <w:p>
      <w:pPr>
        <w:pStyle w:val="Heading2"/>
      </w:pPr>
      <w:r>
        <w:t xml:space="preserve">Sep 15: Foundations of Open Education &amp; Connected Learning</w:t>
      </w:r>
    </w:p>
    <w:bookmarkEnd w:id="56"/>
    <w:bookmarkStart w:id="57" w:name="readings-due"/>
    <w:p>
      <w:pPr>
        <w:pStyle w:val="Heading4"/>
      </w:pPr>
      <w:r>
        <w:t xml:space="preserve">Readings due:</w:t>
      </w:r>
    </w:p>
    <w:bookmarkEnd w:id="57"/>
    <w:p>
      <w:r>
        <w:t xml:space="preserve">Wiley, D. (n.d.).</w:t>
      </w:r>
      <w:r>
        <w:t xml:space="preserve"> </w:t>
      </w:r>
      <w:hyperlink r:id="rId58">
        <w:r>
          <w:rPr>
            <w:rStyle w:val="Link"/>
          </w:rPr>
          <w:t xml:space="preserve">The Extended Argument for Openness in Education: Introduction to Openness in Education</w:t>
        </w:r>
      </w:hyperlink>
      <w:r>
        <w:t xml:space="preserve">. In course</w:t>
      </w:r>
      <w:r>
        <w:t xml:space="preserve"> </w:t>
      </w:r>
      <w:hyperlink r:id="rId59">
        <w:r>
          <w:rPr>
            <w:i/>
            <w:rStyle w:val="Link"/>
          </w:rPr>
          <w:t xml:space="preserve">Introduction to Openness in Education</w:t>
        </w:r>
      </w:hyperlink>
    </w:p>
    <w:p>
      <w:pPr>
        <w:pStyle w:val="Compact"/>
        <w:numPr>
          <w:numId w:val="6"/>
          <w:ilvl w:val="0"/>
        </w:numPr>
      </w:pPr>
      <w:r>
        <w:t xml:space="preserve">“</w:t>
      </w:r>
      <w:hyperlink r:id="rId53">
        <w:r>
          <w:rPr>
            <w:rStyle w:val="Link"/>
          </w:rPr>
          <w:t xml:space="preserve">The Cape Town Open Education Declaration</w:t>
        </w:r>
      </w:hyperlink>
      <w:r>
        <w:t xml:space="preserve">”</w:t>
      </w:r>
      <w:r>
        <w:t xml:space="preserve">.</w:t>
      </w:r>
    </w:p>
    <w:p>
      <w:r>
        <w:t xml:space="preserve">Unesco. (2012)</w:t>
      </w:r>
      <w:r>
        <w:t xml:space="preserve"> </w:t>
      </w:r>
      <w:hyperlink r:id="rId60">
        <w:r>
          <w:rPr>
            <w:rStyle w:val="Link"/>
          </w:rPr>
          <w:t xml:space="preserve">“</w:t>
        </w:r>
        <w:r>
          <w:rPr>
            <w:rStyle w:val="Link"/>
          </w:rPr>
          <w:t xml:space="preserve">The UNESCO Paris Declaration.</w:t>
        </w:r>
        <w:r>
          <w:rPr>
            <w:rStyle w:val="Link"/>
          </w:rPr>
          <w:t xml:space="preserve">”</w:t>
        </w:r>
      </w:hyperlink>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bookmarkStart w:id="61" w:name="optional-readings"/>
    <w:p>
      <w:pPr>
        <w:pStyle w:val="Heading4"/>
      </w:pPr>
      <w:r>
        <w:t xml:space="preserve">Optional readings:</w:t>
      </w:r>
    </w:p>
    <w:bookmarkEnd w:id="61"/>
    <w:p>
      <w:r>
        <w:t xml:space="preserve">Wiley, D., Bliss, T. J., &amp; McEwen, M. (2013).</w:t>
      </w:r>
      <w:r>
        <w:t xml:space="preserve"> </w:t>
      </w:r>
      <w:hyperlink r:id="rId62">
        <w:r>
          <w:rPr>
            <w:rStyle w:val="Link"/>
          </w:rPr>
          <w:t xml:space="preserve">Open Educational Resources: A Review of the Literature.</w:t>
        </w:r>
      </w:hyperlink>
      <w:r>
        <w:t xml:space="preserve"> </w:t>
      </w:r>
      <w:r>
        <w:t xml:space="preserve">In J. M. Spector (Ed.),</w:t>
      </w:r>
      <w:r>
        <w:t xml:space="preserve"> </w:t>
      </w:r>
      <w:hyperlink r:id="rId63">
        <w:r>
          <w:rPr>
            <w:i/>
            <w:rStyle w:val="Link"/>
          </w:rPr>
          <w:t xml:space="preserve">Handbook of research on educational communications and technology</w:t>
        </w:r>
      </w:hyperlink>
      <w:r>
        <w:t xml:space="preserve"> </w:t>
      </w:r>
      <w:r>
        <w:t xml:space="preserve">(pp. 781–190). New York, NY: Springer.</w:t>
      </w:r>
    </w:p>
    <w:bookmarkStart w:id="64" w:name="sep-29-deschooling-unschooling-and-ignorance"/>
    <w:p>
      <w:pPr>
        <w:pStyle w:val="Heading2"/>
      </w:pPr>
      <w:r>
        <w:t xml:space="preserve">Sep 29: Deschooling, Unschooling, and Ignorance</w:t>
      </w:r>
    </w:p>
    <w:bookmarkEnd w:id="64"/>
    <w:bookmarkStart w:id="65" w:name="readings-due-1"/>
    <w:p>
      <w:pPr>
        <w:pStyle w:val="Heading4"/>
      </w:pPr>
      <w:r>
        <w:t xml:space="preserve">Readings due:</w:t>
      </w:r>
    </w:p>
    <w:bookmarkEnd w:id="65"/>
    <w:p>
      <w:r>
        <w:t xml:space="preserve">Curinga, M. (2012)</w:t>
      </w:r>
      <w:r>
        <w:t xml:space="preserve"> </w:t>
      </w:r>
      <w:hyperlink r:id="rId66">
        <w:r>
          <w:rPr>
            <w:rStyle w:val="Link"/>
          </w:rPr>
          <w:t xml:space="preserve">Ivan Illich: a brief introduction</w:t>
        </w:r>
      </w:hyperlink>
      <w:r>
        <w:t xml:space="preserve"> </w:t>
      </w:r>
      <w:r>
        <w:t xml:space="preserve">[video]. YouTube.</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bookmarkStart w:id="67" w:name="oct-13-free-software-free-culture"/>
    <w:p>
      <w:pPr>
        <w:pStyle w:val="Heading2"/>
      </w:pPr>
      <w:r>
        <w:t xml:space="preserve">Oct 13: Free Software &amp; Free Culture</w:t>
      </w:r>
    </w:p>
    <w:bookmarkEnd w:id="67"/>
    <w:bookmarkStart w:id="68" w:name="readings-due-2"/>
    <w:p>
      <w:pPr>
        <w:pStyle w:val="Heading4"/>
      </w:pPr>
      <w:r>
        <w:t xml:space="preserve">Readings due:</w:t>
      </w:r>
    </w:p>
    <w:bookmarkEnd w:id="68"/>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bookmarkStart w:id="69" w:name="videos"/>
    <w:p>
      <w:pPr>
        <w:pStyle w:val="Heading4"/>
      </w:pPr>
      <w:r>
        <w:t xml:space="preserve">Videos</w:t>
      </w:r>
    </w:p>
    <w:bookmarkEnd w:id="69"/>
    <w:p>
      <w:r>
        <w:t xml:space="preserve">Open Source Cinema. (2006).</w:t>
      </w:r>
      <w:r>
        <w:t xml:space="preserve"> </w:t>
      </w:r>
      <w:hyperlink r:id="rId70">
        <w:r>
          <w:rPr>
            <w:rStyle w:val="Link"/>
          </w:rPr>
          <w:t xml:space="preserve">Lessig Remix.</w:t>
        </w:r>
      </w:hyperlink>
      <w:r>
        <w:t xml:space="preserve"> </w:t>
      </w:r>
      <w:r>
        <w:t xml:space="preserve">YouTube. [Video 00:04:34]</w:t>
      </w:r>
    </w:p>
    <w:p>
      <w:r>
        <w:t xml:space="preserve">Lessig, L. (2011).</w:t>
      </w:r>
      <w:r>
        <w:t xml:space="preserve"> </w:t>
      </w:r>
      <w:hyperlink r:id="rId71">
        <w:r>
          <w:rPr>
            <w:rStyle w:val="Link"/>
          </w:rPr>
          <w:t xml:space="preserve">Two Things, Not One.</w:t>
        </w:r>
      </w:hyperlink>
      <w:r>
        <w:t xml:space="preserve"> </w:t>
      </w:r>
      <w:r>
        <w:t xml:space="preserve">[Video 00:20:28]</w:t>
      </w:r>
    </w:p>
    <w:p>
      <w:r>
        <w:t xml:space="preserve">Kirby Ferguson. (2012).</w:t>
      </w:r>
      <w:r>
        <w:t xml:space="preserve"> </w:t>
      </w:r>
      <w:hyperlink r:id="rId72">
        <w:r>
          <w:rPr>
            <w:rStyle w:val="Link"/>
          </w:rPr>
          <w:t xml:space="preserve">Embrace the remix.</w:t>
        </w:r>
      </w:hyperlink>
      <w:r>
        <w:t xml:space="preserve">[Video 00:09:43]</w:t>
      </w:r>
    </w:p>
    <w:p>
      <w:r>
        <w:t xml:space="preserve">Leadbeater, C. (2005).</w:t>
      </w:r>
      <w:r>
        <w:t xml:space="preserve"> </w:t>
      </w:r>
      <w:hyperlink r:id="rId73">
        <w:r>
          <w:rPr>
            <w:rStyle w:val="Link"/>
          </w:rPr>
          <w:t xml:space="preserve">The era of open innovation.</w:t>
        </w:r>
      </w:hyperlink>
      <w:r>
        <w:t xml:space="preserve"> </w:t>
      </w:r>
      <w:r>
        <w:t xml:space="preserve">TED Talks. [Video 0018:58]</w:t>
      </w:r>
    </w:p>
    <w:p>
      <w:r>
        <w:t xml:space="preserve">Question Copyright. (2011).</w:t>
      </w:r>
      <w:r>
        <w:t xml:space="preserve"> </w:t>
      </w:r>
      <w:hyperlink r:id="rId74">
        <w:r>
          <w:rPr>
            <w:rStyle w:val="Link"/>
          </w:rPr>
          <w:t xml:space="preserve">Copying Is Not Theft</w:t>
        </w:r>
      </w:hyperlink>
      <w:r>
        <w:t xml:space="preserve"> </w:t>
      </w:r>
      <w:r>
        <w:t xml:space="preserve">[Video 00:01:00]</w:t>
      </w:r>
    </w:p>
    <w:bookmarkStart w:id="75" w:name="optional-reading"/>
    <w:p>
      <w:pPr>
        <w:pStyle w:val="Heading4"/>
      </w:pPr>
      <w:r>
        <w:t xml:space="preserve">Optional Reading:</w:t>
      </w:r>
    </w:p>
    <w:bookmarkEnd w:id="75"/>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76">
        <w:r>
          <w:rPr>
            <w:rStyle w:val="Link"/>
          </w:rPr>
          <w:t xml:space="preserve">Collection of Lessig Videos</w:t>
        </w:r>
      </w:hyperlink>
      <w:r>
        <w:t xml:space="preserve"> </w:t>
      </w:r>
      <w:r>
        <w:t xml:space="preserve">Blip.tv</w:t>
      </w:r>
    </w:p>
    <w:p>
      <w:hyperlink r:id="rId77">
        <w:r>
          <w:rPr>
            <w:rStyle w:val="Link"/>
          </w:rPr>
          <w:t xml:space="preserve">Lessig on Stephen Colbert</w:t>
        </w:r>
      </w:hyperlink>
      <w:r>
        <w:t xml:space="preserve"> </w:t>
      </w:r>
      <w:r>
        <w:t xml:space="preserve">[video]</w:t>
      </w:r>
    </w:p>
    <w:bookmarkStart w:id="78" w:name="oct-27-peer-production"/>
    <w:p>
      <w:pPr>
        <w:pStyle w:val="Heading2"/>
      </w:pPr>
      <w:r>
        <w:t xml:space="preserve">Oct 27: Peer production</w:t>
      </w:r>
    </w:p>
    <w:bookmarkEnd w:id="78"/>
    <w:bookmarkStart w:id="79" w:name="readings-due-3"/>
    <w:p>
      <w:pPr>
        <w:pStyle w:val="Heading4"/>
      </w:pPr>
      <w:r>
        <w:t xml:space="preserve">Readings due:</w:t>
      </w:r>
    </w:p>
    <w:bookmarkEnd w:id="79"/>
    <w:p>
      <w:r>
        <w:t xml:space="preserve">Benkler, Y. (2002).</w:t>
      </w:r>
      <w:r>
        <w:t xml:space="preserve"> </w:t>
      </w:r>
      <w:hyperlink r:id="rId80">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81" w:name="optional-video"/>
    <w:p>
      <w:pPr>
        <w:pStyle w:val="Heading4"/>
      </w:pPr>
      <w:r>
        <w:t xml:space="preserve">Optional video:</w:t>
      </w:r>
    </w:p>
    <w:bookmarkEnd w:id="81"/>
    <w:p>
      <w:r>
        <w:t xml:space="preserve">If you would like some extra background on the reading and want to put the ideas in context, you might want to</w:t>
      </w:r>
      <w:r>
        <w:t xml:space="preserve"> </w:t>
      </w:r>
      <w:hyperlink r:id="rId82">
        <w:r>
          <w:rPr>
            <w:rStyle w:val="Link"/>
          </w:rPr>
          <w:t xml:space="preserve">check out this TED video of Yochai Benkler explaining the ideas expressed in Coase’s Penguin</w:t>
        </w:r>
      </w:hyperlink>
      <w:r>
        <w:t xml:space="preserve"> </w:t>
      </w:r>
      <w:r>
        <w:t xml:space="preserve">(recorded in 2005)</w:t>
      </w:r>
    </w:p>
    <w:bookmarkStart w:id="83" w:name="due"/>
    <w:p>
      <w:pPr>
        <w:pStyle w:val="Heading4"/>
      </w:pPr>
      <w:r>
        <w:t xml:space="preserve">Due:</w:t>
      </w:r>
    </w:p>
    <w:bookmarkEnd w:id="83"/>
    <w:p>
      <w:pPr>
        <w:pStyle w:val="Compact"/>
        <w:numPr>
          <w:numId w:val="7"/>
          <w:ilvl w:val="0"/>
        </w:numPr>
      </w:pPr>
      <w:r>
        <w:t xml:space="preserve">Open Ed Report</w:t>
      </w:r>
    </w:p>
    <w:bookmarkStart w:id="84" w:name="nov-10-the-commons"/>
    <w:p>
      <w:pPr>
        <w:pStyle w:val="Heading2"/>
      </w:pPr>
      <w:r>
        <w:t xml:space="preserve">Nov 10: The Commons</w:t>
      </w:r>
    </w:p>
    <w:bookmarkEnd w:id="84"/>
    <w:bookmarkStart w:id="85" w:name="readings-due-4"/>
    <w:p>
      <w:pPr>
        <w:pStyle w:val="Heading4"/>
      </w:pPr>
      <w:r>
        <w:t xml:space="preserve">Readings due:</w:t>
      </w:r>
    </w:p>
    <w:bookmarkEnd w:id="85"/>
    <w:p>
      <w:r>
        <w:t xml:space="preserve">Bollier, D. (2003).</w:t>
      </w:r>
      <w:r>
        <w:t xml:space="preserve"> </w:t>
      </w:r>
      <w:r>
        <w:rPr>
          <w:i/>
        </w:rPr>
        <w:t xml:space="preserve">Silent Theft: The Private Plunder of Our Common Wealth</w:t>
      </w:r>
      <w:r>
        <w:t xml:space="preserve">. Routledge.</w:t>
      </w:r>
      <w:r>
        <w:t xml:space="preserve"> </w:t>
      </w:r>
      <w:hyperlink r:id="rId29">
        <w:r>
          <w:rPr>
            <w:rStyle w:val="Link"/>
          </w:rPr>
          <w:t xml:space="preserve">Introduction</w:t>
        </w:r>
      </w:hyperlink>
    </w:p>
    <w:p>
      <w:r>
        <w:t xml:space="preserve">Elinor Ostrom. (2010).</w:t>
      </w:r>
      <w:r>
        <w:t xml:space="preserve"> </w:t>
      </w:r>
      <w:hyperlink r:id="rId86">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87">
        <w:r>
          <w:rPr>
            <w:rStyle w:val="Link"/>
          </w:rPr>
          <w:t xml:space="preserve">Tragedy of the Commons.</w:t>
        </w:r>
      </w:hyperlink>
      <w:r>
        <w:t xml:space="preserve"> </w:t>
      </w:r>
      <w:r>
        <w:t xml:space="preserve">(2011). [Video 00:05:35]</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88" w:name="optional-readings-1"/>
    <w:p>
      <w:pPr>
        <w:pStyle w:val="Heading4"/>
      </w:pPr>
      <w:r>
        <w:t xml:space="preserve">Optional readings:</w:t>
      </w:r>
    </w:p>
    <w:bookmarkEnd w:id="88"/>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89" w:name="nov-24-moocs-massively-open-online-courses"/>
    <w:p>
      <w:pPr>
        <w:pStyle w:val="Heading2"/>
      </w:pPr>
      <w:r>
        <w:t xml:space="preserve">Nov 24: MOOCs: Massively Open Online Courses</w:t>
      </w:r>
    </w:p>
    <w:bookmarkEnd w:id="89"/>
    <w:bookmarkStart w:id="90" w:name="readings-due-5"/>
    <w:p>
      <w:pPr>
        <w:pStyle w:val="Heading4"/>
      </w:pPr>
      <w:r>
        <w:t xml:space="preserve">Readings due:</w:t>
      </w:r>
    </w:p>
    <w:bookmarkEnd w:id="90"/>
    <w:p>
      <w:r>
        <w:t xml:space="preserve">Cormier, D. (2010).</w:t>
      </w:r>
      <w:r>
        <w:t xml:space="preserve"> </w:t>
      </w:r>
      <w:hyperlink r:id="rId31">
        <w:r>
          <w:rPr>
            <w:rStyle w:val="Link"/>
          </w:rPr>
          <w:t xml:space="preserve">What is a MOOC?</w:t>
        </w:r>
      </w:hyperlink>
      <w:r>
        <w:t xml:space="preserve">[video, 04:27]</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Siemens, G. (2012, June 12).</w:t>
      </w:r>
      <w:r>
        <w:t xml:space="preserve"> </w:t>
      </w:r>
      <w:hyperlink r:id="rId91">
        <w:r>
          <w:rPr>
            <w:rStyle w:val="Link"/>
          </w:rPr>
          <w:t xml:space="preserve">What is the theory that underpins our MOOCs</w:t>
        </w:r>
      </w:hyperlink>
      <w:r>
        <w:t xml:space="preserve">.</w:t>
      </w:r>
    </w:p>
    <w:p>
      <w:r>
        <w:t xml:space="preserve">Vollmer, Timothy. (2012, November 1).</w:t>
      </w:r>
      <w:r>
        <w:t xml:space="preserve"> </w:t>
      </w:r>
      <w:hyperlink r:id="rId92">
        <w:r>
          <w:rPr>
            <w:rStyle w:val="Link"/>
          </w:rPr>
          <w:t xml:space="preserve">Keep MOOCs Open</w:t>
        </w:r>
      </w:hyperlink>
    </w:p>
    <w:p>
      <w:r>
        <w:t xml:space="preserve">Exoo, C., &amp; Exoo, C. F. (2013, October 28).</w:t>
      </w:r>
      <w:r>
        <w:t xml:space="preserve"> </w:t>
      </w:r>
      <w:hyperlink r:id="rId93">
        <w:r>
          <w:rPr>
            <w:rStyle w:val="Link"/>
          </w:rPr>
          <w:t xml:space="preserve">MOOCs: Corporate welfare for credit</w:t>
        </w:r>
      </w:hyperlink>
      <w:r>
        <w:t xml:space="preserve">.</w:t>
      </w:r>
      <w:r>
        <w:t xml:space="preserve"> </w:t>
      </w:r>
      <w:r>
        <w:rPr>
          <w:i/>
        </w:rPr>
        <w:t xml:space="preserve">Salon.</w:t>
      </w:r>
    </w:p>
    <w:bookmarkStart w:id="94" w:name="dec-8-resisting-open-education"/>
    <w:p>
      <w:pPr>
        <w:pStyle w:val="Heading2"/>
      </w:pPr>
      <w:r>
        <w:t xml:space="preserve">Dec 8: Resisting Open Education</w:t>
      </w:r>
    </w:p>
    <w:bookmarkEnd w:id="94"/>
    <w:bookmarkStart w:id="95" w:name="readings-due-6"/>
    <w:p>
      <w:pPr>
        <w:pStyle w:val="Heading4"/>
      </w:pPr>
      <w:r>
        <w:t xml:space="preserve">Readings due:</w:t>
      </w:r>
    </w:p>
    <w:bookmarkEnd w:id="95"/>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Caffentzis, G., &amp; Federici, S. (2009). Notes on the Edu-Factory and cognitive capitalism. In Edu-factory Collective (Ed.),</w:t>
      </w:r>
      <w:r>
        <w:t xml:space="preserve"> </w:t>
      </w:r>
      <w:hyperlink r:id="rId96">
        <w:r>
          <w:rPr>
            <w:rStyle w:val="Link"/>
          </w:rPr>
          <w:t xml:space="preserve">Toward a global autonomous university</w:t>
        </w:r>
      </w:hyperlink>
      <w:r>
        <w:t xml:space="preserve">. New York: Autonomedia.</w:t>
      </w:r>
    </w:p>
    <w:p>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bookmarkStart w:id="97" w:name="dec-15-papers-due"/>
    <w:p>
      <w:pPr>
        <w:pStyle w:val="Heading2"/>
      </w:pPr>
      <w:r>
        <w:t xml:space="preserve">Dec 15: Papers due</w:t>
      </w:r>
    </w:p>
    <w:bookmarkEnd w:id="97"/>
    <w:p>
      <w:r>
        <w:t xml:space="preserve">No in person meeting, but final papers are due.</w:t>
      </w:r>
    </w:p>
    <w:bookmarkStart w:id="98" w:name="assignments"/>
    <w:p>
      <w:pPr>
        <w:pStyle w:val="Heading1"/>
      </w:pPr>
      <w:r>
        <w:t xml:space="preserve">Assignments</w:t>
      </w:r>
    </w:p>
    <w:bookmarkEnd w:id="98"/>
    <w:bookmarkStart w:id="99" w:name="due-dates-and-grading"/>
    <w:p>
      <w:pPr>
        <w:pStyle w:val="Heading4"/>
      </w:pPr>
      <w:r>
        <w:t xml:space="preserve">Due Dates and Grading</w:t>
      </w:r>
    </w:p>
    <w:bookmarkEnd w:id="99"/>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bookmarkStart w:id="100" w:name="participation"/>
    <w:p>
      <w:pPr>
        <w:pStyle w:val="Heading2"/>
      </w:pPr>
      <w:r>
        <w:t xml:space="preserve">Participation</w:t>
      </w:r>
    </w:p>
    <w:bookmarkEnd w:id="100"/>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determined by the end of term particpant survey and the instructor grade.</w:t>
      </w:r>
    </w:p>
    <w:bookmarkStart w:id="101" w:name="open-education-report"/>
    <w:p>
      <w:pPr>
        <w:pStyle w:val="Heading2"/>
      </w:pPr>
      <w:r>
        <w:t xml:space="preserve">Open Education Report</w:t>
      </w:r>
    </w:p>
    <w:bookmarkEnd w:id="101"/>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At our meeting on October 20, everyone will report back on the community they have been working with. You should consider:</w:t>
      </w:r>
    </w:p>
    <w:p>
      <w:pPr>
        <w:pStyle w:val="Compact"/>
        <w:numPr>
          <w:numId w:val="8"/>
          <w:ilvl w:val="0"/>
        </w:numPr>
      </w:pPr>
      <w:r>
        <w:rPr>
          <w:b/>
        </w:rPr>
        <w:t xml:space="preserve">Basics</w:t>
      </w:r>
    </w:p>
    <w:p>
      <w:pPr>
        <w:pStyle w:val="Compact"/>
        <w:numPr>
          <w:numId w:val="9"/>
          <w:ilvl w:val="1"/>
        </w:numPr>
      </w:pPr>
      <w:r>
        <w:t xml:space="preserve">narrative description of the project</w:t>
      </w:r>
    </w:p>
    <w:p>
      <w:pPr>
        <w:pStyle w:val="Compact"/>
        <w:numPr>
          <w:numId w:val="9"/>
          <w:ilvl w:val="1"/>
        </w:numPr>
      </w:pPr>
      <w:r>
        <w:t xml:space="preserve">sample works (screenshots, links, diagrams, etc)</w:t>
      </w:r>
    </w:p>
    <w:p>
      <w:pPr>
        <w:pStyle w:val="Compact"/>
        <w:numPr>
          <w:numId w:val="9"/>
          <w:ilvl w:val="1"/>
        </w:numPr>
      </w:pPr>
      <w:r>
        <w:t xml:space="preserve">project goals</w:t>
      </w:r>
    </w:p>
    <w:p>
      <w:pPr>
        <w:pStyle w:val="Compact"/>
        <w:numPr>
          <w:numId w:val="8"/>
          <w:ilvl w:val="0"/>
        </w:numPr>
      </w:pPr>
      <w:r>
        <w:rPr>
          <w:b/>
        </w:rPr>
        <w:t xml:space="preserve">Collaboration</w:t>
      </w:r>
    </w:p>
    <w:p>
      <w:pPr>
        <w:pStyle w:val="Compact"/>
        <w:numPr>
          <w:numId w:val="10"/>
          <w:ilvl w:val="1"/>
        </w:numPr>
      </w:pPr>
      <w:r>
        <w:t xml:space="preserve">how do participants collaborate?</w:t>
      </w:r>
    </w:p>
    <w:p>
      <w:pPr>
        <w:pStyle w:val="Compact"/>
        <w:numPr>
          <w:numId w:val="10"/>
          <w:ilvl w:val="1"/>
        </w:numPr>
      </w:pPr>
      <w:r>
        <w:t xml:space="preserve">what technologies support collaboration?</w:t>
      </w:r>
    </w:p>
    <w:p>
      <w:pPr>
        <w:pStyle w:val="Compact"/>
        <w:numPr>
          <w:numId w:val="10"/>
          <w:ilvl w:val="1"/>
        </w:numPr>
      </w:pPr>
      <w:r>
        <w:t xml:space="preserve">how is quality controlled?</w:t>
      </w:r>
    </w:p>
    <w:p>
      <w:pPr>
        <w:pStyle w:val="Compact"/>
        <w:numPr>
          <w:numId w:val="10"/>
          <w:ilvl w:val="1"/>
        </w:numPr>
      </w:pPr>
      <w:r>
        <w:t xml:space="preserve">how are decisions made and goals set?</w:t>
      </w:r>
    </w:p>
    <w:p>
      <w:pPr>
        <w:pStyle w:val="Compact"/>
        <w:numPr>
          <w:numId w:val="10"/>
          <w:ilvl w:val="1"/>
        </w:numPr>
      </w:pPr>
      <w:r>
        <w:t xml:space="preserve">who is allowed to participate and what access rights do they have?</w:t>
      </w:r>
    </w:p>
    <w:p>
      <w:pPr>
        <w:pStyle w:val="Compact"/>
        <w:numPr>
          <w:numId w:val="8"/>
          <w:ilvl w:val="0"/>
        </w:numPr>
      </w:pPr>
      <w:r>
        <w:rPr>
          <w:b/>
        </w:rPr>
        <w:t xml:space="preserve">Community</w:t>
      </w:r>
    </w:p>
    <w:p>
      <w:pPr>
        <w:pStyle w:val="Compact"/>
        <w:numPr>
          <w:numId w:val="11"/>
          <w:ilvl w:val="1"/>
        </w:numPr>
      </w:pPr>
      <w:r>
        <w:t xml:space="preserve">what principles do participants have in common?</w:t>
      </w:r>
    </w:p>
    <w:p>
      <w:pPr>
        <w:pStyle w:val="Compact"/>
        <w:numPr>
          <w:numId w:val="11"/>
          <w:ilvl w:val="1"/>
        </w:numPr>
      </w:pPr>
      <w:r>
        <w:t xml:space="preserve">how is community maintained?</w:t>
      </w:r>
    </w:p>
    <w:p>
      <w:pPr>
        <w:pStyle w:val="Compact"/>
        <w:numPr>
          <w:numId w:val="11"/>
          <w:ilvl w:val="1"/>
        </w:numPr>
      </w:pPr>
      <w:r>
        <w:t xml:space="preserve">how are new members invited or excluded?</w:t>
      </w:r>
    </w:p>
    <w:p>
      <w:pPr>
        <w:pStyle w:val="Compact"/>
        <w:numPr>
          <w:numId w:val="11"/>
          <w:ilvl w:val="1"/>
        </w:numPr>
      </w:pPr>
      <w:r>
        <w:t xml:space="preserve">how do people learn how to participate?</w:t>
      </w:r>
    </w:p>
    <w:p>
      <w:pPr>
        <w:pStyle w:val="Compact"/>
        <w:numPr>
          <w:numId w:val="8"/>
          <w:ilvl w:val="0"/>
        </w:numPr>
      </w:pPr>
      <w:r>
        <w:rPr>
          <w:b/>
        </w:rPr>
        <w:t xml:space="preserve">Openness</w:t>
      </w:r>
    </w:p>
    <w:p>
      <w:pPr>
        <w:pStyle w:val="Compact"/>
        <w:numPr>
          <w:numId w:val="12"/>
          <w:ilvl w:val="1"/>
        </w:numPr>
      </w:pPr>
      <w:r>
        <w:t xml:space="preserve">in what ways is this project</w:t>
      </w:r>
      <w:r>
        <w:t xml:space="preserve"> </w:t>
      </w:r>
      <w:r>
        <w:t xml:space="preserve">“</w:t>
      </w:r>
      <w:r>
        <w:t xml:space="preserve">open</w:t>
      </w:r>
      <w:r>
        <w:t xml:space="preserve">”</w:t>
      </w:r>
      <w:r>
        <w:t xml:space="preserve">?</w:t>
      </w:r>
    </w:p>
    <w:p>
      <w:pPr>
        <w:pStyle w:val="Compact"/>
        <w:numPr>
          <w:numId w:val="12"/>
          <w:ilvl w:val="1"/>
        </w:numPr>
      </w:pPr>
      <w:r>
        <w:t xml:space="preserve">consider: licenses, technologies, production model, output model, access, cost, APIs</w:t>
      </w:r>
    </w:p>
    <w:p>
      <w:pPr>
        <w:pStyle w:val="Compact"/>
        <w:numPr>
          <w:numId w:val="12"/>
          <w:ilvl w:val="1"/>
        </w:numPr>
      </w:pPr>
      <w:r>
        <w:t xml:space="preserve">how does it fit in with other projects?</w:t>
      </w:r>
    </w:p>
    <w:p>
      <w:pPr>
        <w:pStyle w:val="Compact"/>
        <w:numPr>
          <w:numId w:val="8"/>
          <w:ilvl w:val="0"/>
        </w:numPr>
      </w:pPr>
      <w:r>
        <w:rPr>
          <w:b/>
        </w:rPr>
        <w:t xml:space="preserve">Insight</w:t>
      </w:r>
    </w:p>
    <w:p>
      <w:pPr>
        <w:pStyle w:val="Compact"/>
        <w:numPr>
          <w:numId w:val="13"/>
          <w:ilvl w:val="1"/>
        </w:numPr>
      </w:pPr>
      <w:r>
        <w:t xml:space="preserve">how important is this project?</w:t>
      </w:r>
    </w:p>
    <w:p>
      <w:pPr>
        <w:pStyle w:val="Compact"/>
        <w:numPr>
          <w:numId w:val="13"/>
          <w:ilvl w:val="1"/>
        </w:numPr>
      </w:pPr>
      <w:r>
        <w:t xml:space="preserve">what is its potential impact?</w:t>
      </w:r>
    </w:p>
    <w:p>
      <w:pPr>
        <w:pStyle w:val="Compact"/>
        <w:numPr>
          <w:numId w:val="13"/>
          <w:ilvl w:val="1"/>
        </w:numPr>
      </w:pPr>
      <w:r>
        <w:t xml:space="preserve">does it reflect best educational practices and learning sciences?</w:t>
      </w:r>
    </w:p>
    <w:p>
      <w:pPr>
        <w:pStyle w:val="Compact"/>
        <w:numPr>
          <w:numId w:val="13"/>
          <w:ilvl w:val="1"/>
        </w:numPr>
      </w:pPr>
      <w:r>
        <w:t xml:space="preserve">does it support or enhance the social/political goals of education?</w:t>
      </w:r>
    </w:p>
    <w:p>
      <w:r>
        <w:t xml:space="preserve">You will prepare a 5 minute lightning talk [</w:t>
      </w:r>
      <w:hyperlink r:id="rId102">
        <w:r>
          <w:rPr>
            <w:rStyle w:val="Link"/>
          </w:rPr>
          <w:t xml:space="preserve">1</w:t>
        </w:r>
      </w:hyperlink>
      <w:r>
        <w:t xml:space="preserve">] [</w:t>
      </w:r>
      <w:hyperlink r:id="rId103">
        <w:r>
          <w:rPr>
            <w:rStyle w:val="Link"/>
          </w:rPr>
          <w:t xml:space="preserve">2</w:t>
        </w:r>
      </w:hyperlink>
      <w:r>
        <w:t xml:space="preserve">] about your project to present to the group. From there, we will have a general discussion of the projects.</w:t>
      </w:r>
    </w:p>
    <w:bookmarkStart w:id="104" w:name="critical-essay"/>
    <w:p>
      <w:pPr>
        <w:pStyle w:val="Heading2"/>
      </w:pPr>
      <w:r>
        <w:t xml:space="preserve">Critical Essay</w:t>
      </w:r>
    </w:p>
    <w:bookmarkEnd w:id="104"/>
    <w:p>
      <w:r>
        <w:t xml:space="preserve">Choose an area of interest that has arisen out of the course readings and discussions and write a reflective essay on this topic. Follow</w:t>
      </w:r>
      <w:r>
        <w:t xml:space="preserve"> </w:t>
      </w:r>
      <w:hyperlink r:id="rId105">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This is strictly an individual assignment (one essay per person). I strongly suggest that everyone schedule an appointment with the</w:t>
      </w:r>
      <w:r>
        <w:t xml:space="preserve"> </w:t>
      </w:r>
      <w:hyperlink r:id="rId106">
        <w:r>
          <w:rPr>
            <w:rStyle w:val="Link"/>
          </w:rPr>
          <w:t xml:space="preserve">Writing Center</w:t>
        </w:r>
      </w:hyperlink>
      <w:r>
        <w:t xml:space="preserve"> </w:t>
      </w:r>
      <w:r>
        <w:t xml:space="preserve">before you turn in your draft, and then again before you turn in your final essay.</w:t>
      </w:r>
    </w:p>
    <w:p>
      <w:r>
        <w:t xml:space="preserve">Late work will not be accepted for this assignment and</w:t>
      </w:r>
      <w:r>
        <w:t xml:space="preserve"> </w:t>
      </w:r>
      <w:r>
        <w:rPr>
          <w:b/>
        </w:rPr>
        <w:t xml:space="preserve">there will not be an opportunity to re-write your final essay.</w:t>
      </w:r>
    </w:p>
    <w:p>
      <w:r>
        <w:t xml:space="preserve">Your grade for the final paper will be based on the jouranl article evaluation process from the</w:t>
      </w:r>
      <w:r>
        <w:t xml:space="preserve"> </w:t>
      </w:r>
      <w:hyperlink r:id="rId107">
        <w:r>
          <w:rPr>
            <w:rStyle w:val="Link"/>
            <w:i/>
          </w:rPr>
          <w:t xml:space="preserve">Journal of Peer Production</w:t>
        </w:r>
      </w:hyperlink>
    </w:p>
    <w:p>
      <w:r>
        <w:t xml:space="preserve">Their reviewers consider:</w:t>
      </w:r>
    </w:p>
    <w:p>
      <w:pPr>
        <w:pStyle w:val="Compact"/>
        <w:numPr>
          <w:numId w:val="14"/>
          <w:ilvl w:val="0"/>
        </w:numPr>
      </w:pPr>
      <w:r>
        <w:t xml:space="preserve">Is the subject matter relevant? (6 points)</w:t>
      </w:r>
    </w:p>
    <w:p>
      <w:pPr>
        <w:pStyle w:val="Compact"/>
        <w:numPr>
          <w:numId w:val="14"/>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4"/>
          <w:ilvl w:val="0"/>
        </w:numPr>
      </w:pPr>
      <w:r>
        <w:t xml:space="preserve">Are there any noticeable problems with the author’s means of validating assumptions or making judgments? (6 points)</w:t>
      </w:r>
    </w:p>
    <w:p>
      <w:pPr>
        <w:pStyle w:val="Compact"/>
        <w:numPr>
          <w:numId w:val="14"/>
          <w:ilvl w:val="0"/>
        </w:numPr>
      </w:pPr>
      <w:r>
        <w:t xml:space="preserve">Is the article well written? (7 points)</w:t>
      </w:r>
    </w:p>
    <w:p>
      <w:pPr>
        <w:pStyle w:val="Compact"/>
        <w:numPr>
          <w:numId w:val="15"/>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6"/>
          <w:ilvl w:val="2"/>
        </w:numPr>
      </w:pPr>
      <w:r>
        <w:t xml:space="preserve">5 or more incomplete or run on sentences</w:t>
      </w:r>
    </w:p>
    <w:p>
      <w:pPr>
        <w:pStyle w:val="Compact"/>
        <w:numPr>
          <w:numId w:val="16"/>
          <w:ilvl w:val="2"/>
        </w:numPr>
      </w:pPr>
      <w:r>
        <w:t xml:space="preserve">8 or more spelling errors</w:t>
      </w:r>
    </w:p>
    <w:p>
      <w:pPr>
        <w:pStyle w:val="Compact"/>
        <w:numPr>
          <w:numId w:val="16"/>
          <w:ilvl w:val="2"/>
        </w:numPr>
      </w:pPr>
      <w:r>
        <w:t xml:space="preserve">5 or more grammatical errors</w:t>
      </w:r>
    </w:p>
    <w:p>
      <w:pPr>
        <w:pStyle w:val="Compact"/>
        <w:numPr>
          <w:numId w:val="16"/>
          <w:ilvl w:val="2"/>
        </w:numPr>
      </w:pPr>
      <w:r>
        <w:t xml:space="preserve">no citations in the text or missing references section</w:t>
      </w:r>
    </w:p>
    <w:p>
      <w:pPr>
        <w:pStyle w:val="Compact"/>
        <w:numPr>
          <w:numId w:val="15"/>
          <w:ilvl w:val="1"/>
        </w:numPr>
      </w:pPr>
      <w:r>
        <w:rPr>
          <w:b/>
        </w:rPr>
        <w:t xml:space="preserve">2 points</w:t>
      </w:r>
      <w:r>
        <w:t xml:space="preserve"> </w:t>
      </w:r>
      <w:r>
        <w:t xml:space="preserve">indicates an essay with significant problems in grammar, spelling, and norms of academic writing</w:t>
      </w:r>
    </w:p>
    <w:p>
      <w:pPr>
        <w:pStyle w:val="Compact"/>
        <w:numPr>
          <w:numId w:val="15"/>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5"/>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5"/>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5"/>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5"/>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r>
        <w:t xml:space="preserve">Adapted from</w:t>
      </w:r>
      <w:r>
        <w:t xml:space="preserve"> </w:t>
      </w:r>
      <w:hyperlink r:id="rId108">
        <w:r>
          <w:rPr>
            <w:rStyle w:val="Link"/>
          </w:rPr>
          <w:t xml:space="preserve">Process: Appendix A</w:t>
        </w:r>
      </w:hyperlink>
      <w:r>
        <w:t xml:space="preserve">.</w:t>
      </w:r>
      <w:r>
        <w:t xml:space="preserve"> </w:t>
      </w:r>
      <w:r>
        <w:rPr>
          <w:i/>
        </w:rPr>
        <w:t xml:space="preserve">modifications appear in italics</w:t>
      </w:r>
    </w:p>
    <w:p>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Link"/>
          </w:rPr>
          <w:t xml:space="preserve">Purdue Owling Writing Lab</w:t>
        </w:r>
      </w:hyperlink>
      <w:r>
        <w:t xml:space="preserve"> </w:t>
      </w:r>
      <w:r>
        <w:t xml:space="preserve">is a good resource for citations as well as the basic elements of academic writing.</w:t>
      </w:r>
    </w:p>
    <w:p>
      <w:r>
        <w:t xml:space="preserve">If your work is plagiarized or otherwise violates [Adelphi’s Code of Academic] you will receive zero points for this assignment with no opportunity to re-write it.</w:t>
      </w:r>
    </w:p>
    <w:bookmarkStart w:id="110" w:name="open-education-projects"/>
    <w:p>
      <w:pPr>
        <w:pStyle w:val="Heading1"/>
      </w:pPr>
      <w:r>
        <w:t xml:space="preserve">Open Education Projects</w:t>
      </w:r>
    </w:p>
    <w:bookmarkEnd w:id="110"/>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7"/>
          <w:ilvl w:val="0"/>
        </w:numPr>
      </w:pPr>
      <w:r>
        <w:t xml:space="preserve">should this project be considered open? why?</w:t>
      </w:r>
    </w:p>
    <w:p>
      <w:pPr>
        <w:pStyle w:val="Compact"/>
        <w:numPr>
          <w:numId w:val="17"/>
          <w:ilvl w:val="0"/>
        </w:numPr>
      </w:pPr>
      <w:r>
        <w:t xml:space="preserve">what does the project</w:t>
      </w:r>
      <w:r>
        <w:t xml:space="preserve"> </w:t>
      </w:r>
      <w:r>
        <w:rPr>
          <w:i/>
        </w:rPr>
        <w:t xml:space="preserve">produce</w:t>
      </w:r>
      <w:r>
        <w:t xml:space="preserve">?</w:t>
      </w:r>
    </w:p>
    <w:p>
      <w:pPr>
        <w:pStyle w:val="Compact"/>
        <w:numPr>
          <w:numId w:val="17"/>
          <w:ilvl w:val="0"/>
        </w:numPr>
      </w:pPr>
      <w:r>
        <w:t xml:space="preserve">does this project make use of good eduational practice, as you understand it?</w:t>
      </w:r>
    </w:p>
    <w:p>
      <w:pPr>
        <w:pStyle w:val="Compact"/>
        <w:numPr>
          <w:numId w:val="17"/>
          <w:ilvl w:val="0"/>
        </w:numPr>
      </w:pPr>
      <w:r>
        <w:t xml:space="preserve">who contributes to the project? is it hard to participate?</w:t>
      </w:r>
    </w:p>
    <w:p>
      <w:pPr>
        <w:pStyle w:val="Compact"/>
        <w:numPr>
          <w:numId w:val="17"/>
          <w:ilvl w:val="0"/>
        </w:numPr>
      </w:pPr>
      <w:r>
        <w:t xml:space="preserve">who is the audience for this project?</w:t>
      </w:r>
    </w:p>
    <w:p>
      <w:pPr>
        <w:pStyle w:val="Compact"/>
        <w:numPr>
          <w:numId w:val="17"/>
          <w:ilvl w:val="0"/>
        </w:numPr>
      </w:pPr>
      <w:r>
        <w:t xml:space="preserve">who does or is likely to benefit the most if this project succeeds?</w:t>
      </w:r>
    </w:p>
    <w:bookmarkStart w:id="111" w:name="list-of-selected-project-open-ed-projects"/>
    <w:p>
      <w:pPr>
        <w:pStyle w:val="Heading2"/>
      </w:pPr>
      <w:r>
        <w:t xml:space="preserve">List of Selected Project Open Ed Projects</w:t>
      </w:r>
    </w:p>
    <w:bookmarkEnd w:id="111"/>
    <w:p>
      <w:pPr>
        <w:pStyle w:val="Compact"/>
        <w:numPr>
          <w:numId w:val="18"/>
          <w:ilvl w:val="0"/>
        </w:numPr>
      </w:pPr>
      <w:r>
        <w:t xml:space="preserve">MOOCS, Open Courses, and Self-Study</w:t>
      </w:r>
    </w:p>
    <w:p>
      <w:pPr>
        <w:pStyle w:val="Compact"/>
        <w:numPr>
          <w:numId w:val="19"/>
          <w:ilvl w:val="1"/>
        </w:numPr>
      </w:pPr>
      <w:hyperlink r:id="rId112">
        <w:r>
          <w:rPr>
            <w:rStyle w:val="Link"/>
          </w:rPr>
          <w:t xml:space="preserve">MIT OCW</w:t>
        </w:r>
      </w:hyperlink>
    </w:p>
    <w:p>
      <w:pPr>
        <w:pStyle w:val="Compact"/>
        <w:numPr>
          <w:numId w:val="19"/>
          <w:ilvl w:val="1"/>
        </w:numPr>
      </w:pPr>
      <w:hyperlink r:id="rId113">
        <w:r>
          <w:rPr>
            <w:rStyle w:val="Link"/>
          </w:rPr>
          <w:t xml:space="preserve">P2P University</w:t>
        </w:r>
      </w:hyperlink>
    </w:p>
    <w:p>
      <w:pPr>
        <w:pStyle w:val="Compact"/>
        <w:numPr>
          <w:numId w:val="19"/>
          <w:ilvl w:val="1"/>
        </w:numPr>
      </w:pPr>
      <w:hyperlink r:id="rId114">
        <w:r>
          <w:rPr>
            <w:rStyle w:val="Link"/>
          </w:rPr>
          <w:t xml:space="preserve">Udacity</w:t>
        </w:r>
      </w:hyperlink>
    </w:p>
    <w:p>
      <w:pPr>
        <w:pStyle w:val="Compact"/>
        <w:numPr>
          <w:numId w:val="19"/>
          <w:ilvl w:val="1"/>
        </w:numPr>
      </w:pPr>
      <w:hyperlink r:id="rId115">
        <w:r>
          <w:rPr>
            <w:rStyle w:val="Link"/>
          </w:rPr>
          <w:t xml:space="preserve">Coursera</w:t>
        </w:r>
      </w:hyperlink>
    </w:p>
    <w:p>
      <w:pPr>
        <w:pStyle w:val="Compact"/>
        <w:numPr>
          <w:numId w:val="19"/>
          <w:ilvl w:val="1"/>
        </w:numPr>
      </w:pPr>
      <w:hyperlink r:id="rId116">
        <w:r>
          <w:rPr>
            <w:rStyle w:val="Link"/>
          </w:rPr>
          <w:t xml:space="preserve">OpenStudy</w:t>
        </w:r>
      </w:hyperlink>
    </w:p>
    <w:p>
      <w:pPr>
        <w:pStyle w:val="Compact"/>
        <w:numPr>
          <w:numId w:val="19"/>
          <w:ilvl w:val="1"/>
        </w:numPr>
      </w:pPr>
      <w:hyperlink r:id="rId117">
        <w:r>
          <w:rPr>
            <w:rStyle w:val="Link"/>
          </w:rPr>
          <w:t xml:space="preserve">Saylor</w:t>
        </w:r>
      </w:hyperlink>
    </w:p>
    <w:p>
      <w:pPr>
        <w:pStyle w:val="Compact"/>
        <w:numPr>
          <w:numId w:val="19"/>
          <w:ilvl w:val="1"/>
        </w:numPr>
      </w:pPr>
      <w:hyperlink r:id="rId118">
        <w:r>
          <w:rPr>
            <w:rStyle w:val="Link"/>
          </w:rPr>
          <w:t xml:space="preserve">Instructables</w:t>
        </w:r>
      </w:hyperlink>
    </w:p>
    <w:p>
      <w:pPr>
        <w:pStyle w:val="Compact"/>
        <w:numPr>
          <w:numId w:val="19"/>
          <w:ilvl w:val="1"/>
        </w:numPr>
      </w:pPr>
      <w:hyperlink r:id="rId119">
        <w:r>
          <w:rPr>
            <w:rStyle w:val="Link"/>
          </w:rPr>
          <w:t xml:space="preserve">Khan Academy</w:t>
        </w:r>
      </w:hyperlink>
    </w:p>
    <w:p>
      <w:pPr>
        <w:pStyle w:val="Compact"/>
        <w:numPr>
          <w:numId w:val="19"/>
          <w:ilvl w:val="1"/>
        </w:numPr>
      </w:pPr>
      <w:hyperlink r:id="rId120">
        <w:r>
          <w:rPr>
            <w:rStyle w:val="Link"/>
          </w:rPr>
          <w:t xml:space="preserve">Khan Academy Smarthistory</w:t>
        </w:r>
      </w:hyperlink>
    </w:p>
    <w:p>
      <w:pPr>
        <w:pStyle w:val="Compact"/>
        <w:numPr>
          <w:numId w:val="19"/>
          <w:ilvl w:val="1"/>
        </w:numPr>
      </w:pPr>
      <w:hyperlink r:id="rId121">
        <w:r>
          <w:rPr>
            <w:rStyle w:val="Link"/>
          </w:rPr>
          <w:t xml:space="preserve">OpenCourseLibrary</w:t>
        </w:r>
      </w:hyperlink>
    </w:p>
    <w:p>
      <w:pPr>
        <w:pStyle w:val="Compact"/>
        <w:numPr>
          <w:numId w:val="19"/>
          <w:ilvl w:val="1"/>
        </w:numPr>
      </w:pPr>
      <w:hyperlink r:id="rId122">
        <w:r>
          <w:rPr>
            <w:rStyle w:val="Link"/>
          </w:rPr>
          <w:t xml:space="preserve">OpenYale Courses</w:t>
        </w:r>
      </w:hyperlink>
    </w:p>
    <w:p>
      <w:pPr>
        <w:pStyle w:val="Compact"/>
        <w:numPr>
          <w:numId w:val="19"/>
          <w:ilvl w:val="1"/>
        </w:numPr>
      </w:pPr>
      <w:hyperlink r:id="rId123">
        <w:r>
          <w:rPr>
            <w:rStyle w:val="Link"/>
          </w:rPr>
          <w:t xml:space="preserve">OpenBadges</w:t>
        </w:r>
      </w:hyperlink>
    </w:p>
    <w:p>
      <w:pPr>
        <w:pStyle w:val="Compact"/>
        <w:numPr>
          <w:numId w:val="18"/>
          <w:ilvl w:val="0"/>
        </w:numPr>
      </w:pPr>
      <w:r>
        <w:t xml:space="preserve">Textbooks, lessons, curricula</w:t>
      </w:r>
    </w:p>
    <w:p>
      <w:pPr>
        <w:pStyle w:val="Compact"/>
        <w:numPr>
          <w:numId w:val="20"/>
          <w:ilvl w:val="1"/>
        </w:numPr>
      </w:pPr>
      <w:hyperlink r:id="rId124">
        <w:r>
          <w:rPr>
            <w:rStyle w:val="Link"/>
          </w:rPr>
          <w:t xml:space="preserve">Curriki</w:t>
        </w:r>
      </w:hyperlink>
    </w:p>
    <w:p>
      <w:pPr>
        <w:pStyle w:val="Compact"/>
        <w:numPr>
          <w:numId w:val="20"/>
          <w:ilvl w:val="1"/>
        </w:numPr>
      </w:pPr>
      <w:hyperlink r:id="rId125">
        <w:r>
          <w:rPr>
            <w:rStyle w:val="Link"/>
          </w:rPr>
          <w:t xml:space="preserve">CK-12</w:t>
        </w:r>
      </w:hyperlink>
    </w:p>
    <w:p>
      <w:pPr>
        <w:pStyle w:val="Compact"/>
        <w:numPr>
          <w:numId w:val="20"/>
          <w:ilvl w:val="1"/>
        </w:numPr>
      </w:pPr>
      <w:hyperlink r:id="rId126">
        <w:r>
          <w:rPr>
            <w:rStyle w:val="Link"/>
          </w:rPr>
          <w:t xml:space="preserve">OpenStax</w:t>
        </w:r>
      </w:hyperlink>
    </w:p>
    <w:p>
      <w:pPr>
        <w:pStyle w:val="Compact"/>
        <w:numPr>
          <w:numId w:val="20"/>
          <w:ilvl w:val="1"/>
        </w:numPr>
      </w:pPr>
      <w:hyperlink r:id="rId127">
        <w:r>
          <w:rPr>
            <w:rStyle w:val="Link"/>
          </w:rPr>
          <w:t xml:space="preserve">Phet</w:t>
        </w:r>
      </w:hyperlink>
    </w:p>
    <w:p>
      <w:pPr>
        <w:pStyle w:val="Compact"/>
        <w:numPr>
          <w:numId w:val="20"/>
          <w:ilvl w:val="1"/>
        </w:numPr>
      </w:pPr>
      <w:hyperlink r:id="rId128">
        <w:r>
          <w:rPr>
            <w:rStyle w:val="Link"/>
          </w:rPr>
          <w:t xml:space="preserve">Siyavula</w:t>
        </w:r>
      </w:hyperlink>
    </w:p>
    <w:p>
      <w:pPr>
        <w:pStyle w:val="Compact"/>
        <w:numPr>
          <w:numId w:val="20"/>
          <w:ilvl w:val="1"/>
        </w:numPr>
      </w:pPr>
      <w:hyperlink r:id="rId129">
        <w:r>
          <w:rPr>
            <w:rStyle w:val="Link"/>
          </w:rPr>
          <w:t xml:space="preserve">Connexions</w:t>
        </w:r>
      </w:hyperlink>
    </w:p>
    <w:p>
      <w:pPr>
        <w:pStyle w:val="Compact"/>
        <w:numPr>
          <w:numId w:val="20"/>
          <w:ilvl w:val="1"/>
        </w:numPr>
      </w:pPr>
      <w:hyperlink r:id="rId130">
        <w:r>
          <w:rPr>
            <w:rStyle w:val="Link"/>
          </w:rPr>
          <w:t xml:space="preserve">Claco</w:t>
        </w:r>
      </w:hyperlink>
    </w:p>
    <w:p>
      <w:pPr>
        <w:pStyle w:val="Compact"/>
        <w:numPr>
          <w:numId w:val="20"/>
          <w:ilvl w:val="1"/>
        </w:numPr>
      </w:pPr>
      <w:hyperlink r:id="rId131">
        <w:r>
          <w:rPr>
            <w:rStyle w:val="Link"/>
          </w:rPr>
          <w:t xml:space="preserve">Lesson Cast</w:t>
        </w:r>
      </w:hyperlink>
    </w:p>
    <w:p>
      <w:pPr>
        <w:pStyle w:val="Compact"/>
        <w:numPr>
          <w:numId w:val="20"/>
          <w:ilvl w:val="1"/>
        </w:numPr>
      </w:pPr>
      <w:hyperlink r:id="rId132">
        <w:r>
          <w:rPr>
            <w:rStyle w:val="Link"/>
          </w:rPr>
          <w:t xml:space="preserve">TeacherTube</w:t>
        </w:r>
      </w:hyperlink>
    </w:p>
    <w:p>
      <w:pPr>
        <w:pStyle w:val="Compact"/>
        <w:numPr>
          <w:numId w:val="20"/>
          <w:ilvl w:val="1"/>
        </w:numPr>
      </w:pPr>
      <w:hyperlink r:id="rId133">
        <w:r>
          <w:rPr>
            <w:rStyle w:val="Link"/>
          </w:rPr>
          <w:t xml:space="preserve">OpenAssembly</w:t>
        </w:r>
      </w:hyperlink>
    </w:p>
    <w:p>
      <w:pPr>
        <w:pStyle w:val="Compact"/>
        <w:numPr>
          <w:numId w:val="20"/>
          <w:ilvl w:val="1"/>
        </w:numPr>
      </w:pPr>
      <w:hyperlink r:id="rId134">
        <w:r>
          <w:rPr>
            <w:rStyle w:val="Link"/>
          </w:rPr>
          <w:t xml:space="preserve">Flat World Knowledge</w:t>
        </w:r>
      </w:hyperlink>
    </w:p>
    <w:p>
      <w:pPr>
        <w:pStyle w:val="Compact"/>
        <w:numPr>
          <w:numId w:val="20"/>
          <w:ilvl w:val="1"/>
        </w:numPr>
      </w:pPr>
      <w:hyperlink r:id="rId135">
        <w:r>
          <w:rPr>
            <w:rStyle w:val="Link"/>
          </w:rPr>
          <w:t xml:space="preserve">OER Africa</w:t>
        </w:r>
      </w:hyperlink>
    </w:p>
    <w:p>
      <w:pPr>
        <w:pStyle w:val="Compact"/>
        <w:numPr>
          <w:numId w:val="18"/>
          <w:ilvl w:val="0"/>
        </w:numPr>
      </w:pPr>
      <w:r>
        <w:t xml:space="preserve">Free Culture Media (for education and other uses)</w:t>
      </w:r>
    </w:p>
    <w:p>
      <w:pPr>
        <w:pStyle w:val="Compact"/>
        <w:numPr>
          <w:numId w:val="21"/>
          <w:ilvl w:val="1"/>
        </w:numPr>
      </w:pPr>
      <w:hyperlink r:id="rId136">
        <w:r>
          <w:rPr>
            <w:rStyle w:val="Link"/>
          </w:rPr>
          <w:t xml:space="preserve">Wikipedia</w:t>
        </w:r>
      </w:hyperlink>
      <w:r>
        <w:t xml:space="preserve"> </w:t>
      </w:r>
      <w:hyperlink r:id="rId137">
        <w:r>
          <w:rPr>
            <w:rStyle w:val="Link"/>
          </w:rPr>
          <w:t xml:space="preserve">Ed. Program</w:t>
        </w:r>
      </w:hyperlink>
    </w:p>
    <w:p>
      <w:pPr>
        <w:pStyle w:val="Compact"/>
        <w:numPr>
          <w:numId w:val="21"/>
          <w:ilvl w:val="1"/>
        </w:numPr>
      </w:pPr>
      <w:hyperlink r:id="rId138">
        <w:r>
          <w:rPr>
            <w:rStyle w:val="Link"/>
          </w:rPr>
          <w:t xml:space="preserve">Flickr</w:t>
        </w:r>
      </w:hyperlink>
    </w:p>
    <w:p>
      <w:pPr>
        <w:pStyle w:val="Compact"/>
        <w:numPr>
          <w:numId w:val="21"/>
          <w:ilvl w:val="1"/>
        </w:numPr>
      </w:pPr>
      <w:hyperlink r:id="rId139">
        <w:r>
          <w:rPr>
            <w:rStyle w:val="Link"/>
          </w:rPr>
          <w:t xml:space="preserve">OpenClipArt</w:t>
        </w:r>
      </w:hyperlink>
    </w:p>
    <w:p>
      <w:pPr>
        <w:pStyle w:val="Compact"/>
        <w:numPr>
          <w:numId w:val="21"/>
          <w:ilvl w:val="1"/>
        </w:numPr>
      </w:pPr>
      <w:hyperlink r:id="rId140">
        <w:r>
          <w:rPr>
            <w:rStyle w:val="Link"/>
          </w:rPr>
          <w:t xml:space="preserve">MERLOT</w:t>
        </w:r>
      </w:hyperlink>
    </w:p>
    <w:p>
      <w:pPr>
        <w:pStyle w:val="Compact"/>
        <w:numPr>
          <w:numId w:val="18"/>
          <w:ilvl w:val="0"/>
        </w:numPr>
      </w:pPr>
      <w:r>
        <w:t xml:space="preserve">Free Open Source Software for Education</w:t>
      </w:r>
    </w:p>
    <w:p>
      <w:pPr>
        <w:pStyle w:val="Compact"/>
        <w:numPr>
          <w:numId w:val="22"/>
          <w:ilvl w:val="1"/>
        </w:numPr>
      </w:pPr>
      <w:hyperlink r:id="rId141">
        <w:r>
          <w:rPr>
            <w:rStyle w:val="Link"/>
          </w:rPr>
          <w:t xml:space="preserve">Moodle</w:t>
        </w:r>
      </w:hyperlink>
    </w:p>
    <w:p>
      <w:pPr>
        <w:pStyle w:val="Compact"/>
        <w:numPr>
          <w:numId w:val="22"/>
          <w:ilvl w:val="1"/>
        </w:numPr>
      </w:pPr>
      <w:hyperlink r:id="rId142">
        <w:r>
          <w:rPr>
            <w:rStyle w:val="Link"/>
          </w:rPr>
          <w:t xml:space="preserve">Canvas</w:t>
        </w:r>
      </w:hyperlink>
    </w:p>
    <w:p>
      <w:pPr>
        <w:pStyle w:val="Compact"/>
        <w:numPr>
          <w:numId w:val="22"/>
          <w:ilvl w:val="1"/>
        </w:numPr>
      </w:pPr>
      <w:hyperlink r:id="rId143">
        <w:r>
          <w:rPr>
            <w:rStyle w:val="Link"/>
          </w:rPr>
          <w:t xml:space="preserve">Adapt Learning</w:t>
        </w:r>
      </w:hyperlink>
    </w:p>
    <w:p>
      <w:pPr>
        <w:pStyle w:val="Compact"/>
        <w:numPr>
          <w:numId w:val="22"/>
          <w:ilvl w:val="1"/>
        </w:numPr>
      </w:pPr>
      <w:hyperlink r:id="rId144">
        <w:r>
          <w:rPr>
            <w:rStyle w:val="Link"/>
          </w:rPr>
          <w:t xml:space="preserve">Scratch</w:t>
        </w:r>
      </w:hyperlink>
    </w:p>
    <w:p>
      <w:pPr>
        <w:pStyle w:val="Compact"/>
        <w:numPr>
          <w:numId w:val="22"/>
          <w:ilvl w:val="1"/>
        </w:numPr>
      </w:pPr>
      <w:hyperlink r:id="rId145">
        <w:r>
          <w:rPr>
            <w:rStyle w:val="Link"/>
          </w:rPr>
          <w:t xml:space="preserve">Snap</w:t>
        </w:r>
      </w:hyperlink>
      <w:r>
        <w:t xml:space="preserve"> </w:t>
      </w:r>
      <w:hyperlink r:id="rId146">
        <w:r>
          <w:rPr>
            <w:rStyle w:val="Link"/>
          </w:rPr>
          <w:t xml:space="preserve">Source Code</w:t>
        </w:r>
      </w:hyperlink>
    </w:p>
    <w:p>
      <w:pPr>
        <w:pStyle w:val="Compact"/>
        <w:numPr>
          <w:numId w:val="22"/>
          <w:ilvl w:val="1"/>
        </w:numPr>
      </w:pPr>
      <w:hyperlink r:id="rId147">
        <w:r>
          <w:rPr>
            <w:rStyle w:val="Link"/>
          </w:rPr>
          <w:t xml:space="preserve">BuddyPress</w:t>
        </w:r>
      </w:hyperlink>
    </w:p>
    <w:p>
      <w:pPr>
        <w:pStyle w:val="Compact"/>
        <w:numPr>
          <w:numId w:val="22"/>
          <w:ilvl w:val="1"/>
        </w:numPr>
      </w:pPr>
      <w:hyperlink r:id="rId148">
        <w:r>
          <w:rPr>
            <w:rStyle w:val="Link"/>
          </w:rPr>
          <w:t xml:space="preserve">EduBuntu</w:t>
        </w:r>
      </w:hyperlink>
    </w:p>
    <w:p>
      <w:pPr>
        <w:pStyle w:val="Compact"/>
        <w:numPr>
          <w:numId w:val="22"/>
          <w:ilvl w:val="1"/>
        </w:numPr>
      </w:pPr>
      <w:hyperlink r:id="rId149">
        <w:r>
          <w:rPr>
            <w:rStyle w:val="Link"/>
          </w:rPr>
          <w:t xml:space="preserve">Mahara</w:t>
        </w:r>
      </w:hyperlink>
    </w:p>
    <w:p>
      <w:pPr>
        <w:pStyle w:val="Compact"/>
        <w:numPr>
          <w:numId w:val="22"/>
          <w:ilvl w:val="1"/>
        </w:numPr>
      </w:pPr>
      <w:hyperlink r:id="rId150">
        <w:r>
          <w:rPr>
            <w:rStyle w:val="Link"/>
          </w:rPr>
          <w:t xml:space="preserve">Rasberry Pi (hardware)</w:t>
        </w:r>
      </w:hyperlink>
    </w:p>
    <w:bookmarkStart w:id="151" w:name="other-related-links"/>
    <w:p>
      <w:pPr>
        <w:pStyle w:val="Heading2"/>
      </w:pPr>
      <w:r>
        <w:t xml:space="preserve">Other related links</w:t>
      </w:r>
    </w:p>
    <w:bookmarkEnd w:id="151"/>
    <w:p>
      <w:pPr>
        <w:pStyle w:val="Compact"/>
        <w:numPr>
          <w:numId w:val="23"/>
          <w:ilvl w:val="0"/>
        </w:numPr>
      </w:pPr>
      <w:hyperlink r:id="rId152">
        <w:r>
          <w:rPr>
            <w:rStyle w:val="Link"/>
          </w:rPr>
          <w:t xml:space="preserve">On the Commons</w:t>
        </w:r>
      </w:hyperlink>
    </w:p>
    <w:p>
      <w:pPr>
        <w:pStyle w:val="Compact"/>
        <w:numPr>
          <w:numId w:val="23"/>
          <w:ilvl w:val="0"/>
        </w:numPr>
      </w:pPr>
      <w:hyperlink r:id="rId153">
        <w:r>
          <w:rPr>
            <w:rStyle w:val="Link"/>
          </w:rPr>
          <w:t xml:space="preserve">OER Commons</w:t>
        </w:r>
      </w:hyperlink>
    </w:p>
    <w:p>
      <w:pPr>
        <w:pStyle w:val="Compact"/>
        <w:numPr>
          <w:numId w:val="23"/>
          <w:ilvl w:val="0"/>
        </w:numPr>
      </w:pPr>
      <w:hyperlink r:id="rId154">
        <w:r>
          <w:rPr>
            <w:rStyle w:val="Link"/>
          </w:rPr>
          <w:t xml:space="preserve">Open Courseware Consortium</w:t>
        </w:r>
      </w:hyperlink>
    </w:p>
    <w:p>
      <w:pPr>
        <w:pStyle w:val="Compact"/>
        <w:numPr>
          <w:numId w:val="23"/>
          <w:ilvl w:val="0"/>
        </w:numPr>
      </w:pPr>
      <w:hyperlink r:id="rId155">
        <w:r>
          <w:rPr>
            <w:rStyle w:val="Link"/>
          </w:rPr>
          <w:t xml:space="preserve">OER Consortium</w:t>
        </w:r>
      </w:hyperlink>
    </w:p>
    <w:p>
      <w:pPr>
        <w:pStyle w:val="Compact"/>
        <w:numPr>
          <w:numId w:val="23"/>
          <w:ilvl w:val="0"/>
        </w:numPr>
      </w:pPr>
      <w:hyperlink r:id="rId156">
        <w:r>
          <w:rPr>
            <w:rStyle w:val="Link"/>
          </w:rPr>
          <w:t xml:space="preserve">Creative Commons Education</w:t>
        </w:r>
      </w:hyperlink>
    </w:p>
    <w:p>
      <w:pPr>
        <w:pStyle w:val="Compact"/>
        <w:numPr>
          <w:numId w:val="23"/>
          <w:ilvl w:val="0"/>
        </w:numPr>
      </w:pPr>
      <w:hyperlink r:id="rId157">
        <w:r>
          <w:rPr>
            <w:rStyle w:val="Link"/>
          </w:rPr>
          <w:t xml:space="preserve">FOSsil Bank</w:t>
        </w:r>
      </w:hyperlink>
    </w:p>
    <w:p>
      <w:pPr>
        <w:pStyle w:val="Compact"/>
        <w:numPr>
          <w:numId w:val="23"/>
          <w:ilvl w:val="0"/>
        </w:numPr>
      </w:pPr>
      <w:hyperlink r:id="rId158">
        <w:r>
          <w:rPr>
            <w:rStyle w:val="Link"/>
          </w:rPr>
          <w:t xml:space="preserve">P2P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7899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6da35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e6f650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57e8e5be"/>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