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 networked learning, peer-to-peer learning, p2p learning, open source education, hacking education, peer production, MOOC</w:t>
      </w:r>
    </w:p>
    <w:p>
      <w:pPr>
        <w:pStyle w:val="BodyText"/>
      </w:pPr>
      <w:r>
        <w:rPr>
          <w:b/>
        </w:rPr>
        <w:t xml:space="preserve">Description:</w:t>
      </w:r>
      <w:r>
        <w:t xml:space="preserve"> </w:t>
      </w:r>
      <w:r>
        <w:t xml:space="preserve">Open education combines practices from Free Software development with (radically) student-centered pedagogy. In open education, free learning resources are developed collaboratively using the global internet, tailored locally to the specific needs of learners, and studied collaboratively. Students in this course consider the underlying principles of open education: 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 domination and liberation where we live: the network society, 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 locus of freedom and innovation—free access, free use, free expression, free interaction—that stands against private control, that is, the control exerted by private property, its legal structures, and 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 guilt to the discrimination which a society practices against some of its members and compounds the privilege of others with a new title to condescend to the majority. Just as inevitably, this hidden curriculum serves as a ritual of initiation into a growth-oriented 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3"/>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4" w:name="readings"/>
      <w:bookmarkEnd w:id="24"/>
      <w:r>
        <w:t xml:space="preserve">Readings</w:t>
      </w:r>
    </w:p>
    <w:p>
      <w:pPr>
        <w:pStyle w:val="Heading2"/>
      </w:pPr>
      <w:bookmarkStart w:id="25" w:name="bibliography-readings"/>
      <w:bookmarkEnd w:id="25"/>
      <w:r>
        <w:t xml:space="preserve">Bibliography &amp; readings</w:t>
      </w:r>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6">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7">
        <w:r>
          <w:rPr>
            <w:rStyle w:val="Hyperlink"/>
          </w:rPr>
          <w:t xml:space="preserve">download from moodle</w:t>
        </w:r>
      </w:hyperlink>
    </w:p>
    <w:p>
      <w:pPr>
        <w:pStyle w:val="BodyText"/>
      </w:pPr>
      <w:r>
        <w:t xml:space="preserve">Benkler, Y. (2006).</w:t>
      </w:r>
      <w:r>
        <w:t xml:space="preserve"> </w:t>
      </w:r>
      <w:hyperlink r:id="rId28">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9">
        <w:r>
          <w:rPr>
            <w:rStyle w:val="Hyperlink"/>
          </w:rPr>
          <w:t xml:space="preserve">Introduction</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1">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2">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3">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4">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7">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9">
        <w:r>
          <w:rPr>
            <w:i/>
            <w:rStyle w:val="Hyperlink"/>
          </w:rPr>
          <w:t xml:space="preserve">Deschooling Society</w:t>
        </w:r>
      </w:hyperlink>
      <w:r>
        <w:t xml:space="preserve">. Harper &amp; Row. New York.</w:t>
      </w:r>
    </w:p>
    <w:p>
      <w:pPr>
        <w:pStyle w:val="BodyText"/>
      </w:pPr>
      <w:r>
        <w:t xml:space="preserve">Kelty, C. (2008).</w:t>
      </w:r>
      <w:r>
        <w:t xml:space="preserve"> </w:t>
      </w:r>
      <w:hyperlink r:id="rId40">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1">
        <w:r>
          <w:rPr>
            <w:rStyle w:val="Hyperlink"/>
          </w:rPr>
          <w:t xml:space="preserve">Edupunks’ Guide to a DIY Education!</w:t>
        </w:r>
      </w:hyperlink>
      <w:r>
        <w:t xml:space="preserve"> </w:t>
      </w:r>
      <w:r>
        <w:t xml:space="preserve">Bill and Melinda Gates Foundation. [website and ebook].</w:t>
      </w:r>
    </w:p>
    <w:p>
      <w:pPr>
        <w:pStyle w:val="BodyText"/>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3">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50">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3">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4">
        <w:r>
          <w:rPr>
            <w:rStyle w:val="Hyperlink"/>
          </w:rPr>
          <w:t xml:space="preserve">The Extended Argument for Openness in Education: Introduction to Openness in Education.</w:t>
        </w:r>
      </w:hyperlink>
      <w:r>
        <w:t xml:space="preserve">. [in Course] [</w:t>
      </w:r>
      <w:r>
        <w:rPr>
          <w:i/>
        </w:rPr>
        <w:t xml:space="preserve">Introduction to Openness in Education</w:t>
      </w:r>
      <w:r>
        <w:t xml:space="preserve">](https://learn.canvas.net/courses/4)</w:t>
      </w:r>
    </w:p>
    <w:p>
      <w:pPr>
        <w:pStyle w:val="Heading1"/>
      </w:pPr>
      <w:bookmarkStart w:id="55" w:name="class-sessions"/>
      <w:bookmarkEnd w:id="55"/>
      <w:r>
        <w:t xml:space="preserve">Class Sessions</w:t>
      </w:r>
    </w:p>
    <w:p>
      <w:pPr>
        <w:pStyle w:val="Heading2"/>
      </w:pPr>
      <w:bookmarkStart w:id="56" w:name="sep-15-foundations-of-open-education-connected-learning"/>
      <w:bookmarkEnd w:id="56"/>
      <w:r>
        <w:t xml:space="preserve">Sep 15: Foundations of Open Education &amp; Connected Learning</w:t>
      </w:r>
    </w:p>
    <w:p>
      <w:pPr>
        <w:pStyle w:val="Heading4"/>
      </w:pPr>
      <w:bookmarkStart w:id="57" w:name="readings-due"/>
      <w:bookmarkEnd w:id="57"/>
      <w:r>
        <w:t xml:space="preserve">Readings due:</w:t>
      </w:r>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9">
        <w:r>
          <w:rPr>
            <w:i/>
            <w:rStyle w:val="Hyperlink"/>
          </w:rPr>
          <w:t xml:space="preserve">Introduction to Openness in Education</w:t>
        </w:r>
      </w:hyperlink>
    </w:p>
    <w:p>
      <w:pPr>
        <w:pStyle w:val="Compact"/>
        <w:numPr>
          <w:numId w:val="1005"/>
          <w:ilvl w:val="0"/>
        </w:numPr>
      </w:pPr>
      <w:r>
        <w:t xml:space="preserve">“</w:t>
      </w:r>
      <w:hyperlink r:id="rId53">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60">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Heading4"/>
      </w:pPr>
      <w:bookmarkStart w:id="61" w:name="optional-readings"/>
      <w:bookmarkEnd w:id="61"/>
      <w:r>
        <w:t xml:space="preserve">Optional readings:</w:t>
      </w:r>
    </w:p>
    <w:p>
      <w:pPr>
        <w:pStyle w:val="FirstParagraph"/>
      </w:pPr>
      <w:r>
        <w:t xml:space="preserve">Wiley, D., Bliss, T. J., &amp; McEwen, M. (2013).</w:t>
      </w:r>
      <w:r>
        <w:t xml:space="preserve"> </w:t>
      </w:r>
      <w:hyperlink r:id="rId62">
        <w:r>
          <w:rPr>
            <w:rStyle w:val="Hyperlink"/>
          </w:rPr>
          <w:t xml:space="preserve">Open Educational Resources: A Review of the Literature.</w:t>
        </w:r>
      </w:hyperlink>
      <w:r>
        <w:t xml:space="preserve"> </w:t>
      </w:r>
      <w:r>
        <w:t xml:space="preserve">In J. M. Spector (Ed.),</w:t>
      </w:r>
      <w:r>
        <w:t xml:space="preserve"> </w:t>
      </w:r>
      <w:hyperlink r:id="rId63">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4" w:name="sep-29-deschooling-unschooling-and-ignorance"/>
      <w:bookmarkEnd w:id="64"/>
      <w:r>
        <w:t xml:space="preserve">Sep 29: Deschooling, Unschooling, and Ignorance</w:t>
      </w:r>
    </w:p>
    <w:p>
      <w:pPr>
        <w:pStyle w:val="Heading4"/>
      </w:pPr>
      <w:bookmarkStart w:id="65" w:name="readings-due-1"/>
      <w:bookmarkEnd w:id="65"/>
      <w:r>
        <w:t xml:space="preserve">Readings due:</w:t>
      </w:r>
    </w:p>
    <w:p>
      <w:pPr>
        <w:pStyle w:val="FirstParagraph"/>
      </w:pPr>
      <w:r>
        <w:t xml:space="preserve">Curinga, M. (2012)</w:t>
      </w:r>
      <w:r>
        <w:t xml:space="preserve"> </w:t>
      </w:r>
      <w:hyperlink r:id="rId66">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 Intellectual Emancipation</w:t>
      </w:r>
      <w:r>
        <w:t xml:space="preserve">. Stanford University Press. USA.</w:t>
      </w:r>
      <w:r>
        <w:t xml:space="preserve"> </w:t>
      </w:r>
      <w:r>
        <w:rPr>
          <w:i/>
        </w:rPr>
        <w:t xml:space="preserve">Chapters 1 &amp; 2</w:t>
      </w:r>
    </w:p>
    <w:p>
      <w:pPr>
        <w:pStyle w:val="Heading2"/>
      </w:pPr>
      <w:bookmarkStart w:id="67" w:name="oct-13-free-software-free-culture"/>
      <w:bookmarkEnd w:id="67"/>
      <w:r>
        <w:t xml:space="preserve">Oct 13: Free Software &amp; Free Culture</w:t>
      </w:r>
    </w:p>
    <w:p>
      <w:pPr>
        <w:pStyle w:val="Heading4"/>
      </w:pPr>
      <w:bookmarkStart w:id="68" w:name="readings-due-2"/>
      <w:bookmarkEnd w:id="68"/>
      <w:r>
        <w:t xml:space="preserve">Readings due:</w:t>
      </w:r>
    </w:p>
    <w:p>
      <w:pPr>
        <w:pStyle w:val="FirstParagraph"/>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9" w:name="videos"/>
      <w:bookmarkEnd w:id="69"/>
      <w:r>
        <w:t xml:space="preserve">Videos</w:t>
      </w:r>
    </w:p>
    <w:p>
      <w:pPr>
        <w:pStyle w:val="FirstParagraph"/>
      </w:pPr>
      <w:r>
        <w:t xml:space="preserve">Open Source Cinema. (2006).</w:t>
      </w:r>
      <w:r>
        <w:t xml:space="preserve"> </w:t>
      </w:r>
      <w:hyperlink r:id="rId70">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1">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2">
        <w:r>
          <w:rPr>
            <w:rStyle w:val="Hyperlink"/>
          </w:rPr>
          <w:t xml:space="preserve">Embrace the remix.</w:t>
        </w:r>
      </w:hyperlink>
      <w:r>
        <w:t xml:space="preserve">[Video 00:09:43]</w:t>
      </w:r>
    </w:p>
    <w:p>
      <w:pPr>
        <w:pStyle w:val="BodyText"/>
      </w:pPr>
      <w:r>
        <w:t xml:space="preserve">Leadbeater, C. (2005).</w:t>
      </w:r>
      <w:r>
        <w:t xml:space="preserve"> </w:t>
      </w:r>
      <w:hyperlink r:id="rId73">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4">
        <w:r>
          <w:rPr>
            <w:rStyle w:val="Hyperlink"/>
          </w:rPr>
          <w:t xml:space="preserve">Copying Is Not Theft</w:t>
        </w:r>
      </w:hyperlink>
      <w:r>
        <w:t xml:space="preserve"> </w:t>
      </w:r>
      <w:r>
        <w:t xml:space="preserve">[Video 00:01:00]</w:t>
      </w:r>
    </w:p>
    <w:p>
      <w:pPr>
        <w:pStyle w:val="Heading4"/>
      </w:pPr>
      <w:bookmarkStart w:id="75" w:name="optional-reading"/>
      <w:bookmarkEnd w:id="75"/>
      <w:r>
        <w:t xml:space="preserve">Optional Reading:</w:t>
      </w:r>
    </w:p>
    <w:p>
      <w:pPr>
        <w:pStyle w:val="FirstParagraph"/>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6">
        <w:r>
          <w:rPr>
            <w:rStyle w:val="Hyperlink"/>
          </w:rPr>
          <w:t xml:space="preserve">Collection of Lessig Videos</w:t>
        </w:r>
      </w:hyperlink>
      <w:r>
        <w:t xml:space="preserve"> </w:t>
      </w:r>
      <w:r>
        <w:t xml:space="preserve">Blip.tv</w:t>
      </w:r>
    </w:p>
    <w:p>
      <w:pPr>
        <w:pStyle w:val="BodyText"/>
      </w:pPr>
      <w:hyperlink r:id="rId77">
        <w:r>
          <w:rPr>
            <w:rStyle w:val="Hyperlink"/>
          </w:rPr>
          <w:t xml:space="preserve">Lessig on Stephen Colbert</w:t>
        </w:r>
      </w:hyperlink>
      <w:r>
        <w:t xml:space="preserve"> </w:t>
      </w:r>
      <w:r>
        <w:t xml:space="preserve">[video]</w:t>
      </w:r>
    </w:p>
    <w:p>
      <w:pPr>
        <w:pStyle w:val="Heading2"/>
      </w:pPr>
      <w:bookmarkStart w:id="78" w:name="oct-27-peer-production"/>
      <w:bookmarkEnd w:id="78"/>
      <w:r>
        <w:t xml:space="preserve">Oct 27: Peer production</w:t>
      </w:r>
    </w:p>
    <w:p>
      <w:pPr>
        <w:pStyle w:val="Heading4"/>
      </w:pPr>
      <w:bookmarkStart w:id="79" w:name="readings-due-3"/>
      <w:bookmarkEnd w:id="79"/>
      <w:r>
        <w:t xml:space="preserve">Readings due:</w:t>
      </w:r>
    </w:p>
    <w:p>
      <w:pPr>
        <w:pStyle w:val="FirstParagraph"/>
      </w:pPr>
      <w:r>
        <w:t xml:space="preserve">Benkler, Y. (2002).</w:t>
      </w:r>
      <w:r>
        <w:t xml:space="preserve"> </w:t>
      </w:r>
      <w:hyperlink r:id="rId80">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1" w:name="optional-video"/>
      <w:bookmarkEnd w:id="81"/>
      <w:r>
        <w:t xml:space="preserve">Optional video:</w:t>
      </w:r>
    </w:p>
    <w:p>
      <w:pPr>
        <w:pStyle w:val="FirstParagraph"/>
      </w:pPr>
      <w:r>
        <w:t xml:space="preserve">If you would like some extra background on the reading and want to put the ideas in context, you might want to</w:t>
      </w:r>
      <w:r>
        <w:t xml:space="preserve"> </w:t>
      </w:r>
      <w:hyperlink r:id="rId82">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3" w:name="due"/>
      <w:bookmarkEnd w:id="83"/>
      <w:r>
        <w:t xml:space="preserve">Due:</w:t>
      </w:r>
    </w:p>
    <w:p>
      <w:pPr>
        <w:pStyle w:val="Compact"/>
        <w:numPr>
          <w:numId w:val="1006"/>
          <w:ilvl w:val="0"/>
        </w:numPr>
      </w:pPr>
      <w:r>
        <w:t xml:space="preserve">Open Ed Report</w:t>
      </w:r>
    </w:p>
    <w:p>
      <w:pPr>
        <w:pStyle w:val="Heading2"/>
      </w:pPr>
      <w:bookmarkStart w:id="84" w:name="nov-10-the-commons"/>
      <w:bookmarkEnd w:id="84"/>
      <w:r>
        <w:t xml:space="preserve">Nov 10: The Commons</w:t>
      </w:r>
    </w:p>
    <w:p>
      <w:pPr>
        <w:pStyle w:val="Heading4"/>
      </w:pPr>
      <w:bookmarkStart w:id="85" w:name="readings-due-4"/>
      <w:bookmarkEnd w:id="85"/>
      <w:r>
        <w:t xml:space="preserve">Readings due:</w:t>
      </w:r>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9">
        <w:r>
          <w:rPr>
            <w:rStyle w:val="Hyperlink"/>
          </w:rPr>
          <w:t xml:space="preserve">Introduction</w:t>
        </w:r>
      </w:hyperlink>
    </w:p>
    <w:p>
      <w:pPr>
        <w:pStyle w:val="BodyText"/>
      </w:pPr>
      <w:r>
        <w:t xml:space="preserve">Elinor Ostrom. (2010).</w:t>
      </w:r>
      <w:r>
        <w:t xml:space="preserve"> </w:t>
      </w:r>
      <w:hyperlink r:id="rId86">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7">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8" w:name="optional-readings-1"/>
      <w:bookmarkEnd w:id="88"/>
      <w:r>
        <w:t xml:space="preserve">Optional readings:</w:t>
      </w:r>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9" w:name="nov-24-moocs-massively-open-online-courses"/>
      <w:bookmarkEnd w:id="89"/>
      <w:r>
        <w:t xml:space="preserve">Nov 24: MOOCs: Massively Open Online Courses</w:t>
      </w:r>
    </w:p>
    <w:p>
      <w:pPr>
        <w:pStyle w:val="Heading4"/>
      </w:pPr>
      <w:bookmarkStart w:id="90" w:name="readings-due-5"/>
      <w:bookmarkEnd w:id="90"/>
      <w:r>
        <w:t xml:space="preserve">Readings due:</w:t>
      </w:r>
    </w:p>
    <w:p>
      <w:pPr>
        <w:pStyle w:val="FirstParagraph"/>
      </w:pPr>
      <w:r>
        <w:t xml:space="preserve">Cormier, D. (2010).</w:t>
      </w:r>
      <w:r>
        <w:t xml:space="preserve"> </w:t>
      </w:r>
      <w:hyperlink r:id="rId31">
        <w:r>
          <w:rPr>
            <w:rStyle w:val="Hyperlink"/>
          </w:rPr>
          <w:t xml:space="preserve">What is a MOOC?</w:t>
        </w:r>
      </w:hyperlink>
      <w:r>
        <w:t xml:space="preserve">[video, 04:27]</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1">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2">
        <w:r>
          <w:rPr>
            <w:rStyle w:val="Hyperlink"/>
          </w:rPr>
          <w:t xml:space="preserve">Keep MOOCs Open</w:t>
        </w:r>
      </w:hyperlink>
    </w:p>
    <w:p>
      <w:pPr>
        <w:pStyle w:val="BodyText"/>
      </w:pPr>
      <w:r>
        <w:t xml:space="preserve">Exoo, C., &amp; Exoo, C. F. (2013, October 28).</w:t>
      </w:r>
      <w:r>
        <w:t xml:space="preserve"> </w:t>
      </w:r>
      <w:hyperlink r:id="rId93">
        <w:r>
          <w:rPr>
            <w:rStyle w:val="Hyperlink"/>
          </w:rPr>
          <w:t xml:space="preserve">MOOCs: Corporate welfare for credit</w:t>
        </w:r>
      </w:hyperlink>
      <w:r>
        <w:t xml:space="preserve">.</w:t>
      </w:r>
      <w:r>
        <w:t xml:space="preserve"> </w:t>
      </w:r>
      <w:r>
        <w:rPr>
          <w:i/>
        </w:rPr>
        <w:t xml:space="preserve">Salon.</w:t>
      </w:r>
    </w:p>
    <w:p>
      <w:pPr>
        <w:pStyle w:val="Heading2"/>
      </w:pPr>
      <w:bookmarkStart w:id="94" w:name="dec-8-resisting-open-education"/>
      <w:bookmarkEnd w:id="94"/>
      <w:r>
        <w:t xml:space="preserve">Dec 8: Resisting Open Education</w:t>
      </w:r>
    </w:p>
    <w:p>
      <w:pPr>
        <w:pStyle w:val="Heading4"/>
      </w:pPr>
      <w:bookmarkStart w:id="95" w:name="readings-due-6"/>
      <w:bookmarkEnd w:id="95"/>
      <w:r>
        <w:t xml:space="preserve">Readings due:</w:t>
      </w:r>
    </w:p>
    <w:p>
      <w:pPr>
        <w:pStyle w:val="FirstParagraph"/>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6">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7" w:name="dec-15-papers-due"/>
      <w:bookmarkEnd w:id="97"/>
      <w:r>
        <w:t xml:space="preserve">Dec 15: Papers due</w:t>
      </w:r>
    </w:p>
    <w:p>
      <w:pPr>
        <w:pStyle w:val="FirstParagraph"/>
      </w:pPr>
      <w:r>
        <w:t xml:space="preserve">No in person meeting, but final papers are due.</w:t>
      </w:r>
    </w:p>
    <w:p>
      <w:pPr>
        <w:pStyle w:val="Heading1"/>
      </w:pPr>
      <w:bookmarkStart w:id="98" w:name="assignments"/>
      <w:bookmarkEnd w:id="98"/>
      <w:r>
        <w:t xml:space="preserve">Assignments</w:t>
      </w:r>
    </w:p>
    <w:p>
      <w:pPr>
        <w:pStyle w:val="Heading4"/>
      </w:pPr>
      <w:bookmarkStart w:id="99" w:name="due-dates-and-grading"/>
      <w:bookmarkEnd w:id="99"/>
      <w: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100" w:name="participation"/>
      <w:bookmarkEnd w:id="100"/>
      <w:r>
        <w:t xml:space="preserve">Participation</w:t>
      </w:r>
    </w:p>
    <w:p>
      <w:pPr>
        <w:pStyle w:val="FirstParagraph"/>
      </w:pPr>
      <w:r>
        <w:t xml:space="preserve">This is a reading-oriented course. Whether class is conducted in-person or asynchronously online, you are expected to be prepared each week. In a typical week, there will be 40-80 pages of reading. Sometimes there will be videos to watch as well. Let’s call all of these</w:t>
      </w:r>
      <w:r>
        <w:t xml:space="preserve"> </w:t>
      </w:r>
      <w:r>
        <w:rPr>
          <w:i/>
        </w:rPr>
        <w:t xml:space="preserve">texts</w:t>
      </w:r>
      <w:r>
        <w:t xml:space="preserve">.</w:t>
      </w:r>
    </w:p>
    <w:p>
      <w:pPr>
        <w:pStyle w:val="BodyText"/>
      </w:pPr>
      <w:r>
        <w:t xml:space="preserve">When you read a text for this course, you should have two things in mind: (1) what is the text arguing? (2) to what extent do you agree with these arguments? You should be in touch with your study group to discuss texts before full group discussions.</w:t>
      </w:r>
    </w:p>
    <w:p>
      <w:pPr>
        <w:pStyle w:val="BodyText"/>
      </w:pPr>
      <w:r>
        <w:t xml:space="preserve">Your grade in this area will be determined by the end of term particpant survey and the instructor grade.</w:t>
      </w:r>
    </w:p>
    <w:p>
      <w:pPr>
        <w:pStyle w:val="Heading2"/>
      </w:pPr>
      <w:bookmarkStart w:id="101" w:name="open-education-report"/>
      <w:bookmarkEnd w:id="101"/>
      <w:r>
        <w:t xml:space="preserve">Open Education Report</w:t>
      </w:r>
    </w:p>
    <w:p>
      <w:pPr>
        <w:pStyle w:val="FirstParagraph"/>
      </w:pPr>
      <w:r>
        <w:t xml:space="preserve">By the second week of the semester, you will choose an Open Education Project (see list below) to follow and study. You should plan to spend at least one hour a week participating in the project. Typically, at first, this will mean reading about it and following along. As you learn about the community, you 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2">
        <w:r>
          <w:rPr>
            <w:rStyle w:val="Hyperlink"/>
          </w:rPr>
          <w:t xml:space="preserve">1</w:t>
        </w:r>
      </w:hyperlink>
      <w:r>
        <w:t xml:space="preserve">] [</w:t>
      </w:r>
      <w:hyperlink r:id="rId103">
        <w:r>
          <w:rPr>
            <w:rStyle w:val="Hyperlink"/>
          </w:rPr>
          <w:t xml:space="preserve">2</w:t>
        </w:r>
      </w:hyperlink>
      <w:r>
        <w:t xml:space="preserve">] about your project to present to the group. From there, we will have a general discussion of the projects.</w:t>
      </w:r>
    </w:p>
    <w:p>
      <w:pPr>
        <w:pStyle w:val="Heading2"/>
      </w:pPr>
      <w:bookmarkStart w:id="104" w:name="critical-essay"/>
      <w:bookmarkEnd w:id="104"/>
      <w:r>
        <w:t xml:space="preserve">Critical Essay</w:t>
      </w:r>
    </w:p>
    <w:p>
      <w:pPr>
        <w:pStyle w:val="FirstParagraph"/>
      </w:pPr>
      <w:r>
        <w:t xml:space="preserve">Choose an area of interest that has arisen out of the course readings and discussions and write a reflective essay on this topic. Follow</w:t>
      </w:r>
      <w:r>
        <w:t xml:space="preserve"> </w:t>
      </w:r>
      <w:hyperlink r:id="rId105">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 writing in this style. You should refer closely to the texts that we engage with during the semester in your writing. Your work must properly cite your sources, using APA styled references. You may include endnotes in your essay as well.</w:t>
      </w:r>
    </w:p>
    <w:p>
      <w:pPr>
        <w:pStyle w:val="BodyText"/>
      </w:pPr>
      <w:r>
        <w:t xml:space="preserve">Essays must be approximately 2,500 words long. This is strictly an individual assignment (one essay per person). I strongly suggest that everyone schedule an appointment with the</w:t>
      </w:r>
      <w:r>
        <w:t xml:space="preserve"> </w:t>
      </w:r>
      <w:hyperlink r:id="rId106">
        <w:r>
          <w:rPr>
            <w:rStyle w:val="Hyperlink"/>
          </w:rPr>
          <w:t xml:space="preserve">Writing Center</w:t>
        </w:r>
      </w:hyperlink>
      <w:r>
        <w:t xml:space="preserve"> </w:t>
      </w:r>
      <w:r>
        <w:t xml:space="preserve">before you turn in your draft, and then again before you turn in your final essay.</w:t>
      </w:r>
    </w:p>
    <w:p>
      <w:pPr>
        <w:pStyle w:val="BodyText"/>
      </w:pPr>
      <w:r>
        <w:t xml:space="preserve">Late work will not be accepted for this assignment and</w:t>
      </w:r>
      <w:r>
        <w:t xml:space="preserve"> </w:t>
      </w:r>
      <w:r>
        <w:rPr>
          <w:b/>
        </w:rPr>
        <w:t xml:space="preserve">there will not be an opportunity to re-write your final essay.</w:t>
      </w:r>
    </w:p>
    <w:p>
      <w:pPr>
        <w:pStyle w:val="BodyText"/>
      </w:pPr>
      <w:r>
        <w:t xml:space="preserve">Your grade for the final paper will be based on the jouranl article evaluation process from the</w:t>
      </w:r>
      <w:r>
        <w:t xml:space="preserve"> </w:t>
      </w:r>
      <w:hyperlink r:id="rId107">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8">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9">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10" w:name="open-education-projects"/>
      <w:bookmarkEnd w:id="110"/>
      <w:r>
        <w:t xml:space="preserve">Open Education Projects</w:t>
      </w:r>
    </w:p>
    <w:p>
      <w:pPr>
        <w:pStyle w:val="FirstParagraph"/>
      </w:pPr>
      <w:r>
        <w:t xml:space="preserve">This is a selected list of open education projects. You will take a several weeks to try to get to know one of these projects, and then report back what you learned to the group. Here are some 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1" w:name="list-of-selected-project-open-ed-projects"/>
      <w:bookmarkEnd w:id="111"/>
      <w:r>
        <w:t xml:space="preserve">List of Selected Project Open Ed Projects</w:t>
      </w:r>
    </w:p>
    <w:p>
      <w:pPr>
        <w:pStyle w:val="Compact"/>
        <w:numPr>
          <w:numId w:val="1017"/>
          <w:ilvl w:val="0"/>
        </w:numPr>
      </w:pPr>
      <w:r>
        <w:t xml:space="preserve">MOOCS, Open Courses, and Self-Study</w:t>
      </w:r>
    </w:p>
    <w:p>
      <w:pPr>
        <w:pStyle w:val="Compact"/>
        <w:numPr>
          <w:numId w:val="1018"/>
          <w:ilvl w:val="1"/>
        </w:numPr>
      </w:pPr>
      <w:hyperlink r:id="rId112">
        <w:r>
          <w:rPr>
            <w:rStyle w:val="Hyperlink"/>
          </w:rPr>
          <w:t xml:space="preserve">MIT OCW</w:t>
        </w:r>
      </w:hyperlink>
    </w:p>
    <w:p>
      <w:pPr>
        <w:pStyle w:val="Compact"/>
        <w:numPr>
          <w:numId w:val="1018"/>
          <w:ilvl w:val="1"/>
        </w:numPr>
      </w:pPr>
      <w:hyperlink r:id="rId113">
        <w:r>
          <w:rPr>
            <w:rStyle w:val="Hyperlink"/>
          </w:rPr>
          <w:t xml:space="preserve">P2P University</w:t>
        </w:r>
      </w:hyperlink>
    </w:p>
    <w:p>
      <w:pPr>
        <w:pStyle w:val="Compact"/>
        <w:numPr>
          <w:numId w:val="1018"/>
          <w:ilvl w:val="1"/>
        </w:numPr>
      </w:pPr>
      <w:hyperlink r:id="rId114">
        <w:r>
          <w:rPr>
            <w:rStyle w:val="Hyperlink"/>
          </w:rPr>
          <w:t xml:space="preserve">Udacity</w:t>
        </w:r>
      </w:hyperlink>
    </w:p>
    <w:p>
      <w:pPr>
        <w:pStyle w:val="Compact"/>
        <w:numPr>
          <w:numId w:val="1018"/>
          <w:ilvl w:val="1"/>
        </w:numPr>
      </w:pPr>
      <w:hyperlink r:id="rId115">
        <w:r>
          <w:rPr>
            <w:rStyle w:val="Hyperlink"/>
          </w:rPr>
          <w:t xml:space="preserve">Coursera</w:t>
        </w:r>
      </w:hyperlink>
    </w:p>
    <w:p>
      <w:pPr>
        <w:pStyle w:val="Compact"/>
        <w:numPr>
          <w:numId w:val="1018"/>
          <w:ilvl w:val="1"/>
        </w:numPr>
      </w:pPr>
      <w:hyperlink r:id="rId116">
        <w:r>
          <w:rPr>
            <w:rStyle w:val="Hyperlink"/>
          </w:rPr>
          <w:t xml:space="preserve">OpenStudy</w:t>
        </w:r>
      </w:hyperlink>
    </w:p>
    <w:p>
      <w:pPr>
        <w:pStyle w:val="Compact"/>
        <w:numPr>
          <w:numId w:val="1018"/>
          <w:ilvl w:val="1"/>
        </w:numPr>
      </w:pPr>
      <w:hyperlink r:id="rId117">
        <w:r>
          <w:rPr>
            <w:rStyle w:val="Hyperlink"/>
          </w:rPr>
          <w:t xml:space="preserve">Saylor</w:t>
        </w:r>
      </w:hyperlink>
    </w:p>
    <w:p>
      <w:pPr>
        <w:pStyle w:val="Compact"/>
        <w:numPr>
          <w:numId w:val="1018"/>
          <w:ilvl w:val="1"/>
        </w:numPr>
      </w:pPr>
      <w:hyperlink r:id="rId118">
        <w:r>
          <w:rPr>
            <w:rStyle w:val="Hyperlink"/>
          </w:rPr>
          <w:t xml:space="preserve">Instructables</w:t>
        </w:r>
      </w:hyperlink>
    </w:p>
    <w:p>
      <w:pPr>
        <w:pStyle w:val="Compact"/>
        <w:numPr>
          <w:numId w:val="1018"/>
          <w:ilvl w:val="1"/>
        </w:numPr>
      </w:pPr>
      <w:hyperlink r:id="rId119">
        <w:r>
          <w:rPr>
            <w:rStyle w:val="Hyperlink"/>
          </w:rPr>
          <w:t xml:space="preserve">Khan Academy</w:t>
        </w:r>
      </w:hyperlink>
    </w:p>
    <w:p>
      <w:pPr>
        <w:pStyle w:val="Compact"/>
        <w:numPr>
          <w:numId w:val="1018"/>
          <w:ilvl w:val="1"/>
        </w:numPr>
      </w:pPr>
      <w:hyperlink r:id="rId120">
        <w:r>
          <w:rPr>
            <w:rStyle w:val="Hyperlink"/>
          </w:rPr>
          <w:t xml:space="preserve">Khan Academy Smarthistory</w:t>
        </w:r>
      </w:hyperlink>
    </w:p>
    <w:p>
      <w:pPr>
        <w:pStyle w:val="Compact"/>
        <w:numPr>
          <w:numId w:val="1018"/>
          <w:ilvl w:val="1"/>
        </w:numPr>
      </w:pPr>
      <w:hyperlink r:id="rId121">
        <w:r>
          <w:rPr>
            <w:rStyle w:val="Hyperlink"/>
          </w:rPr>
          <w:t xml:space="preserve">OpenCourseLibrary</w:t>
        </w:r>
      </w:hyperlink>
    </w:p>
    <w:p>
      <w:pPr>
        <w:pStyle w:val="Compact"/>
        <w:numPr>
          <w:numId w:val="1018"/>
          <w:ilvl w:val="1"/>
        </w:numPr>
      </w:pPr>
      <w:hyperlink r:id="rId122">
        <w:r>
          <w:rPr>
            <w:rStyle w:val="Hyperlink"/>
          </w:rPr>
          <w:t xml:space="preserve">OpenYale Courses</w:t>
        </w:r>
      </w:hyperlink>
    </w:p>
    <w:p>
      <w:pPr>
        <w:pStyle w:val="Compact"/>
        <w:numPr>
          <w:numId w:val="1018"/>
          <w:ilvl w:val="1"/>
        </w:numPr>
      </w:pPr>
      <w:hyperlink r:id="rId123">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4">
        <w:r>
          <w:rPr>
            <w:rStyle w:val="Hyperlink"/>
          </w:rPr>
          <w:t xml:space="preserve">Curriki</w:t>
        </w:r>
      </w:hyperlink>
    </w:p>
    <w:p>
      <w:pPr>
        <w:pStyle w:val="Compact"/>
        <w:numPr>
          <w:numId w:val="1019"/>
          <w:ilvl w:val="1"/>
        </w:numPr>
      </w:pPr>
      <w:hyperlink r:id="rId125">
        <w:r>
          <w:rPr>
            <w:rStyle w:val="Hyperlink"/>
          </w:rPr>
          <w:t xml:space="preserve">CK-12</w:t>
        </w:r>
      </w:hyperlink>
    </w:p>
    <w:p>
      <w:pPr>
        <w:pStyle w:val="Compact"/>
        <w:numPr>
          <w:numId w:val="1019"/>
          <w:ilvl w:val="1"/>
        </w:numPr>
      </w:pPr>
      <w:hyperlink r:id="rId126">
        <w:r>
          <w:rPr>
            <w:rStyle w:val="Hyperlink"/>
          </w:rPr>
          <w:t xml:space="preserve">OpenStax</w:t>
        </w:r>
      </w:hyperlink>
    </w:p>
    <w:p>
      <w:pPr>
        <w:pStyle w:val="Compact"/>
        <w:numPr>
          <w:numId w:val="1019"/>
          <w:ilvl w:val="1"/>
        </w:numPr>
      </w:pPr>
      <w:hyperlink r:id="rId127">
        <w:r>
          <w:rPr>
            <w:rStyle w:val="Hyperlink"/>
          </w:rPr>
          <w:t xml:space="preserve">Phet</w:t>
        </w:r>
      </w:hyperlink>
    </w:p>
    <w:p>
      <w:pPr>
        <w:pStyle w:val="Compact"/>
        <w:numPr>
          <w:numId w:val="1019"/>
          <w:ilvl w:val="1"/>
        </w:numPr>
      </w:pPr>
      <w:hyperlink r:id="rId128">
        <w:r>
          <w:rPr>
            <w:rStyle w:val="Hyperlink"/>
          </w:rPr>
          <w:t xml:space="preserve">Siyavula</w:t>
        </w:r>
      </w:hyperlink>
    </w:p>
    <w:p>
      <w:pPr>
        <w:pStyle w:val="Compact"/>
        <w:numPr>
          <w:numId w:val="1019"/>
          <w:ilvl w:val="1"/>
        </w:numPr>
      </w:pPr>
      <w:hyperlink r:id="rId129">
        <w:r>
          <w:rPr>
            <w:rStyle w:val="Hyperlink"/>
          </w:rPr>
          <w:t xml:space="preserve">Connexions</w:t>
        </w:r>
      </w:hyperlink>
    </w:p>
    <w:p>
      <w:pPr>
        <w:pStyle w:val="Compact"/>
        <w:numPr>
          <w:numId w:val="1019"/>
          <w:ilvl w:val="1"/>
        </w:numPr>
      </w:pPr>
      <w:hyperlink r:id="rId130">
        <w:r>
          <w:rPr>
            <w:rStyle w:val="Hyperlink"/>
          </w:rPr>
          <w:t xml:space="preserve">Claco</w:t>
        </w:r>
      </w:hyperlink>
    </w:p>
    <w:p>
      <w:pPr>
        <w:pStyle w:val="Compact"/>
        <w:numPr>
          <w:numId w:val="1019"/>
          <w:ilvl w:val="1"/>
        </w:numPr>
      </w:pPr>
      <w:hyperlink r:id="rId131">
        <w:r>
          <w:rPr>
            <w:rStyle w:val="Hyperlink"/>
          </w:rPr>
          <w:t xml:space="preserve">Lesson Cast</w:t>
        </w:r>
      </w:hyperlink>
    </w:p>
    <w:p>
      <w:pPr>
        <w:pStyle w:val="Compact"/>
        <w:numPr>
          <w:numId w:val="1019"/>
          <w:ilvl w:val="1"/>
        </w:numPr>
      </w:pPr>
      <w:hyperlink r:id="rId132">
        <w:r>
          <w:rPr>
            <w:rStyle w:val="Hyperlink"/>
          </w:rPr>
          <w:t xml:space="preserve">TeacherTube</w:t>
        </w:r>
      </w:hyperlink>
    </w:p>
    <w:p>
      <w:pPr>
        <w:pStyle w:val="Compact"/>
        <w:numPr>
          <w:numId w:val="1019"/>
          <w:ilvl w:val="1"/>
        </w:numPr>
      </w:pPr>
      <w:hyperlink r:id="rId133">
        <w:r>
          <w:rPr>
            <w:rStyle w:val="Hyperlink"/>
          </w:rPr>
          <w:t xml:space="preserve">OpenAssembly</w:t>
        </w:r>
      </w:hyperlink>
    </w:p>
    <w:p>
      <w:pPr>
        <w:pStyle w:val="Compact"/>
        <w:numPr>
          <w:numId w:val="1019"/>
          <w:ilvl w:val="1"/>
        </w:numPr>
      </w:pPr>
      <w:hyperlink r:id="rId134">
        <w:r>
          <w:rPr>
            <w:rStyle w:val="Hyperlink"/>
          </w:rPr>
          <w:t xml:space="preserve">Flat World Knowledge</w:t>
        </w:r>
      </w:hyperlink>
    </w:p>
    <w:p>
      <w:pPr>
        <w:pStyle w:val="Compact"/>
        <w:numPr>
          <w:numId w:val="1019"/>
          <w:ilvl w:val="1"/>
        </w:numPr>
      </w:pPr>
      <w:hyperlink r:id="rId135">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6">
        <w:r>
          <w:rPr>
            <w:rStyle w:val="Hyperlink"/>
          </w:rPr>
          <w:t xml:space="preserve">Wikipedia</w:t>
        </w:r>
      </w:hyperlink>
      <w:r>
        <w:t xml:space="preserve"> </w:t>
      </w:r>
      <w:hyperlink r:id="rId137">
        <w:r>
          <w:rPr>
            <w:rStyle w:val="Hyperlink"/>
          </w:rPr>
          <w:t xml:space="preserve">Ed. Program</w:t>
        </w:r>
      </w:hyperlink>
    </w:p>
    <w:p>
      <w:pPr>
        <w:pStyle w:val="Compact"/>
        <w:numPr>
          <w:numId w:val="1020"/>
          <w:ilvl w:val="1"/>
        </w:numPr>
      </w:pPr>
      <w:hyperlink r:id="rId138">
        <w:r>
          <w:rPr>
            <w:rStyle w:val="Hyperlink"/>
          </w:rPr>
          <w:t xml:space="preserve">Flickr</w:t>
        </w:r>
      </w:hyperlink>
    </w:p>
    <w:p>
      <w:pPr>
        <w:pStyle w:val="Compact"/>
        <w:numPr>
          <w:numId w:val="1020"/>
          <w:ilvl w:val="1"/>
        </w:numPr>
      </w:pPr>
      <w:hyperlink r:id="rId139">
        <w:r>
          <w:rPr>
            <w:rStyle w:val="Hyperlink"/>
          </w:rPr>
          <w:t xml:space="preserve">OpenClipArt</w:t>
        </w:r>
      </w:hyperlink>
    </w:p>
    <w:p>
      <w:pPr>
        <w:pStyle w:val="Compact"/>
        <w:numPr>
          <w:numId w:val="1020"/>
          <w:ilvl w:val="1"/>
        </w:numPr>
      </w:pPr>
      <w:hyperlink r:id="rId140">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1">
        <w:r>
          <w:rPr>
            <w:rStyle w:val="Hyperlink"/>
          </w:rPr>
          <w:t xml:space="preserve">Moodle</w:t>
        </w:r>
      </w:hyperlink>
    </w:p>
    <w:p>
      <w:pPr>
        <w:pStyle w:val="Compact"/>
        <w:numPr>
          <w:numId w:val="1021"/>
          <w:ilvl w:val="1"/>
        </w:numPr>
      </w:pPr>
      <w:hyperlink r:id="rId142">
        <w:r>
          <w:rPr>
            <w:rStyle w:val="Hyperlink"/>
          </w:rPr>
          <w:t xml:space="preserve">Canvas</w:t>
        </w:r>
      </w:hyperlink>
    </w:p>
    <w:p>
      <w:pPr>
        <w:pStyle w:val="Compact"/>
        <w:numPr>
          <w:numId w:val="1021"/>
          <w:ilvl w:val="1"/>
        </w:numPr>
      </w:pPr>
      <w:hyperlink r:id="rId143">
        <w:r>
          <w:rPr>
            <w:rStyle w:val="Hyperlink"/>
          </w:rPr>
          <w:t xml:space="preserve">Adapt Learning</w:t>
        </w:r>
      </w:hyperlink>
    </w:p>
    <w:p>
      <w:pPr>
        <w:pStyle w:val="Compact"/>
        <w:numPr>
          <w:numId w:val="1021"/>
          <w:ilvl w:val="1"/>
        </w:numPr>
      </w:pPr>
      <w:hyperlink r:id="rId144">
        <w:r>
          <w:rPr>
            <w:rStyle w:val="Hyperlink"/>
          </w:rPr>
          <w:t xml:space="preserve">Scratch</w:t>
        </w:r>
      </w:hyperlink>
    </w:p>
    <w:p>
      <w:pPr>
        <w:pStyle w:val="Compact"/>
        <w:numPr>
          <w:numId w:val="1021"/>
          <w:ilvl w:val="1"/>
        </w:numPr>
      </w:pPr>
      <w:hyperlink r:id="rId145">
        <w:r>
          <w:rPr>
            <w:rStyle w:val="Hyperlink"/>
          </w:rPr>
          <w:t xml:space="preserve">Snap</w:t>
        </w:r>
      </w:hyperlink>
      <w:r>
        <w:t xml:space="preserve"> </w:t>
      </w:r>
      <w:hyperlink r:id="rId146">
        <w:r>
          <w:rPr>
            <w:rStyle w:val="Hyperlink"/>
          </w:rPr>
          <w:t xml:space="preserve">Source Code</w:t>
        </w:r>
      </w:hyperlink>
    </w:p>
    <w:p>
      <w:pPr>
        <w:pStyle w:val="Compact"/>
        <w:numPr>
          <w:numId w:val="1021"/>
          <w:ilvl w:val="1"/>
        </w:numPr>
      </w:pPr>
      <w:hyperlink r:id="rId147">
        <w:r>
          <w:rPr>
            <w:rStyle w:val="Hyperlink"/>
          </w:rPr>
          <w:t xml:space="preserve">BuddyPress</w:t>
        </w:r>
      </w:hyperlink>
    </w:p>
    <w:p>
      <w:pPr>
        <w:pStyle w:val="Compact"/>
        <w:numPr>
          <w:numId w:val="1021"/>
          <w:ilvl w:val="1"/>
        </w:numPr>
      </w:pPr>
      <w:hyperlink r:id="rId148">
        <w:r>
          <w:rPr>
            <w:rStyle w:val="Hyperlink"/>
          </w:rPr>
          <w:t xml:space="preserve">EduBuntu</w:t>
        </w:r>
      </w:hyperlink>
    </w:p>
    <w:p>
      <w:pPr>
        <w:pStyle w:val="Compact"/>
        <w:numPr>
          <w:numId w:val="1021"/>
          <w:ilvl w:val="1"/>
        </w:numPr>
      </w:pPr>
      <w:hyperlink r:id="rId149">
        <w:r>
          <w:rPr>
            <w:rStyle w:val="Hyperlink"/>
          </w:rPr>
          <w:t xml:space="preserve">Mahara</w:t>
        </w:r>
      </w:hyperlink>
    </w:p>
    <w:p>
      <w:pPr>
        <w:pStyle w:val="Compact"/>
        <w:numPr>
          <w:numId w:val="1021"/>
          <w:ilvl w:val="1"/>
        </w:numPr>
      </w:pPr>
      <w:hyperlink r:id="rId150">
        <w:r>
          <w:rPr>
            <w:rStyle w:val="Hyperlink"/>
          </w:rPr>
          <w:t xml:space="preserve">Rasberry Pi (hardware)</w:t>
        </w:r>
      </w:hyperlink>
    </w:p>
    <w:p>
      <w:pPr>
        <w:pStyle w:val="Heading2"/>
      </w:pPr>
      <w:bookmarkStart w:id="151" w:name="other-related-links"/>
      <w:bookmarkEnd w:id="151"/>
      <w:r>
        <w:t xml:space="preserve">Other related links</w:t>
      </w:r>
    </w:p>
    <w:p>
      <w:pPr>
        <w:pStyle w:val="Compact"/>
        <w:numPr>
          <w:numId w:val="1022"/>
          <w:ilvl w:val="0"/>
        </w:numPr>
      </w:pPr>
      <w:hyperlink r:id="rId152">
        <w:r>
          <w:rPr>
            <w:rStyle w:val="Hyperlink"/>
          </w:rPr>
          <w:t xml:space="preserve">On the Commons</w:t>
        </w:r>
      </w:hyperlink>
    </w:p>
    <w:p>
      <w:pPr>
        <w:pStyle w:val="Compact"/>
        <w:numPr>
          <w:numId w:val="1022"/>
          <w:ilvl w:val="0"/>
        </w:numPr>
      </w:pPr>
      <w:hyperlink r:id="rId153">
        <w:r>
          <w:rPr>
            <w:rStyle w:val="Hyperlink"/>
          </w:rPr>
          <w:t xml:space="preserve">OER Commons</w:t>
        </w:r>
      </w:hyperlink>
    </w:p>
    <w:p>
      <w:pPr>
        <w:pStyle w:val="Compact"/>
        <w:numPr>
          <w:numId w:val="1022"/>
          <w:ilvl w:val="0"/>
        </w:numPr>
      </w:pPr>
      <w:hyperlink r:id="rId154">
        <w:r>
          <w:rPr>
            <w:rStyle w:val="Hyperlink"/>
          </w:rPr>
          <w:t xml:space="preserve">Open Courseware Consortium</w:t>
        </w:r>
      </w:hyperlink>
    </w:p>
    <w:p>
      <w:pPr>
        <w:pStyle w:val="Compact"/>
        <w:numPr>
          <w:numId w:val="1022"/>
          <w:ilvl w:val="0"/>
        </w:numPr>
      </w:pPr>
      <w:hyperlink r:id="rId155">
        <w:r>
          <w:rPr>
            <w:rStyle w:val="Hyperlink"/>
          </w:rPr>
          <w:t xml:space="preserve">OER Consortium</w:t>
        </w:r>
      </w:hyperlink>
    </w:p>
    <w:p>
      <w:pPr>
        <w:pStyle w:val="Compact"/>
        <w:numPr>
          <w:numId w:val="1022"/>
          <w:ilvl w:val="0"/>
        </w:numPr>
      </w:pPr>
      <w:hyperlink r:id="rId156">
        <w:r>
          <w:rPr>
            <w:rStyle w:val="Hyperlink"/>
          </w:rPr>
          <w:t xml:space="preserve">Creative Commons Education</w:t>
        </w:r>
      </w:hyperlink>
    </w:p>
    <w:p>
      <w:pPr>
        <w:pStyle w:val="Compact"/>
        <w:numPr>
          <w:numId w:val="1022"/>
          <w:ilvl w:val="0"/>
        </w:numPr>
      </w:pPr>
      <w:hyperlink r:id="rId157">
        <w:r>
          <w:rPr>
            <w:rStyle w:val="Hyperlink"/>
          </w:rPr>
          <w:t xml:space="preserve">FOSsil Bank</w:t>
        </w:r>
      </w:hyperlink>
    </w:p>
    <w:p>
      <w:pPr>
        <w:pStyle w:val="Compact"/>
        <w:numPr>
          <w:numId w:val="1022"/>
          <w:ilvl w:val="0"/>
        </w:numPr>
      </w:pPr>
      <w:hyperlink r:id="rId158">
        <w:r>
          <w:rPr>
            <w:rStyle w:val="Hyperlink"/>
          </w:rPr>
          <w:t xml:space="preserve">P2P Foundation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60ea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9ff72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2007">
    <w:nsid w:val="d7ecefd9"/>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abstractNum w:abstractNumId="99411">
    <w:nsid w:val="16516e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coreProperties>
</file>