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Adobe Kuler</w:t>
        </w:r>
      </w:hyperlink>
    </w:p>
    <w:p>
      <w:pPr>
        <w:pStyle w:val="Compact"/>
        <w:numPr>
          <w:numId w:val="1020"/>
          <w:ilvl w:val="0"/>
        </w:numPr>
      </w:pPr>
      <w:hyperlink r:id="rId81">
        <w:r>
          <w:rPr>
            <w:rStyle w:val="Hyperlink"/>
          </w:rPr>
          <w:t xml:space="preserve">Nielsen/Norman Group</w:t>
        </w:r>
      </w:hyperlink>
    </w:p>
    <w:p>
      <w:pPr>
        <w:pStyle w:val="Compact"/>
        <w:numPr>
          <w:numId w:val="1020"/>
          <w:ilvl w:val="0"/>
        </w:numPr>
      </w:pPr>
      <w:hyperlink r:id="rId82">
        <w:r>
          <w:rPr>
            <w:rStyle w:val="Hyperlink"/>
          </w:rPr>
          <w:t xml:space="preserve">United States Section 508</w:t>
        </w:r>
      </w:hyperlink>
    </w:p>
    <w:p>
      <w:pPr>
        <w:pStyle w:val="Compact"/>
        <w:numPr>
          <w:numId w:val="1020"/>
          <w:ilvl w:val="0"/>
        </w:numPr>
      </w:pPr>
      <w:hyperlink r:id="rId83">
        <w:r>
          <w:rPr>
            <w:rStyle w:val="Hyperlink"/>
          </w:rPr>
          <w:t xml:space="preserve">https://www.section508.gov/</w:t>
        </w:r>
      </w:hyperlink>
    </w:p>
    <w:p>
      <w:pPr>
        <w:pStyle w:val="Compact"/>
        <w:numPr>
          <w:numId w:val="1020"/>
          <w:ilvl w:val="0"/>
        </w:numPr>
      </w:pPr>
      <w:hyperlink r:id="rId84">
        <w:r>
          <w:rPr>
            <w:rStyle w:val="Hyperlink"/>
          </w:rPr>
          <w:t xml:space="preserve">http://webaim.org/standards/508/checklist</w:t>
        </w:r>
      </w:hyperlink>
    </w:p>
    <w:p>
      <w:pPr>
        <w:pStyle w:val="Compact"/>
        <w:numPr>
          <w:numId w:val="1020"/>
          <w:ilvl w:val="0"/>
        </w:numPr>
      </w:pPr>
      <w:hyperlink r:id="rId85">
        <w:r>
          <w:rPr>
            <w:rStyle w:val="Hyperlink"/>
          </w:rPr>
          <w:t xml:space="preserve">Usability.gov</w:t>
        </w:r>
      </w:hyperlink>
    </w:p>
    <w:p>
      <w:pPr>
        <w:pStyle w:val="Compact"/>
        <w:numPr>
          <w:numId w:val="1020"/>
          <w:ilvl w:val="0"/>
        </w:numPr>
      </w:pPr>
      <w:hyperlink r:id="rId86">
        <w:r>
          <w:rPr>
            <w:rStyle w:val="Hyperlink"/>
          </w:rPr>
          <w:t xml:space="preserve">Research-Based Web Design &amp; Usability Guidelines</w:t>
        </w:r>
      </w:hyperlink>
    </w:p>
    <w:p>
      <w:pPr>
        <w:pStyle w:val="Compact"/>
        <w:numPr>
          <w:numId w:val="1020"/>
          <w:ilvl w:val="0"/>
        </w:numPr>
      </w:pPr>
      <w:hyperlink r:id="rId87">
        <w:r>
          <w:rPr>
            <w:rStyle w:val="Hyperlink"/>
          </w:rPr>
          <w:t xml:space="preserve">hex/html color chart</w:t>
        </w:r>
      </w:hyperlink>
    </w:p>
    <w:p>
      <w:pPr>
        <w:pStyle w:val="Heading3"/>
      </w:pPr>
      <w:bookmarkStart w:id="88" w:name="online-tools"/>
      <w:bookmarkEnd w:id="88"/>
      <w:r>
        <w:t xml:space="preserve">Online Tools</w:t>
      </w:r>
    </w:p>
    <w:p>
      <w:pPr>
        <w:pStyle w:val="Compact"/>
        <w:numPr>
          <w:numId w:val="1021"/>
          <w:ilvl w:val="0"/>
        </w:numPr>
      </w:pPr>
      <w:hyperlink r:id="rId89">
        <w:r>
          <w:rPr>
            <w:rStyle w:val="Hyperlink"/>
          </w:rPr>
          <w:t xml:space="preserve">w3c HTML Validation Service</w:t>
        </w:r>
      </w:hyperlink>
    </w:p>
    <w:p>
      <w:pPr>
        <w:pStyle w:val="Compact"/>
        <w:numPr>
          <w:numId w:val="1021"/>
          <w:ilvl w:val="0"/>
        </w:numPr>
      </w:pPr>
      <w:hyperlink r:id="rId90">
        <w:r>
          <w:rPr>
            <w:rStyle w:val="Hyperlink"/>
          </w:rPr>
          <w:t xml:space="preserve">w3c CSS Validation Service</w:t>
        </w:r>
      </w:hyperlink>
    </w:p>
    <w:p>
      <w:pPr>
        <w:pStyle w:val="Compact"/>
        <w:numPr>
          <w:numId w:val="1021"/>
          <w:ilvl w:val="0"/>
        </w:numPr>
      </w:pPr>
      <w:hyperlink r:id="rId91">
        <w:r>
          <w:rPr>
            <w:rStyle w:val="Hyperlink"/>
          </w:rPr>
          <w:t xml:space="preserve">Pastebin</w:t>
        </w:r>
      </w:hyperlink>
    </w:p>
    <w:p>
      <w:pPr>
        <w:pStyle w:val="Compact"/>
        <w:numPr>
          <w:numId w:val="1021"/>
          <w:ilvl w:val="0"/>
        </w:numPr>
      </w:pPr>
      <w:hyperlink r:id="rId92">
        <w:r>
          <w:rPr>
            <w:rStyle w:val="Hyperlink"/>
          </w:rPr>
          <w:t xml:space="preserve">HTML Formatter</w:t>
        </w:r>
      </w:hyperlink>
    </w:p>
    <w:p>
      <w:pPr>
        <w:pStyle w:val="Heading3"/>
      </w:pPr>
      <w:bookmarkStart w:id="93" w:name="media-resources"/>
      <w:bookmarkEnd w:id="93"/>
      <w:r>
        <w:t xml:space="preserve">Media Resources</w:t>
      </w:r>
    </w:p>
    <w:p>
      <w:pPr>
        <w:pStyle w:val="Compact"/>
        <w:numPr>
          <w:numId w:val="1022"/>
          <w:ilvl w:val="0"/>
        </w:numPr>
      </w:pPr>
      <w:hyperlink r:id="rId94">
        <w:r>
          <w:rPr>
            <w:rStyle w:val="Hyperlink"/>
          </w:rPr>
          <w:t xml:space="preserve">Creative Commons Search</w:t>
        </w:r>
      </w:hyperlink>
      <w:r>
        <w:t xml:space="preserve">, for images, music, etc</w:t>
      </w:r>
    </w:p>
    <w:p>
      <w:pPr>
        <w:pStyle w:val="Compact"/>
        <w:numPr>
          <w:numId w:val="1022"/>
          <w:ilvl w:val="0"/>
        </w:numPr>
      </w:pPr>
      <w:hyperlink r:id="rId95">
        <w:r>
          <w:rPr>
            <w:rStyle w:val="Hyperlink"/>
          </w:rPr>
          <w:t xml:space="preserve">Wikimedia Commons</w:t>
        </w:r>
      </w:hyperlink>
      <w:r>
        <w:t xml:space="preserve">, images and other media (including stuff from Wikipedia), curated</w:t>
      </w:r>
    </w:p>
    <w:p>
      <w:pPr>
        <w:pStyle w:val="Compact"/>
        <w:numPr>
          <w:numId w:val="1022"/>
          <w:ilvl w:val="0"/>
        </w:numPr>
      </w:pPr>
      <w:hyperlink r:id="rId96">
        <w:r>
          <w:rPr>
            <w:rStyle w:val="Hyperlink"/>
          </w:rPr>
          <w:t xml:space="preserve">Open Clip Art</w:t>
        </w:r>
      </w:hyperlink>
      <w:r>
        <w:t xml:space="preserve">, free vector graphics</w:t>
      </w:r>
    </w:p>
    <w:p>
      <w:pPr>
        <w:pStyle w:val="Compact"/>
        <w:numPr>
          <w:numId w:val="1022"/>
          <w:ilvl w:val="0"/>
        </w:numPr>
      </w:pPr>
      <w:hyperlink r:id="rId97">
        <w:r>
          <w:rPr>
            <w:rStyle w:val="Hyperlink"/>
          </w:rPr>
          <w:t xml:space="preserve">Creative Commons Music</w:t>
        </w:r>
      </w:hyperlink>
    </w:p>
    <w:p>
      <w:pPr>
        <w:pStyle w:val="Compact"/>
        <w:numPr>
          <w:numId w:val="1022"/>
          <w:ilvl w:val="0"/>
        </w:numPr>
      </w:pPr>
      <w:hyperlink r:id="rId98">
        <w:r>
          <w:rPr>
            <w:rStyle w:val="Hyperlink"/>
          </w:rPr>
          <w:t xml:space="preserve">Fossil Bank</w:t>
        </w:r>
      </w:hyperlink>
    </w:p>
    <w:p>
      <w:pPr>
        <w:pStyle w:val="Compact"/>
        <w:numPr>
          <w:numId w:val="1022"/>
          <w:ilvl w:val="0"/>
        </w:numPr>
      </w:pPr>
      <w:hyperlink r:id="rId99">
        <w:r>
          <w:rPr>
            <w:rStyle w:val="Hyperlink"/>
          </w:rPr>
          <w:t xml:space="preserve">Colour Lovers Palettes</w:t>
        </w:r>
      </w:hyperlink>
    </w:p>
    <w:p>
      <w:pPr>
        <w:pStyle w:val="Compact"/>
        <w:numPr>
          <w:numId w:val="1022"/>
          <w:ilvl w:val="0"/>
        </w:numPr>
      </w:pPr>
      <w:hyperlink r:id="rId10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81d1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522d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91c95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