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Widgets shipped: 4200 units across three regions.</w:t>
      </w:r>
    </w:p>
    <w:p>
      <w:pPr>
        <w:pStyle w:val="Heading2"/>
      </w:pPr>
      <w:r>
        <w:t>Outlook</w:t>
      </w:r>
    </w:p>
    <w:p>
      <w:pPr>
        <w:numPr>
          <w:ilvl w:val="0"/>
          <w:numId w:val="1"/>
        </w:numPr>
      </w:pPr>
      <w:r>
        <w:t>Expand the Bristol line</w:t>
      </w:r>
    </w:p>
    <w:p>
      <w:pPr>
        <w:numPr>
          <w:ilvl w:val="0"/>
          <w:numId w:val="1"/>
        </w:numPr>
      </w:pPr>
      <w:r>
        <w:t>Retire the legacy SKU</w:t>
      </w:r>
    </w:p>
    <w:p>
      <w:r>
        <w:rPr>
          <w:b/>
        </w:rPr>
        <w:t>Bold conclusion</w:t>
      </w:r>
      <w:r>
        <w:t xml:space="preserve"> follows here.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