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₱899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(₱399/month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₱399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All tax computations, compliance suggestions, and financial guidance provided by AKBai are informational only and should be verified by the user with a licensed professional before acting on them. AKBai shall not be held liable for any BIR penalties, financial losses, or regulatory consequences arising from the use of its outputs. Users acknowledge and accept full responsibility for all business and financial decisions made based on AKBai’s guidance.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Simple landing page with product description, waitlist email capture, and “coming soon” messaging. Build with Next.js on Cloudflare Pages (free tier Months 1-6, Workers $5/month = ₱286 from Month 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₱399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₱399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pPr>
        <w:spacing w:after="160" w:line="276"/>
      </w:pPr>
      <w:r>
        <w:rPr>
          <w:rFonts w:ascii="Arial" w:cs="Arial" w:eastAsia="Arial" w:hAnsi="Arial"/>
          <w:b/>
          <w:bCs/>
          <w:color w:val="07101e"/>
          <w:sz w:val="21"/>
          <w:szCs w:val="21"/>
        </w:rPr>
        <w:t xml:space="preserve">NPC Registration: </w:t>
      </w:r>
      <w:r>
        <w:rPr>
          <w:rFonts w:ascii="Arial" w:cs="Arial" w:eastAsia="Arial" w:hAnsi="Arial"/>
          <w:color w:val="333333"/>
          <w:sz w:val="21"/>
          <w:szCs w:val="21"/>
        </w:rPr>
        <w:t xml:space="preserve">Registration with the National Privacy Commission is required before launch. This registration certifies to users and regulators that AKBai maintains compliant data handling practices. Budget for NPC registration under Phase 0 CapEx at ₱10,000. File the registration form at least 60 days before public launch to allow for processing.</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₱399.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0: AI Scope Definition &amp; System Prompt Architecture (Build Before Everything)</w:t>
      </w:r>
    </w:p>
    <w:p>
      <w:pPr>
        <w:spacing w:after="120"/>
      </w:pPr>
      <w:r>
        <w:rPr>
          <w:rFonts w:ascii="Arial" w:cs="Arial" w:eastAsia="Arial" w:hAnsi="Arial"/>
          <w:sz w:val="21"/>
          <w:szCs w:val="21"/>
        </w:rPr>
        <w:t xml:space="preserve">Before any AI assistant code is written, AKBai’s scope boundaries and system prompt must be defined. This is the product architecture for the AI pillar — the system prompt IS the product. This document governs what AKBai will and will not do, and gets embedded directly into the Claude API system prompt.</w:t>
      </w:r>
    </w:p>
    <w:p>
      <w:pPr>
        <w:spacing w:after="80"/>
      </w:pPr>
      <w:r>
        <w:rPr>
          <w:rFonts w:ascii="Arial" w:cs="Arial" w:eastAsia="Arial" w:hAnsi="Arial"/>
          <w:b/>
          <w:bCs/>
          <w:sz w:val="21"/>
          <w:szCs w:val="21"/>
        </w:rPr>
        <w:t xml:space="preserve">IN SCOPE — AKBai handles:</w:t>
      </w:r>
      <w:r>
        <w:rPr>
          <w:rFonts w:ascii="Arial" w:cs="Arial" w:eastAsia="Arial" w:hAnsi="Arial"/>
          <w:sz w:val="21"/>
          <w:szCs w:val="21"/>
        </w:rPr>
        <w:t xml:space="preserve"> BIR compliance guidance (8% flat tax, quarterly filing deadlines, form identification), receipt and expense tracking (OCR extraction, categorization, deductible flagging), cash flow summaries and basic profitability calculations, Taglish business communication drafting (letters, emails, DM replies), payment reminders and scheduling, business onboarding and profile setup, data bootstrap from photos and spreadsheets.</w:t>
      </w:r>
    </w:p>
    <w:p>
      <w:pPr>
        <w:spacing w:after="80"/>
      </w:pPr>
      <w:r>
        <w:rPr>
          <w:rFonts w:ascii="Arial" w:cs="Arial" w:eastAsia="Arial" w:hAnsi="Arial"/>
          <w:b/>
          <w:bCs/>
          <w:sz w:val="21"/>
          <w:szCs w:val="21"/>
        </w:rPr>
        <w:t xml:space="preserve">OUT OF SCOPE — AKBai redirects gracefully:</w:t>
      </w:r>
      <w:r>
        <w:rPr>
          <w:rFonts w:ascii="Arial" w:cs="Arial" w:eastAsia="Arial" w:hAnsi="Arial"/>
          <w:sz w:val="21"/>
          <w:szCs w:val="21"/>
        </w:rPr>
        <w:t xml:space="preserve"> Investment or financial planning advice (“Para sa ganitong concern, mas magaling ang isang licensed financial advisor”), legal disputes or contract review, audit services or CPA-level attestation, medical or health-related queries, HR disputes or employment law, personal finance unrelated to MSME operations, any topic requiring a professional license to advise on. The system prompt must include redirect language in Taglish for each out-of-scope category.</w:t>
      </w:r>
    </w:p>
    <w:p>
      <w:pPr>
        <w:spacing w:after="80"/>
      </w:pPr>
      <w:r>
        <w:rPr>
          <w:rFonts w:ascii="Arial" w:cs="Arial" w:eastAsia="Arial" w:hAnsi="Arial"/>
          <w:b/>
          <w:bCs/>
          <w:sz w:val="21"/>
          <w:szCs w:val="21"/>
        </w:rPr>
        <w:t xml:space="preserve">Financial Disclaimer — built into the system prompt:</w:t>
      </w:r>
      <w:r>
        <w:rPr>
          <w:rFonts w:ascii="Arial" w:cs="Arial" w:eastAsia="Arial" w:hAnsi="Arial"/>
          <w:sz w:val="21"/>
          <w:szCs w:val="21"/>
        </w:rPr>
        <w:t xml:space="preserve"> AKBai must automatically append a soft disclaimer when responding to tax-sensitive queries: “Paalala: Ang guidance na ito ay informational lang. I-verify mo sa iyong accountant o CPA bago mag-file.” This is non-negotiable and must be present from Day 1 of the AI assistant.</w:t>
      </w:r>
    </w:p>
    <w:p>
      <w:pPr>
        <w:spacing w:after="80"/>
      </w:pPr>
      <w:r>
        <w:rPr>
          <w:rFonts w:ascii="Arial" w:cs="Arial" w:eastAsia="Arial" w:hAnsi="Arial"/>
          <w:b/>
          <w:bCs/>
          <w:sz w:val="21"/>
          <w:szCs w:val="21"/>
        </w:rPr>
        <w:t xml:space="preserve">Domain-Expandable Architecture:</w:t>
      </w:r>
      <w:r>
        <w:rPr>
          <w:rFonts w:ascii="Arial" w:cs="Arial" w:eastAsia="Arial" w:hAnsi="Arial"/>
          <w:sz w:val="21"/>
          <w:szCs w:val="21"/>
        </w:rPr>
        <w:t xml:space="preserve"> The system prompt and database schema must be designed to support future domain expansion (marketing, strategy, HR) without requiring a rewrite. Use domain tags in the conversation history model and modular scope sections in the system prompt. This enables a post-implementation expansion to new advisory domains as a configuration change rather than a rebuild. See the AKBai Post-Implementation Vision document for Phase 4+ domain expansion plans.</w:t>
      </w:r>
    </w:p>
    <w:p>
      <w:pPr>
        <w:spacing w:after="120"/>
      </w:pPr>
      <w:r>
        <w:rPr>
          <w:rFonts w:ascii="Arial" w:cs="Arial" w:eastAsia="Arial" w:hAnsi="Arial"/>
          <w:b/>
          <w:bCs/>
          <w:sz w:val="21"/>
          <w:szCs w:val="21"/>
          <w:color w:val="C00000"/>
        </w:rPr>
        <w:t xml:space="preserve">⚠️ HARD GATE: The AI Scope Document and System Prompt Architecture must be reviewed and finalized before Build 1 (Onboarding) begins. The system prompt defines the product personality, scope boundaries, disclaimer language, and Taglish tone. Estimated effort: 2–3 days.</w:t>
      </w:r>
    </w:p>
    <w:p>
      <w:pPr>
        <w:spacing w:after="80" w:before="200"/>
      </w:pPr>
      <w:r>
        <w:rPr>
          <w:rFonts w:ascii="Arial" w:cs="Arial" w:eastAsia="Arial" w:hAnsi="Arial"/>
          <w:b/>
          <w:bCs/>
          <w:color w:val="C00000"/>
          <w:sz w:val="22"/>
          <w:szCs w:val="22"/>
        </w:rPr>
        <w:t xml:space="preserve">☑ Pre-Build Checklist (Complete Before Build 1)</w:t>
      </w:r>
    </w:p>
    <w:p>
      <w:pPr>
        <w:spacing w:after="80"/>
      </w:pPr>
      <w:r>
        <w:rPr>
          <w:rFonts w:ascii="Arial" w:cs="Arial" w:eastAsia="Arial" w:hAnsi="Arial"/>
          <w:sz w:val="21"/>
          <w:szCs w:val="21"/>
        </w:rPr>
        <w:t xml:space="preserve">The following items must be completed or initiated before Build 1 begins. These are tracked as hard prerequisites by the project manager.</w:t>
      </w:r>
    </w:p>
    <w:p>
      <w:pPr>
        <w:spacing w:after="60"/>
      </w:pPr>
      <w:r>
        <w:rPr>
          <w:rFonts w:ascii="Arial" w:cs="Arial" w:eastAsia="Arial" w:hAnsi="Arial"/>
          <w:b/>
          <w:bCs/>
          <w:sz w:val="21"/>
          <w:szCs w:val="21"/>
          <w:color w:val="0f3460"/>
        </w:rPr>
        <w:t xml:space="preserve">☐ Meta API Dummy Webhook Submission</w:t>
      </w:r>
    </w:p>
    <w:p>
      <w:pPr>
        <w:spacing w:after="100"/>
        <w:ind w:left="360"/>
      </w:pPr>
      <w:r>
        <w:rPr>
          <w:rFonts w:ascii="Arial" w:cs="Arial" w:eastAsia="Arial" w:hAnsi="Arial"/>
          <w:sz w:val="20"/>
          <w:szCs w:val="20"/>
          <w:color w:val="333333"/>
        </w:rPr>
        <w:t xml:space="preserve">Meta App Review takes 1–3+ months. Build a simple Next.js endpoint returning 200 OK and submit as the webhook this weekend. This decouples Phase 2 DM Connect features from the bureaucratic wait. Set a calendar reminder to ping the endpoint every 30 days to keep the approval active. Effort: 1 hour.</w:t>
      </w:r>
    </w:p>
    <w:p>
      <w:pPr>
        <w:spacing w:after="60"/>
      </w:pPr>
      <w:r>
        <w:rPr>
          <w:rFonts w:ascii="Arial" w:cs="Arial" w:eastAsia="Arial" w:hAnsi="Arial"/>
          <w:b/>
          <w:bCs/>
          <w:sz w:val="21"/>
          <w:szCs w:val="21"/>
          <w:color w:val="0f3460"/>
        </w:rPr>
        <w:t xml:space="preserve">☐ Resibo OCR Technical Spike — HARD GATE</w:t>
      </w:r>
    </w:p>
    <w:p>
      <w:pPr>
        <w:spacing w:after="100"/>
        <w:ind w:left="360"/>
      </w:pPr>
      <w:r>
        <w:rPr>
          <w:rFonts w:ascii="Arial" w:cs="Arial" w:eastAsia="Arial" w:hAnsi="Arial"/>
          <w:sz w:val="20"/>
          <w:szCs w:val="20"/>
          <w:color w:val="333333"/>
        </w:rPr>
        <w:t xml:space="preserve">Collect 10–15 real Filipino receipts (Shopee waybills, SM Supermarket, local hardware, faded thermal prints). Run them manually through the Anthropic Console using Claude Haiku Vision. Target: 85%+ field accuracy. If Haiku fails, evaluate Sonnet (higher API cost) or adjust marketing promises before committing to the Resibo Scanner as a core MVP feature. This must pass before Build 1 proceeds. Effort: 1 afternoon, ~₱20–30 API credits.</w:t>
      </w:r>
    </w:p>
    <w:p>
      <w:pPr>
        <w:spacing w:after="60"/>
      </w:pPr>
      <w:r>
        <w:rPr>
          <w:rFonts w:ascii="Arial" w:cs="Arial" w:eastAsia="Arial" w:hAnsi="Arial"/>
          <w:b/>
          <w:bCs/>
          <w:sz w:val="21"/>
          <w:szCs w:val="21"/>
          <w:color w:val="0f3460"/>
        </w:rPr>
        <w:t xml:space="preserve">☐ Beta Cap: 10 Users for Phase 0C Validation</w:t>
      </w:r>
    </w:p>
    <w:p>
      <w:pPr>
        <w:spacing w:after="100"/>
        <w:ind w:left="360"/>
      </w:pPr>
      <w:r>
        <w:rPr>
          <w:rFonts w:ascii="Arial" w:cs="Arial" w:eastAsia="Arial" w:hAnsi="Arial"/>
          <w:sz w:val="20"/>
          <w:szCs w:val="20"/>
          <w:color w:val="333333"/>
        </w:rPr>
        <w:t xml:space="preserve">Cap the initial closed beta at exactly 10 highly engaged users (personal network: sari-sari owners, food sellers). The goal of Phase 0C is product truth, not volume. Ten deeply engaged users providing qualitative feedback is more valuable than 50 passive signups. The 50–80 pilot target moves to late Phase 0C / early Phase 1, after the core loop is validated with the initial 10. This protects the 2-hour daily bandwidth constraint.</w:t>
      </w:r>
    </w:p>
    <w:p>
      <w:pPr>
        <w:spacing w:after="60"/>
      </w:pPr>
      <w:r>
        <w:rPr>
          <w:rFonts w:ascii="Arial" w:cs="Arial" w:eastAsia="Arial" w:hAnsi="Arial"/>
          <w:b/>
          <w:bCs/>
          <w:sz w:val="21"/>
          <w:szCs w:val="21"/>
          <w:color w:val="0f3460"/>
        </w:rPr>
        <w:t xml:space="preserve">☐ Onboarding Rate-Limit Exemption (Build 1 Architecture Decision)</w:t>
      </w:r>
    </w:p>
    <w:p>
      <w:pPr>
        <w:spacing w:after="100"/>
        <w:ind w:left="360"/>
      </w:pPr>
      <w:r>
        <w:rPr>
          <w:rFonts w:ascii="Arial" w:cs="Arial" w:eastAsia="Arial" w:hAnsi="Arial"/>
          <w:sz w:val="20"/>
          <w:szCs w:val="20"/>
          <w:color w:val="333333"/>
        </w:rPr>
        <w:t xml:space="preserve">The Free tier 10-query/day limit must NOT apply during the Kilala Kita 5-step onboarding. If users burn through their daily limit before reaching the Dashboard, they never experience the “Maria Moment” — the first time AKBai tells them something true and actionable about their business. Architect the API middleware so the query counter starts only after onboarding is complete and the user reaches the Dashboard.</w:t>
      </w:r>
    </w:p>
    <w:p>
      <w:pPr>
        <w:spacing w:after="60"/>
      </w:pPr>
      <w:r>
        <w:rPr>
          <w:rFonts w:ascii="Arial" w:cs="Arial" w:eastAsia="Arial" w:hAnsi="Arial"/>
          <w:b/>
          <w:bCs/>
          <w:sz w:val="21"/>
          <w:szCs w:val="21"/>
          <w:color w:val="0f3460"/>
        </w:rPr>
        <w:t xml:space="preserve">☐ Xendit GCash/Maya Payment Sandbox Test</w:t>
      </w:r>
    </w:p>
    <w:p>
      <w:pPr>
        <w:spacing w:after="120"/>
        <w:ind w:left="360"/>
      </w:pPr>
      <w:r>
        <w:rPr>
          <w:rFonts w:ascii="Arial" w:cs="Arial" w:eastAsia="Arial" w:hAnsi="Arial"/>
          <w:sz w:val="20"/>
          <w:szCs w:val="20"/>
          <w:color w:val="333333"/>
        </w:rPr>
        <w:t xml:space="preserve">Create a Xendit sandbox account and run 5–10 simulated GCash/Maya transactions to validate the payment flow. Filipino e-wallet payments have common failure modes: expired sessions, insufficient balance with no clear error, double charges. If the failure rate is high, plan a manual payment fallback (bank transfer or over-the-counter) earlier than scheduled. Effort: 1 afternoon.</w:t>
      </w: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Next.js 14 + Tailwind CSS. Month 1–6: Cloudflare Pages free tier (Months 1-6). Month 7+: Cloudflare Pages ($5/month = ₱286). Month 7+: Cloudflare Pages ($5/month = ₱286) — Cloudflare Workers paid tier at $5/month..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Month 1–9: Free tier (500MB DB, 5GB storage, 50K MAU). Month 10+: Pro plan ($25/month = ₱1,430) triggered by approaching 500MB DB or 50K MAU limit.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Cloudflare Pages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Zero receipt scans (receipt scanning is Pro/Business exclusive), 1 BIR deadline reminder per filing (not the full 7/3/1-day sequence), Ang Umaga Mo one-line teaser only (not the full dashboard). IMPORTANT: Daily query cap of 10 queries/day (Haiku-only routing)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50 scans/month (PRO-EXCLUSIVE) — shared pool covering both receipt and notebook photo uploads, unlimited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Unit Economics: LTV and CAC</w:t>
      </w:r>
    </w:p>
    <w:p>
      <w:pPr>
        <w:spacing w:after="160" w:line="276"/>
      </w:pPr>
      <w:r>
        <w:rPr>
          <w:rFonts w:ascii="Arial" w:cs="Arial" w:eastAsia="Arial" w:hAnsi="Arial"/>
          <w:color w:val="333333"/>
          <w:sz w:val="21"/>
          <w:szCs w:val="21"/>
        </w:rPr>
        <w:t xml:space="preserve">Pro LTV (Year 1): ₱9,975 (25-month average lifetime × ₱399/month). Blended CAC (organic + paid mix): ₱110. LTV/CAC Ratio: 91x. Payback period: 0.3 months. This 91x ratio signals a highly defensible business model where one month of revenue covers customer acquisition costs 68 times over.</w:t>
      </w:r>
    </w:p>
    <w:p>
      <w:pPr>
        <w:spacing w:after="120" w:before="200"/>
      </w:pPr>
      <w:r>
        <w:rPr>
          <w:rFonts w:ascii="Arial" w:cs="Arial" w:eastAsia="Arial" w:hAnsi="Arial"/>
          <w:b/>
          <w:bCs/>
          <w:color w:val="D97706"/>
          <w:sz w:val="22"/>
          <w:szCs w:val="22"/>
        </w:rPr>
        <w:t xml:space="preserve">3-Year Pricing Roadmap</w:t>
      </w:r>
    </w:p>
    <w:p>
      <w:pPr>
        <w:spacing w:after="160" w:line="276"/>
      </w:pPr>
      <w:r>
        <w:rPr>
          <w:rFonts w:ascii="Arial" w:cs="Arial" w:eastAsia="Arial" w:hAnsi="Arial"/>
          <w:color w:val="333333"/>
          <w:sz w:val="21"/>
          <w:szCs w:val="21"/>
        </w:rPr>
        <w:t xml:space="preserve">Pricing increases are tied to feature expansion milestones, not arbitrary growth targets. Price increases signal real value expansion and are always preceded by substantial new capabilities.</w:t>
      </w:r>
    </w:p>
    <w:p>
      <w:pPr>
        <w:pStyle w:val="ListParagraph"/>
        <w:numPr>
          <w:ilvl w:val="0"/>
          <w:numId w:val="2"/>
        </w:numPr>
        <w:spacing w:after="100" w:line="276"/>
      </w:pPr>
      <w:r>
        <w:rPr>
          <w:rFonts w:ascii="Arial" w:cs="Arial" w:eastAsia="Arial" w:hAnsi="Arial"/>
          <w:b/>
          <w:bCs/>
          <w:color w:val="07101e"/>
          <w:sz w:val="21"/>
          <w:szCs w:val="21"/>
        </w:rPr>
        <w:t xml:space="preserve">Year 1: </w:t>
      </w:r>
      <w:r>
        <w:rPr>
          <w:rFonts w:ascii="Arial" w:cs="Arial" w:eastAsia="Arial" w:hAnsi="Arial"/>
          <w:color w:val="333333"/>
          <w:sz w:val="21"/>
          <w:szCs w:val="21"/>
        </w:rPr>
        <w:t xml:space="preserve">Pro = ₱399/mo, Business = ₱899/mo. Foundation pricing tied to MVP feature set.</w:t>
      </w:r>
    </w:p>
    <w:p>
      <w:pPr>
        <w:pStyle w:val="ListParagraph"/>
        <w:numPr>
          <w:ilvl w:val="0"/>
          <w:numId w:val="2"/>
        </w:numPr>
        <w:spacing w:after="100" w:line="276"/>
      </w:pPr>
      <w:r>
        <w:rPr>
          <w:rFonts w:ascii="Arial" w:cs="Arial" w:eastAsia="Arial" w:hAnsi="Arial"/>
          <w:b/>
          <w:bCs/>
          <w:color w:val="07101e"/>
          <w:sz w:val="21"/>
          <w:szCs w:val="21"/>
        </w:rPr>
        <w:t xml:space="preserve">Year 2: </w:t>
      </w:r>
      <w:r>
        <w:rPr>
          <w:rFonts w:ascii="Arial" w:cs="Arial" w:eastAsia="Arial" w:hAnsi="Arial"/>
          <w:color w:val="333333"/>
          <w:sz w:val="21"/>
          <w:szCs w:val="21"/>
        </w:rPr>
        <w:t xml:space="preserve">Pro = ₱449/mo (+₱50), Business = ₱899/mo (+₱100). Justified by: advanced receipt scanning with better OCR accuracy, expanded BIR compliance features, and improved expense categorization AI.</w:t>
      </w:r>
    </w:p>
    <w:p>
      <w:pPr>
        <w:pStyle w:val="ListParagraph"/>
        <w:numPr>
          <w:ilvl w:val="0"/>
          <w:numId w:val="2"/>
        </w:numPr>
        <w:spacing w:after="100" w:line="276"/>
      </w:pPr>
      <w:r>
        <w:rPr>
          <w:rFonts w:ascii="Arial" w:cs="Arial" w:eastAsia="Arial" w:hAnsi="Arial"/>
          <w:b/>
          <w:bCs/>
          <w:color w:val="07101e"/>
          <w:sz w:val="21"/>
          <w:szCs w:val="21"/>
        </w:rPr>
        <w:t xml:space="preserve">Year 3: </w:t>
      </w:r>
      <w:r>
        <w:rPr>
          <w:rFonts w:ascii="Arial" w:cs="Arial" w:eastAsia="Arial" w:hAnsi="Arial"/>
          <w:color w:val="333333"/>
          <w:sz w:val="21"/>
          <w:szCs w:val="21"/>
        </w:rPr>
        <w:t xml:space="preserve">Pro = ₱399/mo (+₱50), Business = ₱999/mo (+₱100). Justified by: advanced analytics dashboard, predictive profitability modeling, seasonal trend analysis, and inventory forecasting for multi-location businesses.</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financial tool must include a persistent in-app disclaimer visible in the chat UI (e.g., “AKBai provides informational guidance only — hindi ito professional financial or tax advice. I-verify sa iyong accountant bago mag-file.”). The system prompt must also instruct AKBai to append a soft disclaimer when responding to tax-sensitive questions.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Receipt scanning adoption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scanning receipts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Pro users within first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Free-to-Pro conversion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free users converting to paid (Pro or Business)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8–12% conversion within 60 days</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pPr>
        <w:pStyle w:val="Heading1"/>
        <w:spacing w:after="200" w:before="360"/>
      </w:pPr>
      <w:r>
        <w:rPr>
          <w:rFonts w:ascii="Arial" w:cs="Arial" w:eastAsia="Arial" w:hAnsi="Arial"/>
          <w:b/>
          <w:bCs/>
          <w:color w:val="07101e"/>
          <w:sz w:val="32"/>
          <w:szCs w:val="32"/>
        </w:rPr>
        <w:t xml:space="preserve">Data Ingestion &amp; Financial Tracking Strategy</w:t>
      </w:r>
    </w:p>
    <w:p>
      <w:pPr>
        <w:spacing w:before="50"/>
      </w:pPr>
    </w:p>
    <w:p>
      <w:pPr>
        <w:spacing w:after="160" w:line="276"/>
      </w:pPr>
      <w:r>
        <w:rPr>
          <w:rFonts w:ascii="Arial" w:cs="Arial" w:eastAsia="Arial" w:hAnsi="Arial"/>
          <w:b/>
          <w:bCs/>
          <w:color w:val="07101e"/>
          <w:sz w:val="24"/>
          <w:szCs w:val="24"/>
        </w:rPr>
        <w:t xml:space="preserve">The Problem: Keeping AKBai’s Data Fresh</w:t>
      </w:r>
    </w:p>
    <w:p>
      <w:pPr>
        <w:spacing w:after="160" w:line="276"/>
      </w:pPr>
      <w:r>
        <w:rPr>
          <w:rFonts w:ascii="Arial" w:cs="Arial" w:eastAsia="Arial" w:hAnsi="Arial"/>
          <w:color w:val="333333"/>
          <w:sz w:val="22"/>
          <w:szCs w:val="22"/>
        </w:rPr>
        <w:t xml:space="preserve">AKBai is only as useful as the financial data it has. A daily briefing powered by stale data gives bad advice. The core challenge: Filipino MSMEs have diverse record-keeping habits — some use notebooks, some use Excel, some use GCash transaction history. AKBai must meet users where they are.</w:t>
      </w:r>
    </w:p>
    <w:p>
      <w:pPr>
        <w:spacing w:after="160" w:line="276"/>
      </w:pPr>
      <w:r>
        <w:rPr>
          <w:rFonts w:ascii="Arial" w:cs="Arial" w:eastAsia="Arial" w:hAnsi="Arial"/>
          <w:b/>
          <w:bCs/>
          <w:color w:val="07101e"/>
          <w:sz w:val="24"/>
          <w:szCs w:val="24"/>
        </w:rPr>
        <w:t xml:space="preserve">Four Data Input Modalities (Tier-Gated)</w:t>
      </w:r>
    </w:p>
    <w:p>
      <w:pPr>
        <w:spacing w:after="120" w:line="276"/>
      </w:pPr>
      <w:r>
        <w:rPr>
          <w:rFonts w:ascii="Arial" w:cs="Arial" w:eastAsia="Arial" w:hAnsi="Arial"/>
          <w:b/>
          <w:bCs/>
          <w:color w:val="07101e"/>
          <w:sz w:val="22"/>
          <w:szCs w:val="22"/>
        </w:rPr>
        <w:t xml:space="preserve">Free Tier — Text Entry Only</w:t>
      </w:r>
    </w:p>
    <w:p>
      <w:pPr>
        <w:numPr>
          <w:ilvl w:val="0"/>
          <w:numId w:val="2"/>
        </w:numPr>
        <w:spacing w:after="100" w:line="276"/>
      </w:pPr>
      <w:r>
        <w:rPr>
          <w:rFonts w:ascii="Arial" w:cs="Arial" w:eastAsia="Arial" w:hAnsi="Arial"/>
          <w:color w:val="333333"/>
          <w:sz w:val="22"/>
          <w:szCs w:val="22"/>
        </w:rPr>
        <w:t xml:space="preserve">Natural language text input: “Nabenta ko 3 damit today, ₱450 each”</w:t>
      </w:r>
    </w:p>
    <w:p>
      <w:pPr>
        <w:numPr>
          <w:ilvl w:val="0"/>
          <w:numId w:val="2"/>
        </w:numPr>
        <w:spacing w:after="100" w:line="276"/>
      </w:pPr>
      <w:r>
        <w:rPr>
          <w:rFonts w:ascii="Arial" w:cs="Arial" w:eastAsia="Arial" w:hAnsi="Arial"/>
          <w:color w:val="333333"/>
          <w:sz w:val="22"/>
          <w:szCs w:val="22"/>
        </w:rPr>
        <w:t xml:space="preserve">AKBai parses the Taglish text and logs the transaction</w:t>
      </w:r>
    </w:p>
    <w:p>
      <w:pPr>
        <w:numPr>
          <w:ilvl w:val="0"/>
          <w:numId w:val="2"/>
        </w:numPr>
        <w:spacing w:after="100" w:line="276"/>
      </w:pPr>
      <w:r>
        <w:rPr>
          <w:rFonts w:ascii="Arial" w:cs="Arial" w:eastAsia="Arial" w:hAnsi="Arial"/>
          <w:color w:val="333333"/>
          <w:sz w:val="22"/>
          <w:szCs w:val="22"/>
        </w:rPr>
        <w:t xml:space="preserve">Simple structured prompts guide entry (e.g., “Magkano kita mo ngayon?”)</w:t>
      </w:r>
    </w:p>
    <w:p>
      <w:pPr>
        <w:numPr>
          <w:ilvl w:val="0"/>
          <w:numId w:val="2"/>
        </w:numPr>
        <w:spacing w:after="200" w:line="276"/>
      </w:pPr>
      <w:r>
        <w:rPr>
          <w:rFonts w:ascii="Arial" w:cs="Arial" w:eastAsia="Arial" w:hAnsi="Arial"/>
          <w:color w:val="333333"/>
          <w:sz w:val="22"/>
          <w:szCs w:val="22"/>
        </w:rPr>
        <w:t xml:space="preserve">No photo/file upload on Free tier</w:t>
      </w:r>
    </w:p>
    <w:p>
      <w:pPr>
        <w:spacing w:after="120" w:line="276"/>
      </w:pPr>
      <w:r>
        <w:rPr>
          <w:rFonts w:ascii="Arial" w:cs="Arial" w:eastAsia="Arial" w:hAnsi="Arial"/>
          <w:b/>
          <w:bCs/>
          <w:color w:val="07101e"/>
          <w:sz w:val="22"/>
          <w:szCs w:val="22"/>
        </w:rPr>
        <w:t xml:space="preserve">Pro Tier — Text + Photo + Excel Upload</w:t>
      </w:r>
    </w:p>
    <w:p>
      <w:pPr>
        <w:numPr>
          <w:ilvl w:val="0"/>
          <w:numId w:val="2"/>
        </w:numPr>
        <w:spacing w:after="100" w:line="276"/>
      </w:pPr>
      <w:r>
        <w:rPr>
          <w:rFonts w:ascii="Arial" w:cs="Arial" w:eastAsia="Arial" w:hAnsi="Arial"/>
          <w:color w:val="333333"/>
          <w:sz w:val="22"/>
          <w:szCs w:val="22"/>
        </w:rPr>
        <w:t xml:space="preserve">All Free tier features</w:t>
      </w:r>
    </w:p>
    <w:p>
      <w:pPr>
        <w:numPr>
          <w:ilvl w:val="0"/>
          <w:numId w:val="2"/>
        </w:numPr>
        <w:spacing w:after="100" w:line="276"/>
      </w:pPr>
      <w:r>
        <w:rPr>
          <w:rFonts w:ascii="Arial" w:cs="Arial" w:eastAsia="Arial" w:hAnsi="Arial"/>
          <w:color w:val="333333"/>
          <w:sz w:val="22"/>
          <w:szCs w:val="22"/>
        </w:rPr>
        <w:t xml:space="preserve">Photo of handwritten notebook page → Claude Haiku Vision OCR extracts entries</w:t>
      </w:r>
    </w:p>
    <w:p>
      <w:pPr>
        <w:numPr>
          <w:ilvl w:val="0"/>
          <w:numId w:val="2"/>
        </w:numPr>
        <w:spacing w:after="100" w:line="276"/>
      </w:pPr>
      <w:r>
        <w:rPr>
          <w:rFonts w:ascii="Arial" w:cs="Arial" w:eastAsia="Arial" w:hAnsi="Arial"/>
          <w:color w:val="333333"/>
          <w:sz w:val="22"/>
          <w:szCs w:val="22"/>
        </w:rPr>
        <w:t xml:space="preserve">Receipt photo scanning → Haiku Vision extracts vendor, amount, date, category</w:t>
      </w:r>
    </w:p>
    <w:p>
      <w:pPr>
        <w:numPr>
          <w:ilvl w:val="0"/>
          <w:numId w:val="2"/>
        </w:numPr>
        <w:spacing w:after="100" w:line="276"/>
      </w:pPr>
      <w:r>
        <w:rPr>
          <w:rFonts w:ascii="Arial" w:cs="Arial" w:eastAsia="Arial" w:hAnsi="Arial"/>
          <w:color w:val="333333"/>
          <w:sz w:val="22"/>
          <w:szCs w:val="22"/>
        </w:rPr>
        <w:t xml:space="preserve">50 scans/month shared pool (covers both receipts and notebook photos)</w:t>
      </w:r>
    </w:p>
    <w:p>
      <w:pPr>
        <w:numPr>
          <w:ilvl w:val="0"/>
          <w:numId w:val="2"/>
        </w:numPr>
        <w:spacing w:after="100" w:line="276"/>
      </w:pPr>
      <w:r>
        <w:rPr>
          <w:rFonts w:ascii="Arial" w:cs="Arial" w:eastAsia="Arial" w:hAnsi="Arial"/>
          <w:color w:val="333333"/>
          <w:sz w:val="22"/>
          <w:szCs w:val="22"/>
        </w:rPr>
        <w:t xml:space="preserve">Excel (.xlsx) file upload → AKBai parses sales columns and imports to ledger</w:t>
      </w:r>
    </w:p>
    <w:p>
      <w:pPr>
        <w:numPr>
          <w:ilvl w:val="0"/>
          <w:numId w:val="2"/>
        </w:numPr>
        <w:spacing w:after="200" w:line="276"/>
      </w:pPr>
      <w:r>
        <w:rPr>
          <w:rFonts w:ascii="Arial" w:cs="Arial" w:eastAsia="Arial" w:hAnsi="Arial"/>
          <w:color w:val="333333"/>
          <w:sz w:val="22"/>
          <w:szCs w:val="22"/>
        </w:rPr>
        <w:t xml:space="preserve">AKBai-provided Google Sheets template can be uploaded back as Excel for import</w:t>
      </w:r>
    </w:p>
    <w:p>
      <w:pPr>
        <w:spacing w:after="120" w:line="276"/>
      </w:pPr>
      <w:r>
        <w:rPr>
          <w:rFonts w:ascii="Arial" w:cs="Arial" w:eastAsia="Arial" w:hAnsi="Arial"/>
          <w:b/>
          <w:bCs/>
          <w:color w:val="07101e"/>
          <w:sz w:val="22"/>
          <w:szCs w:val="22"/>
        </w:rPr>
        <w:t xml:space="preserve">Business Tier — All Pro + Google Sheets Live Sync</w:t>
      </w:r>
    </w:p>
    <w:p>
      <w:pPr>
        <w:numPr>
          <w:ilvl w:val="0"/>
          <w:numId w:val="2"/>
        </w:numPr>
        <w:spacing w:after="100" w:line="276"/>
      </w:pPr>
      <w:r>
        <w:rPr>
          <w:rFonts w:ascii="Arial" w:cs="Arial" w:eastAsia="Arial" w:hAnsi="Arial"/>
          <w:color w:val="333333"/>
          <w:sz w:val="22"/>
          <w:szCs w:val="22"/>
        </w:rPr>
        <w:t xml:space="preserve">All Pro tier features</w:t>
      </w:r>
    </w:p>
    <w:p>
      <w:pPr>
        <w:numPr>
          <w:ilvl w:val="0"/>
          <w:numId w:val="2"/>
        </w:numPr>
        <w:spacing w:after="100" w:line="276"/>
      </w:pPr>
      <w:r>
        <w:rPr>
          <w:rFonts w:ascii="Arial" w:cs="Arial" w:eastAsia="Arial" w:hAnsi="Arial"/>
          <w:color w:val="333333"/>
          <w:sz w:val="22"/>
          <w:szCs w:val="22"/>
        </w:rPr>
        <w:t xml:space="preserve">Google Sheets OAuth integration (read-only access, user-authorized)</w:t>
      </w:r>
    </w:p>
    <w:p>
      <w:pPr>
        <w:numPr>
          <w:ilvl w:val="0"/>
          <w:numId w:val="2"/>
        </w:numPr>
        <w:spacing w:after="100" w:line="276"/>
      </w:pPr>
      <w:r>
        <w:rPr>
          <w:rFonts w:ascii="Arial" w:cs="Arial" w:eastAsia="Arial" w:hAnsi="Arial"/>
          <w:color w:val="333333"/>
          <w:sz w:val="22"/>
          <w:szCs w:val="22"/>
        </w:rPr>
        <w:t xml:space="preserve">Real-time sync: AKBai reads from user’s GSheets on demand</w:t>
      </w:r>
    </w:p>
    <w:p>
      <w:pPr>
        <w:numPr>
          <w:ilvl w:val="0"/>
          <w:numId w:val="2"/>
        </w:numPr>
        <w:spacing w:after="100" w:line="276"/>
      </w:pPr>
      <w:r>
        <w:rPr>
          <w:rFonts w:ascii="Arial" w:cs="Arial" w:eastAsia="Arial" w:hAnsi="Arial"/>
          <w:color w:val="333333"/>
          <w:sz w:val="22"/>
          <w:szCs w:val="22"/>
        </w:rPr>
        <w:t xml:space="preserve">AKBai financial template hosted on Google Sheets auto-syncs</w:t>
      </w:r>
    </w:p>
    <w:p>
      <w:pPr>
        <w:numPr>
          <w:ilvl w:val="0"/>
          <w:numId w:val="2"/>
        </w:numPr>
        <w:spacing w:after="100" w:line="276"/>
      </w:pPr>
      <w:r>
        <w:rPr>
          <w:rFonts w:ascii="Arial" w:cs="Arial" w:eastAsia="Arial" w:hAnsi="Arial"/>
          <w:color w:val="333333"/>
          <w:sz w:val="22"/>
          <w:szCs w:val="22"/>
        </w:rPr>
        <w:t xml:space="preserve">80 scans/month pool</w:t>
      </w:r>
    </w:p>
    <w:p>
      <w:pPr>
        <w:numPr>
          <w:ilvl w:val="0"/>
          <w:numId w:val="2"/>
        </w:numPr>
        <w:spacing w:after="200" w:line="276"/>
      </w:pPr>
      <w:r>
        <w:rPr>
          <w:rFonts w:ascii="Arial" w:cs="Arial" w:eastAsia="Arial" w:hAnsi="Arial"/>
          <w:color w:val="333333"/>
          <w:sz w:val="22"/>
          <w:szCs w:val="22"/>
        </w:rPr>
        <w:t xml:space="preserve">Phase 3 feature (M7-12)</w:t>
      </w:r>
    </w:p>
    <w:p>
      <w:pPr>
        <w:spacing w:after="160" w:line="276"/>
      </w:pPr>
      <w:r>
        <w:rPr>
          <w:rFonts w:ascii="Arial" w:cs="Arial" w:eastAsia="Arial" w:hAnsi="Arial"/>
          <w:b/>
          <w:bCs/>
          <w:color w:val="07101e"/>
          <w:sz w:val="24"/>
          <w:szCs w:val="24"/>
        </w:rPr>
        <w:t xml:space="preserve">The AKBai Financial Tracking Template</w:t>
      </w:r>
    </w:p>
    <w:p>
      <w:pPr>
        <w:numPr>
          <w:ilvl w:val="0"/>
          <w:numId w:val="2"/>
        </w:numPr>
        <w:spacing w:after="100" w:line="276"/>
      </w:pPr>
      <w:r>
        <w:rPr>
          <w:rFonts w:ascii="Arial" w:cs="Arial" w:eastAsia="Arial" w:hAnsi="Arial"/>
          <w:color w:val="333333"/>
          <w:sz w:val="22"/>
          <w:szCs w:val="22"/>
        </w:rPr>
        <w:t xml:space="preserve">AKBai provides a purpose-built Google Sheets template with pre-formatted columns (Date, Item/Service, Qty, Unit Price, Total, Category, Notes)</w:t>
      </w:r>
    </w:p>
    <w:p>
      <w:pPr>
        <w:numPr>
          <w:ilvl w:val="0"/>
          <w:numId w:val="2"/>
        </w:numPr>
        <w:spacing w:after="100" w:line="276"/>
      </w:pPr>
      <w:r>
        <w:rPr>
          <w:rFonts w:ascii="Arial" w:cs="Arial" w:eastAsia="Arial" w:hAnsi="Arial"/>
          <w:color w:val="333333"/>
          <w:sz w:val="22"/>
          <w:szCs w:val="22"/>
        </w:rPr>
        <w:t xml:space="preserve">Separate tabs for: Daily Sales, Expenses, Inventory (optional), Monthly Summary</w:t>
      </w:r>
    </w:p>
    <w:p>
      <w:pPr>
        <w:numPr>
          <w:ilvl w:val="0"/>
          <w:numId w:val="2"/>
        </w:numPr>
        <w:spacing w:after="100" w:line="276"/>
      </w:pPr>
      <w:r>
        <w:rPr>
          <w:rFonts w:ascii="Arial" w:cs="Arial" w:eastAsia="Arial" w:hAnsi="Arial"/>
          <w:color w:val="333333"/>
          <w:sz w:val="22"/>
          <w:szCs w:val="22"/>
        </w:rPr>
        <w:t xml:space="preserve">Free users: download template, fill manually, upload as Excel to Pro tier OR enter via text</w:t>
      </w:r>
    </w:p>
    <w:p>
      <w:pPr>
        <w:numPr>
          <w:ilvl w:val="0"/>
          <w:numId w:val="2"/>
        </w:numPr>
        <w:spacing w:after="100" w:line="276"/>
      </w:pPr>
      <w:r>
        <w:rPr>
          <w:rFonts w:ascii="Arial" w:cs="Arial" w:eastAsia="Arial" w:hAnsi="Arial"/>
          <w:color w:val="333333"/>
          <w:sz w:val="22"/>
          <w:szCs w:val="22"/>
        </w:rPr>
        <w:t xml:space="preserve">Pro users: upload filled template as Excel file for bulk import</w:t>
      </w:r>
    </w:p>
    <w:p>
      <w:pPr>
        <w:numPr>
          <w:ilvl w:val="0"/>
          <w:numId w:val="2"/>
        </w:numPr>
        <w:spacing w:after="100" w:line="276"/>
      </w:pPr>
      <w:r>
        <w:rPr>
          <w:rFonts w:ascii="Arial" w:cs="Arial" w:eastAsia="Arial" w:hAnsi="Arial"/>
          <w:color w:val="333333"/>
          <w:sz w:val="22"/>
          <w:szCs w:val="22"/>
        </w:rPr>
        <w:t xml:space="preserve">Business users: keep template in GSheets, AKBai syncs directly</w:t>
      </w:r>
    </w:p>
    <w:p>
      <w:pPr>
        <w:numPr>
          <w:ilvl w:val="0"/>
          <w:numId w:val="2"/>
        </w:numPr>
        <w:spacing w:after="200" w:line="276"/>
      </w:pPr>
      <w:r>
        <w:rPr>
          <w:rFonts w:ascii="Arial" w:cs="Arial" w:eastAsia="Arial" w:hAnsi="Arial"/>
          <w:color w:val="333333"/>
          <w:sz w:val="22"/>
          <w:szCs w:val="22"/>
        </w:rPr>
        <w:t xml:space="preserve">Template is downloadable from within the AKBai app at any tier</w:t>
      </w:r>
    </w:p>
    <w:p>
      <w:pPr>
        <w:spacing w:after="160" w:line="276"/>
      </w:pPr>
      <w:r>
        <w:rPr>
          <w:rFonts w:ascii="Arial" w:cs="Arial" w:eastAsia="Arial" w:hAnsi="Arial"/>
          <w:b/>
          <w:bCs/>
          <w:color w:val="07101e"/>
          <w:sz w:val="24"/>
          <w:szCs w:val="24"/>
        </w:rPr>
        <w:t xml:space="preserve">Daily End-of-Day Check-In (In-App)</w:t>
      </w:r>
    </w:p>
    <w:p>
      <w:pPr>
        <w:numPr>
          <w:ilvl w:val="0"/>
          <w:numId w:val="2"/>
        </w:numPr>
        <w:spacing w:after="100" w:line="276"/>
      </w:pPr>
      <w:r>
        <w:rPr>
          <w:rFonts w:ascii="Arial" w:cs="Arial" w:eastAsia="Arial" w:hAnsi="Arial"/>
          <w:color w:val="333333"/>
          <w:sz w:val="22"/>
          <w:szCs w:val="22"/>
        </w:rPr>
        <w:t xml:space="preserve">Every evening, AKBai presents a check-in modal when the user opens the app</w:t>
      </w:r>
    </w:p>
    <w:p>
      <w:pPr>
        <w:numPr>
          <w:ilvl w:val="0"/>
          <w:numId w:val="2"/>
        </w:numPr>
        <w:spacing w:after="100" w:line="276"/>
      </w:pPr>
      <w:r>
        <w:rPr>
          <w:rFonts w:ascii="Arial" w:cs="Arial" w:eastAsia="Arial" w:hAnsi="Arial"/>
          <w:color w:val="333333"/>
          <w:sz w:val="22"/>
          <w:szCs w:val="22"/>
        </w:rPr>
        <w:t xml:space="preserve">Timing: user-configurable (default: 8 PM prompt)</w:t>
      </w:r>
    </w:p>
    <w:p>
      <w:pPr>
        <w:numPr>
          <w:ilvl w:val="0"/>
          <w:numId w:val="2"/>
        </w:numPr>
        <w:spacing w:after="100" w:line="276"/>
      </w:pPr>
      <w:r>
        <w:rPr>
          <w:rFonts w:ascii="Arial" w:cs="Arial" w:eastAsia="Arial" w:hAnsi="Arial"/>
          <w:color w:val="333333"/>
          <w:sz w:val="22"/>
          <w:szCs w:val="22"/>
        </w:rPr>
        <w:t xml:space="preserve">Prompt sequence: (1) “Kumusta ang negosyo mo today?” (How was business today?) (2) Quick-add: total sales, total expenses (two number fields) (3) Option to add notes, upload photo, or attach receipt (4) “I-save” button logs the day</w:t>
      </w:r>
    </w:p>
    <w:p>
      <w:pPr>
        <w:numPr>
          <w:ilvl w:val="0"/>
          <w:numId w:val="2"/>
        </w:numPr>
        <w:spacing w:after="100" w:line="276"/>
      </w:pPr>
      <w:r>
        <w:rPr>
          <w:rFonts w:ascii="Arial" w:cs="Arial" w:eastAsia="Arial" w:hAnsi="Arial"/>
          <w:color w:val="333333"/>
          <w:sz w:val="22"/>
          <w:szCs w:val="22"/>
        </w:rPr>
        <w:t xml:space="preserve">If user skips: AKBai remembers and flags the gap</w:t>
      </w:r>
    </w:p>
    <w:p>
      <w:pPr>
        <w:numPr>
          <w:ilvl w:val="0"/>
          <w:numId w:val="2"/>
        </w:numPr>
        <w:spacing w:after="200" w:line="276"/>
      </w:pPr>
      <w:r>
        <w:rPr>
          <w:rFonts w:ascii="Arial" w:cs="Arial" w:eastAsia="Arial" w:hAnsi="Arial"/>
          <w:color w:val="333333"/>
          <w:sz w:val="22"/>
          <w:szCs w:val="22"/>
        </w:rPr>
        <w:t xml:space="preserve">Estimated 60-second completion for a typical entry</w:t>
      </w:r>
    </w:p>
    <w:p>
      <w:pPr>
        <w:spacing w:after="160" w:line="276"/>
      </w:pPr>
      <w:r>
        <w:rPr>
          <w:rFonts w:ascii="Arial" w:cs="Arial" w:eastAsia="Arial" w:hAnsi="Arial"/>
          <w:b/>
          <w:bCs/>
          <w:color w:val="07101e"/>
          <w:sz w:val="24"/>
          <w:szCs w:val="24"/>
        </w:rPr>
        <w:t xml:space="preserve">Weekly Reconciliation (Friday / End-of-Week)</w:t>
      </w:r>
    </w:p>
    <w:p>
      <w:pPr>
        <w:numPr>
          <w:ilvl w:val="0"/>
          <w:numId w:val="2"/>
        </w:numPr>
        <w:spacing w:after="100" w:line="276"/>
      </w:pPr>
      <w:r>
        <w:rPr>
          <w:rFonts w:ascii="Arial" w:cs="Arial" w:eastAsia="Arial" w:hAnsi="Arial"/>
          <w:color w:val="333333"/>
          <w:sz w:val="22"/>
          <w:szCs w:val="22"/>
        </w:rPr>
        <w:t xml:space="preserve">If any days in the past 7 were skipped, AKBai surfaces a reconciliation prompt</w:t>
      </w:r>
    </w:p>
    <w:p>
      <w:pPr>
        <w:numPr>
          <w:ilvl w:val="0"/>
          <w:numId w:val="2"/>
        </w:numPr>
        <w:spacing w:after="100" w:line="276"/>
      </w:pPr>
      <w:r>
        <w:rPr>
          <w:rFonts w:ascii="Arial" w:cs="Arial" w:eastAsia="Arial" w:hAnsi="Arial"/>
          <w:color w:val="333333"/>
          <w:sz w:val="22"/>
          <w:szCs w:val="22"/>
        </w:rPr>
        <w:t xml:space="preserve">“May mga araw na hindi natin na-update — gusto mo ba nating ayusin ito ngayon?”</w:t>
      </w:r>
    </w:p>
    <w:p>
      <w:pPr>
        <w:numPr>
          <w:ilvl w:val="0"/>
          <w:numId w:val="2"/>
        </w:numPr>
        <w:spacing w:after="200" w:line="276"/>
      </w:pPr>
      <w:r>
        <w:rPr>
          <w:rFonts w:ascii="Arial" w:cs="Arial" w:eastAsia="Arial" w:hAnsi="Arial"/>
          <w:color w:val="333333"/>
          <w:sz w:val="22"/>
          <w:szCs w:val="22"/>
        </w:rPr>
        <w:t xml:space="preserve">Shows which days are missing, lets user batch-fill them (takes ~5 minutes for a full week catch-up)</w:t>
      </w:r>
    </w:p>
    <w:p>
      <w:pPr>
        <w:spacing w:after="160" w:line="276"/>
      </w:pPr>
      <w:r>
        <w:rPr>
          <w:rFonts w:ascii="Arial" w:cs="Arial" w:eastAsia="Arial" w:hAnsi="Arial"/>
          <w:b/>
          <w:bCs/>
          <w:color w:val="07101e"/>
          <w:sz w:val="24"/>
          <w:szCs w:val="24"/>
        </w:rPr>
        <w:t xml:space="preserve">Monthly Reconciliation (Last Day of Month)</w:t>
      </w:r>
    </w:p>
    <w:p>
      <w:pPr>
        <w:numPr>
          <w:ilvl w:val="0"/>
          <w:numId w:val="2"/>
        </w:numPr>
        <w:spacing w:after="100" w:line="276"/>
      </w:pPr>
      <w:r>
        <w:rPr>
          <w:rFonts w:ascii="Arial" w:cs="Arial" w:eastAsia="Arial" w:hAnsi="Arial"/>
          <w:color w:val="333333"/>
          <w:sz w:val="22"/>
          <w:szCs w:val="22"/>
        </w:rPr>
        <w:t xml:space="preserve">Full month summary presented: total income, total expenses, net profit, top expense category</w:t>
      </w:r>
    </w:p>
    <w:p>
      <w:pPr>
        <w:numPr>
          <w:ilvl w:val="0"/>
          <w:numId w:val="2"/>
        </w:numPr>
        <w:spacing w:after="100" w:line="276"/>
      </w:pPr>
      <w:r>
        <w:rPr>
          <w:rFonts w:ascii="Arial" w:cs="Arial" w:eastAsia="Arial" w:hAnsi="Arial"/>
          <w:color w:val="333333"/>
          <w:sz w:val="22"/>
          <w:szCs w:val="22"/>
        </w:rPr>
        <w:t xml:space="preserve">Prompts user to review and confirm figures before the month closes</w:t>
      </w:r>
    </w:p>
    <w:p>
      <w:pPr>
        <w:numPr>
          <w:ilvl w:val="0"/>
          <w:numId w:val="2"/>
        </w:numPr>
        <w:spacing w:after="100" w:line="276"/>
      </w:pPr>
      <w:r>
        <w:rPr>
          <w:rFonts w:ascii="Arial" w:cs="Arial" w:eastAsia="Arial" w:hAnsi="Arial"/>
          <w:color w:val="333333"/>
          <w:sz w:val="22"/>
          <w:szCs w:val="22"/>
        </w:rPr>
        <w:t xml:space="preserve">Exports a monthly summary card (shareable image or PDF)</w:t>
      </w:r>
    </w:p>
    <w:p>
      <w:pPr>
        <w:numPr>
          <w:ilvl w:val="0"/>
          <w:numId w:val="2"/>
        </w:numPr>
        <w:spacing w:after="200" w:line="276"/>
      </w:pPr>
      <w:r>
        <w:rPr>
          <w:rFonts w:ascii="Arial" w:cs="Arial" w:eastAsia="Arial" w:hAnsi="Arial"/>
          <w:color w:val="333333"/>
          <w:sz w:val="22"/>
          <w:szCs w:val="22"/>
        </w:rPr>
        <w:t xml:space="preserve">Flags discrepancies if uploaded Excel/GSheets data doesn’t match manually entered figures</w:t>
      </w:r>
    </w:p>
    <w:p>
      <w:pPr>
        <w:spacing w:after="160" w:line="276"/>
      </w:pPr>
      <w:r>
        <w:rPr>
          <w:rFonts w:ascii="Arial" w:cs="Arial" w:eastAsia="Arial" w:hAnsi="Arial"/>
          <w:b/>
          <w:bCs/>
          <w:color w:val="07101e"/>
          <w:sz w:val="24"/>
          <w:szCs w:val="24"/>
        </w:rPr>
        <w:t xml:space="preserve">Implementation Phases</w:t>
      </w:r>
    </w:p>
    <w:p>
      <w:pPr>
        <w:numPr>
          <w:ilvl w:val="0"/>
          <w:numId w:val="2"/>
        </w:numPr>
        <w:spacing w:after="100" w:line="276"/>
      </w:pPr>
      <w:r>
        <w:rPr>
          <w:rFonts w:ascii="Arial" w:cs="Arial" w:eastAsia="Arial" w:hAnsi="Arial"/>
          <w:b/>
          <w:bCs/>
          <w:color w:val="07101e"/>
          <w:sz w:val="22"/>
          <w:szCs w:val="22"/>
        </w:rPr>
        <w:t xml:space="preserve">Phase 2 (M5 Launch):</w:t>
      </w:r>
      <w:r>
        <w:rPr>
          <w:rFonts w:ascii="Arial" w:cs="Arial" w:eastAsia="Arial" w:hAnsi="Arial"/>
          <w:color w:val="333333"/>
          <w:sz w:val="22"/>
          <w:szCs w:val="22"/>
        </w:rPr>
        <w:t xml:space="preserve"> Text entry + daily check-in modal + AKBai GSheets template available for download + Excel upload (Pro)</w:t>
      </w:r>
    </w:p>
    <w:p>
      <w:pPr>
        <w:numPr>
          <w:ilvl w:val="0"/>
          <w:numId w:val="2"/>
        </w:numPr>
        <w:spacing w:after="100" w:line="276"/>
      </w:pPr>
      <w:r>
        <w:rPr>
          <w:rFonts w:ascii="Arial" w:cs="Arial" w:eastAsia="Arial" w:hAnsi="Arial"/>
          <w:b/>
          <w:bCs/>
          <w:color w:val="07101e"/>
          <w:sz w:val="22"/>
          <w:szCs w:val="22"/>
        </w:rPr>
        <w:t xml:space="preserve">Phase 3 (M7-12):</w:t>
      </w:r>
      <w:r>
        <w:rPr>
          <w:rFonts w:ascii="Arial" w:cs="Arial" w:eastAsia="Arial" w:hAnsi="Arial"/>
          <w:color w:val="333333"/>
          <w:sz w:val="22"/>
          <w:szCs w:val="22"/>
        </w:rPr>
        <w:t xml:space="preserve"> Photo/notebook OCR (Pro) + Google Sheets live sync OAuth (Business) + weekly/monthly reconciliation prompts</w:t>
      </w:r>
    </w:p>
    <w:p>
      <w:pPr>
        <w:numPr>
          <w:ilvl w:val="0"/>
          <w:numId w:val="2"/>
        </w:numPr>
        <w:spacing w:after="200" w:line="276"/>
      </w:pPr>
      <w:r>
        <w:rPr>
          <w:rFonts w:ascii="Arial" w:cs="Arial" w:eastAsia="Arial" w:hAnsi="Arial"/>
          <w:b/>
          <w:bCs/>
          <w:color w:val="07101e"/>
          <w:sz w:val="22"/>
          <w:szCs w:val="22"/>
        </w:rPr>
        <w:t xml:space="preserve">Phase 4 (M13+):</w:t>
      </w:r>
      <w:r>
        <w:rPr>
          <w:rFonts w:ascii="Arial" w:cs="Arial" w:eastAsia="Arial" w:hAnsi="Arial"/>
          <w:color w:val="333333"/>
          <w:sz w:val="22"/>
          <w:szCs w:val="22"/>
        </w:rPr>
        <w:t xml:space="preserve"> Advanced: multi-source reconciliation, GSheets multi-tab support, team data entry (Business)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60" w:line="276"/>
      </w:pPr>
      <w:r>
        <w:rPr>
          <w:rFonts w:ascii="Arial" w:cs="Arial" w:eastAsia="Arial" w:hAnsi="Arial"/>
          <w:color w:val="333333"/>
          <w:sz w:val="21"/>
          <w:szCs w:val="21"/>
        </w:rPr>
        <w:t xml:space="preserve">Business Tier Launch: The Business tier (₱899/month, 80 scans/month, multi-seat support for up to 5 team members) launches at Phase 2 Month 1, positioned for SMEs scaling beyond solo operations. Multi-seat support includes separate logins for team members with role-based permissions (Owner, Accountant, Viewer). This tier targets the ₱80K–₱250K/month revenue band with advanced features like DM/Viber two-way messaging, Google Sheets OAuth live sync (read-only, Phase 3), advanced costing analysis, and decision support tools.</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(₱899/month): </w:t>
      </w:r>
      <w:r>
        <w:rPr>
          <w:rFonts w:ascii="Arial" w:cs="Arial" w:eastAsia="Arial" w:hAnsi="Arial"/>
          <w:color w:val="333333"/>
          <w:sz w:val="21"/>
          <w:szCs w:val="21"/>
        </w:rPr>
        <w:t xml:space="preserve">All Pro features (80 receipt scans/month, 2x Pro limit) + multi-seat support (up to 5 team members)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(₱399/month):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(₱899/month):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₱399/mo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Domain + Cloudflare Pages (free tier Months 1-6, Workers $5/month = ₱286 from Month 7+)</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60" w:line="276"/>
      </w:pPr>
      <w:r>
        <w:rPr>
          <w:rFonts w:ascii="Arial" w:cs="Arial" w:eastAsia="Arial" w:hAnsi="Arial"/>
          <w:color w:val="333333"/>
          <w:sz w:val="21"/>
          <w:szCs w:val="21"/>
        </w:rPr>
        <w:t xml:space="preserve">AKBai’s Go-To-Market strategy centers on deep penetration of Filipino MSME communities through four interconnected phases, with a target 70% organic / 30% paid acquisition mix by Year 1.</w:t>
      </w:r>
    </w:p>
    <w:p>
      <w:pPr>
        <w:spacing w:after="120" w:before="200"/>
      </w:pPr>
      <w:r>
        <w:rPr>
          <w:rFonts w:ascii="Arial" w:cs="Arial" w:eastAsia="Arial" w:hAnsi="Arial"/>
          <w:b/>
          <w:bCs/>
          <w:color w:val="D97706"/>
          <w:sz w:val="22"/>
          <w:szCs w:val="22"/>
        </w:rPr>
        <w:t xml:space="preserve">GTM Phase 1 (M1–4 Beta): Closed Beta with Controlled Testers</w:t>
      </w:r>
    </w:p>
    <w:p>
      <w:pPr>
        <w:pStyle w:val="ListParagraph"/>
        <w:numPr>
          <w:ilvl w:val="0"/>
          <w:numId w:val="2"/>
        </w:numPr>
        <w:spacing w:after="100" w:line="276"/>
      </w:pPr>
      <w:r>
        <w:rPr>
          <w:rFonts w:ascii="Arial" w:cs="Arial" w:eastAsia="Arial" w:hAnsi="Arial"/>
          <w:color w:val="333333"/>
          <w:sz w:val="21"/>
          <w:szCs w:val="21"/>
        </w:rPr>
        <w:t xml:space="preserve">Recruit 20–80 beta testers from MSME Facebook groups. Focus on home food sellers and freelance creatives with 3–10 years of business experience. Provide free access, collect deep qualitative feedback via weekly 1:1 sessions, not surveys. Build in public: share weekly metrics updates in the same FB groups to generate FOMO and signal momentum.</w:t>
      </w:r>
    </w:p>
    <w:p>
      <w:pPr>
        <w:spacing w:after="120" w:before="200"/>
      </w:pPr>
      <w:r>
        <w:rPr>
          <w:rFonts w:ascii="Arial" w:cs="Arial" w:eastAsia="Arial" w:hAnsi="Arial"/>
          <w:b/>
          <w:bCs/>
          <w:color w:val="D97706"/>
          <w:sz w:val="22"/>
          <w:szCs w:val="22"/>
        </w:rPr>
        <w:t xml:space="preserve">GTM Phase 2 (M5–6 Soft Launch): Free + Pro Tiers, Organic Growth Ignition</w:t>
      </w:r>
    </w:p>
    <w:p>
      <w:pPr>
        <w:pStyle w:val="ListParagraph"/>
        <w:numPr>
          <w:ilvl w:val="0"/>
          <w:numId w:val="2"/>
        </w:numPr>
        <w:spacing w:after="100" w:line="276"/>
      </w:pPr>
      <w:r>
        <w:rPr>
          <w:rFonts w:ascii="Arial" w:cs="Arial" w:eastAsia="Arial" w:hAnsi="Arial"/>
          <w:color w:val="333333"/>
          <w:sz w:val="21"/>
          <w:szCs w:val="21"/>
        </w:rPr>
        <w:t xml:space="preserve">Launch public free + Pro tiers. Drive organic growth via Facebook MSME groups and Viber seller communities. Target: 50–100 free signups/week. Focus on word-of-mouth referrals and genuine user advocacy — never paid ads yet. Key channels: “HM po?” (“How much?”) seller groups, sari-sari store owner networks, food business Viber chats. Seed 5–10 micro-influencers (Filipino business vloggers with 10K–100K followers) with free Pro accounts and ask for honest reviews. No sponsored posts — authentic discovery only.</w:t>
      </w:r>
    </w:p>
    <w:p>
      <w:pPr>
        <w:spacing w:after="120" w:before="200"/>
      </w:pPr>
      <w:r>
        <w:rPr>
          <w:rFonts w:ascii="Arial" w:cs="Arial" w:eastAsia="Arial" w:hAnsi="Arial"/>
          <w:b/>
          <w:bCs/>
          <w:color w:val="D97706"/>
          <w:sz w:val="22"/>
          <w:szCs w:val="22"/>
        </w:rPr>
        <w:t xml:space="preserve">GTM Phase 3 (M7–12 Growth): WhatsApp Business API + Referral Program + Influencer Partnerships</w:t>
      </w:r>
    </w:p>
    <w:p>
      <w:pPr>
        <w:pStyle w:val="ListParagraph"/>
        <w:numPr>
          <w:ilvl w:val="0"/>
          <w:numId w:val="2"/>
        </w:numPr>
        <w:spacing w:after="100" w:line="276"/>
      </w:pPr>
      <w:r>
        <w:rPr>
          <w:rFonts w:ascii="Arial" w:cs="Arial" w:eastAsia="Arial" w:hAnsi="Arial"/>
          <w:color w:val="333333"/>
          <w:sz w:val="21"/>
          <w:szCs w:val="21"/>
        </w:rPr>
        <w:t xml:space="preserve">Launch WhatsApp Business API integration, enabling two-way messaging as core CRM feature. Launch referral program: “Refer 3 sellers, get 1 month free.” Expand micro-influencer partnerships to 15–20 Filipino business vloggers. Begin low-volume paid acquisition (Meta ads targeting Filipino female business owners age 25–45, ₱500–₱2K/month revenue). Target: 200–300 free users, 40–60 Pro subscribers, 500–1K+ viral reach through referral loop.</w:t>
      </w:r>
    </w:p>
    <w:p>
      <w:pPr>
        <w:spacing w:after="120" w:before="200"/>
      </w:pPr>
      <w:r>
        <w:rPr>
          <w:rFonts w:ascii="Arial" w:cs="Arial" w:eastAsia="Arial" w:hAnsi="Arial"/>
          <w:b/>
          <w:bCs/>
          <w:color w:val="D97706"/>
          <w:sz w:val="22"/>
          <w:szCs w:val="22"/>
        </w:rPr>
        <w:t xml:space="preserve">GTM Phase 4 (M13+ Scale): Business Tier Launch + Institutional Partnerships + Paid Acquisition</w:t>
      </w:r>
    </w:p>
    <w:p>
      <w:pPr>
        <w:pStyle w:val="ListParagraph"/>
        <w:numPr>
          <w:ilvl w:val="0"/>
          <w:numId w:val="2"/>
        </w:numPr>
        <w:spacing w:after="100" w:line="276"/>
      </w:pPr>
      <w:r>
        <w:rPr>
          <w:rFonts w:ascii="Arial" w:cs="Arial" w:eastAsia="Arial" w:hAnsi="Arial"/>
          <w:color w:val="333333"/>
          <w:sz w:val="21"/>
          <w:szCs w:val="21"/>
        </w:rPr>
        <w:t xml:space="preserve">Business tier launches at ₱899/mo. Establish partnerships with DTI (Department of Trade and Industry) and MSME support organizations for co-marketing and bulk licensing. Scale paid acquisition: Facebook/Instagram ads budgeted at ₱50K+/month, targeting home sellers and online resellers. Launch TikTok business content series (authentic behind-the-scenes of AKBai users’ businesses). Target: 1K+ free users, 300+ Pro, 50+ Business subscribers by Month 18. Achieve 70% organic / 30% paid mix in customer acquisition.</w:t>
      </w:r>
    </w:p>
    <w:p>
      <w:pPr>
        <w:spacing w:after="120" w:before="200"/>
      </w:pPr>
      <w:r>
        <w:rPr>
          <w:rFonts w:ascii="Arial" w:cs="Arial" w:eastAsia="Arial" w:hAnsi="Arial"/>
          <w:b/>
          <w:bCs/>
          <w:color w:val="D97706"/>
          <w:sz w:val="22"/>
          <w:szCs w:val="22"/>
        </w:rPr>
        <w:t xml:space="preserve">Key Channels and Target Segments</w:t>
      </w:r>
    </w:p>
    <w:p>
      <w:pPr>
        <w:pStyle w:val="ListParagraph"/>
        <w:numPr>
          <w:ilvl w:val="0"/>
          <w:numId w:val="2"/>
        </w:numPr>
        <w:spacing w:after="100" w:line="276"/>
      </w:pPr>
      <w:r>
        <w:rPr>
          <w:rFonts w:ascii="Arial" w:cs="Arial" w:eastAsia="Arial" w:hAnsi="Arial"/>
          <w:b/>
          <w:bCs/>
          <w:color w:val="07101e"/>
          <w:sz w:val="21"/>
          <w:szCs w:val="21"/>
        </w:rPr>
        <w:t xml:space="preserve">Primary (Organic): </w:t>
      </w:r>
      <w:r>
        <w:rPr>
          <w:rFonts w:ascii="Arial" w:cs="Arial" w:eastAsia="Arial" w:hAnsi="Arial"/>
          <w:color w:val="333333"/>
          <w:sz w:val="21"/>
          <w:szCs w:val="21"/>
        </w:rPr>
        <w:t xml:space="preserve">Facebook MSME groups (800K+ combined members), Viber communities (sari-sari store owners, food business networks), TikTok business hashtags, Instagram seller communities. These channels reach existing communities of MSMEs with proven buying power.</w:t>
      </w:r>
    </w:p>
    <w:p>
      <w:pPr>
        <w:pStyle w:val="ListParagraph"/>
        <w:numPr>
          <w:ilvl w:val="0"/>
          <w:numId w:val="2"/>
        </w:numPr>
        <w:spacing w:after="100" w:line="276"/>
      </w:pPr>
      <w:r>
        <w:rPr>
          <w:rFonts w:ascii="Arial" w:cs="Arial" w:eastAsia="Arial" w:hAnsi="Arial"/>
          <w:b/>
          <w:bCs/>
          <w:color w:val="07101e"/>
          <w:sz w:val="21"/>
          <w:szCs w:val="21"/>
        </w:rPr>
        <w:t xml:space="preserve">Secondary (Paid): </w:t>
      </w:r>
      <w:r>
        <w:rPr>
          <w:rFonts w:ascii="Arial" w:cs="Arial" w:eastAsia="Arial" w:hAnsi="Arial"/>
          <w:color w:val="333333"/>
          <w:sz w:val="21"/>
          <w:szCs w:val="21"/>
        </w:rPr>
        <w:t xml:space="preserve">Meta (Facebook/Instagram) ads targeting Filipino female entrepreneurs, Google Search (“business accounting app Philippines”, “BIR tax filing for home-based business”), micro-influencer content seeding.</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₱399/month. A part-time bookkeeper = ₱5,000+/month. You do the math.” Post this framing in FB groups when discussing pricing. It makes ₱399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Positioning: Integrated vs. Point Solutions</w:t>
      </w:r>
    </w:p>
    <w:p>
      <w:pPr>
        <w:spacing w:after="160" w:line="276"/>
      </w:pPr>
      <w:r>
        <w:rPr>
          <w:rFonts w:ascii="Arial" w:cs="Arial" w:eastAsia="Arial" w:hAnsi="Arial"/>
          <w:color w:val="333333"/>
          <w:sz w:val="21"/>
          <w:szCs w:val="21"/>
        </w:rPr>
        <w:t xml:space="preserve">Market research confirms NO direct competitor offers AKBai’s integrated suite: communications, financial tracking, tax compliance, and business intelligence all in one AI-powered platform. Existing competitors are point solutions: Taxumo handles tax-only functionality, SOFI AI provides chatbot assistance without business context, Packworks targets sari-sari stores with inventory but no compliance features. AKBai’s competitive advantage is the complete business operating system for Filipino entrepreneurs — solving the problem end-to-end rather than point solutions that force users to context-switch across multiple tools.</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 For expansion beyond the financial/compliance domain (marketing advisory, business strategy, HR communications), see the AKBai Post-Implementation Vision document, which outlines Phase 4+ domain expansion plans without cluttering this operational roadmap.</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₱399/month). It is separate from the in-app AI features those subscribers use to run their own businesses.</w:t>
      </w:r>
    </w:p>
    <w:p>
      <w:pPr>
        <w:spacing w:after="160" w:line="276"/>
      </w:pPr>
      <w:r>
        <w:rPr>
          <w:rFonts w:ascii="Arial" w:cs="Arial" w:eastAsia="Arial" w:hAnsi="Arial"/>
          <w:color w:val="333333"/>
          <w:sz w:val="21"/>
          <w:szCs w:val="21"/>
        </w:rPr>
        <w:t xml:space="preserve">WhatsApp Support Channels: Months 1–6 (pre-WhatsApp Business API): Early customer support will be handled via personal WhatsApp using the AKBai business name and a dedicated business phone number. From Month 7 onward, once WhatsApp Business API approval is obtained, support transitions to the official API with webhook integration for seamless ticket routing and response tracking.</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Cloudflare Pages.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Cloudflare Pages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Cloudflare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Cloudflare Pages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Cloudflare Pages build notifications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Cloudflare Pages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