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80"/>
        <w:jc w:val="center"/>
      </w:pPr>
      <w:r>
        <w:rPr>
          <w:rFonts w:ascii="Times New Roman" w:hAnsi="Times New Roman"/>
          <w:b/>
          <w:i w:val="0"/>
          <w:sz w:val="28"/>
        </w:rPr>
        <w:t>YILDIZ TECHNICAL UNIVERSITY</w:t>
      </w:r>
    </w:p>
    <w:p>
      <w:pPr>
        <w:spacing w:before="0" w:after="80"/>
        <w:jc w:val="center"/>
      </w:pPr>
      <w:r>
        <w:rPr>
          <w:rFonts w:ascii="Times New Roman" w:hAnsi="Times New Roman"/>
          <w:b/>
          <w:i w:val="0"/>
          <w:sz w:val="26"/>
        </w:rPr>
        <w:t>Faculty of Mechanical Engineering</w:t>
      </w:r>
    </w:p>
    <w:p>
      <w:pPr>
        <w:spacing w:before="0" w:after="800"/>
        <w:jc w:val="center"/>
      </w:pPr>
      <w:r>
        <w:rPr>
          <w:rFonts w:ascii="Times New Roman" w:hAnsi="Times New Roman"/>
          <w:b/>
          <w:i w:val="0"/>
          <w:sz w:val="26"/>
        </w:rPr>
        <w:t>Department of Industrial Engineering</w:t>
      </w:r>
    </w:p>
    <w:p>
      <w:pPr>
        <w:spacing w:before="0" w:after="0"/>
      </w:pPr>
    </w:p>
    <w:p>
      <w:pPr>
        <w:spacing w:before="0" w:after="0"/>
      </w:pPr>
    </w:p>
    <w:p>
      <w:pPr>
        <w:spacing w:before="0" w:after="0"/>
      </w:pPr>
    </w:p>
    <w:p>
      <w:pPr>
        <w:spacing w:before="0" w:after="400"/>
        <w:jc w:val="center"/>
      </w:pPr>
      <w:r>
        <w:rPr>
          <w:rFonts w:ascii="Times New Roman" w:hAnsi="Times New Roman"/>
          <w:b/>
          <w:i w:val="0"/>
          <w:sz w:val="26"/>
        </w:rPr>
        <w:t>GRADUATION THESIS</w:t>
      </w:r>
    </w:p>
    <w:p>
      <w:pPr>
        <w:spacing w:before="0" w:after="800"/>
        <w:jc w:val="center"/>
      </w:pPr>
      <w:r>
        <w:rPr>
          <w:rFonts w:ascii="Times New Roman" w:hAnsi="Times New Roman"/>
          <w:b/>
          <w:i w:val="0"/>
          <w:sz w:val="32"/>
        </w:rPr>
        <w:t>Monthly Vehicle Allocation Optimization for Automotive Dealerships</w:t>
        <w:br/>
        <w:t>via Multi-Criteria Scoring and Mixed-Integer Linear Programming</w:t>
      </w:r>
    </w:p>
    <w:p>
      <w:pPr>
        <w:spacing w:before="0" w:after="0"/>
      </w:pPr>
    </w:p>
    <w:p>
      <w:pPr>
        <w:spacing w:before="0" w:after="0"/>
      </w:pPr>
    </w:p>
    <w:p>
      <w:pPr>
        <w:spacing w:before="0" w:after="0"/>
      </w:pPr>
    </w:p>
    <w:p>
      <w:pPr>
        <w:spacing w:before="0" w:after="80"/>
        <w:jc w:val="center"/>
      </w:pPr>
      <w:r>
        <w:rPr>
          <w:rFonts w:ascii="Times New Roman" w:hAnsi="Times New Roman"/>
          <w:b w:val="0"/>
          <w:i w:val="0"/>
          <w:sz w:val="24"/>
        </w:rPr>
        <w:t>Submitted by:</w:t>
      </w:r>
    </w:p>
    <w:p>
      <w:pPr>
        <w:spacing w:before="0" w:after="80"/>
        <w:jc w:val="center"/>
      </w:pPr>
      <w:r>
        <w:rPr>
          <w:rFonts w:ascii="Times New Roman" w:hAnsi="Times New Roman"/>
          <w:b/>
          <w:i w:val="0"/>
          <w:sz w:val="26"/>
        </w:rPr>
        <w:t>Adem Ağar</w:t>
      </w:r>
    </w:p>
    <w:p>
      <w:pPr>
        <w:spacing w:before="0" w:after="800"/>
        <w:jc w:val="center"/>
      </w:pPr>
      <w:r>
        <w:rPr>
          <w:rFonts w:ascii="Times New Roman" w:hAnsi="Times New Roman"/>
          <w:b w:val="0"/>
          <w:i w:val="0"/>
          <w:sz w:val="24"/>
        </w:rPr>
        <w:t>Student ID: 21069019</w:t>
      </w:r>
    </w:p>
    <w:p>
      <w:pPr>
        <w:spacing w:before="0" w:after="0"/>
      </w:pPr>
    </w:p>
    <w:p>
      <w:pPr>
        <w:spacing w:before="0" w:after="0"/>
      </w:pPr>
    </w:p>
    <w:p>
      <w:pPr>
        <w:spacing w:before="0" w:after="0"/>
        <w:jc w:val="center"/>
      </w:pPr>
      <w:r>
        <w:rPr>
          <w:rFonts w:ascii="Times New Roman" w:hAnsi="Times New Roman"/>
          <w:b w:val="0"/>
          <w:i w:val="0"/>
          <w:sz w:val="24"/>
        </w:rPr>
        <w:t>Istanbul, 2026</w:t>
      </w:r>
    </w:p>
    <w:p>
      <w:r>
        <w:br w:type="page"/>
      </w:r>
    </w:p>
    <w:p>
      <w:pPr>
        <w:spacing w:before="240" w:after="120"/>
        <w:jc w:val="left"/>
      </w:pPr>
      <w:r>
        <w:rPr>
          <w:rFonts w:ascii="Times New Roman" w:hAnsi="Times New Roman"/>
          <w:b/>
          <w:i w:val="0"/>
          <w:sz w:val="28"/>
        </w:rPr>
        <w:t>ABSTRACT</w:t>
      </w:r>
    </w:p>
    <w:p>
      <w:pPr>
        <w:spacing w:before="0" w:after="200"/>
        <w:jc w:val="center"/>
      </w:pPr>
      <w:r>
        <w:rPr>
          <w:rFonts w:ascii="Times New Roman" w:hAnsi="Times New Roman"/>
          <w:b/>
          <w:i w:val="0"/>
          <w:sz w:val="24"/>
        </w:rPr>
        <w:t>Monthly Vehicle Allocation Optimization for Automotive Dealerships via Multi-Criteria Scoring and Mixed-Integer Linear Programming</w:t>
      </w:r>
    </w:p>
    <w:p>
      <w:pPr>
        <w:spacing w:before="0" w:after="200"/>
        <w:jc w:val="center"/>
      </w:pPr>
      <w:r>
        <w:rPr>
          <w:rFonts w:ascii="Times New Roman" w:hAnsi="Times New Roman"/>
          <w:b w:val="0"/>
          <w:i w:val="0"/>
          <w:sz w:val="24"/>
        </w:rPr>
        <w:t>Adem Ağar</w:t>
      </w:r>
    </w:p>
    <w:p>
      <w:pPr>
        <w:spacing w:before="0" w:after="320"/>
        <w:jc w:val="center"/>
      </w:pPr>
      <w:r>
        <w:rPr>
          <w:rFonts w:ascii="Times New Roman" w:hAnsi="Times New Roman"/>
          <w:b w:val="0"/>
          <w:i w:val="0"/>
          <w:sz w:val="24"/>
        </w:rPr>
        <w:t>Industrial Engineering, Faculty of Mechanical Engineering, Yıldız Technical University, Istanbul, 2026</w:t>
      </w:r>
    </w:p>
    <w:p>
      <w:pPr>
        <w:spacing w:before="0" w:after="120"/>
        <w:jc w:val="both"/>
      </w:pPr>
      <w:r>
        <w:rPr>
          <w:rFonts w:ascii="Times New Roman" w:hAnsi="Times New Roman"/>
          <w:b w:val="0"/>
          <w:i w:val="0"/>
          <w:sz w:val="24"/>
        </w:rPr>
        <w:t>Efficient distribution of a limited monthly vehicle inventory across a dealer network is a critical operational challenge for automotive manufacturers and importers. When the number of vehicles available is less than aggregate dealer demand, the allocation decision directly affects dealer satisfaction, end-customer availability, and brand revenue. This thesis proposes and implements a three-layer decision-support system that automates monthly vehicle allocation for a Sport Utility Vehicle (SUV) brand operating through 28 authorized dealerships across Turkey.</w:t>
      </w:r>
    </w:p>
    <w:p>
      <w:pPr>
        <w:spacing w:before="0" w:after="120"/>
        <w:jc w:val="both"/>
      </w:pPr>
      <w:r>
        <w:rPr>
          <w:rFonts w:ascii="Times New Roman" w:hAnsi="Times New Roman"/>
          <w:b w:val="0"/>
          <w:i w:val="0"/>
          <w:sz w:val="24"/>
        </w:rPr>
        <w:t>The first layer applies Seasonal-Trend decomposition using Loess (STL) to decompose 24 months of historical sales data (January 2024–December 2025) into trend, seasonal, and residual components. Monthly seasonal indices are derived from this decomposition and combined with a Prophet-based annual market forecast and an Exponentially Weighted Moving Average (EWMA, α determined by window W=5 after systematic cross-validation over W∈{3, …, 19}) to produce dealer-level monthly demand estimates for 2026.</w:t>
      </w:r>
    </w:p>
    <w:p>
      <w:pPr>
        <w:spacing w:before="0" w:after="120"/>
        <w:jc w:val="both"/>
      </w:pPr>
      <w:r>
        <w:rPr>
          <w:rFonts w:ascii="Times New Roman" w:hAnsi="Times New Roman"/>
          <w:b w:val="0"/>
          <w:i w:val="0"/>
          <w:sz w:val="24"/>
        </w:rPr>
        <w:t>The second layer applies Multi-Criteria Decision Making (MCDM) to score each dealer on four dimensions: recent target achievement performance (P, weight 0.25), location-product fit via cosine similarity between the dealer's historical color/version sales vector and the current inventory vector (LP, weight 0.35), seasonal alignment (S, weight 0.20), and proximity to the annual sales target with an asymmetric penalty for dealers who are behind target (H, weight 0.20). A composite score C ∈ [0, 1] is computed for every dealer.</w:t>
      </w:r>
    </w:p>
    <w:p>
      <w:pPr>
        <w:spacing w:before="0" w:after="120"/>
        <w:jc w:val="both"/>
      </w:pPr>
      <w:r>
        <w:rPr>
          <w:rFonts w:ascii="Times New Roman" w:hAnsi="Times New Roman"/>
          <w:b w:val="0"/>
          <w:i w:val="0"/>
          <w:sz w:val="24"/>
        </w:rPr>
        <w:t>The third layer formulates vehicle allocation as a Mixed-Integer Linear Programming (MILP) problem. The objective is to maximize the sum of composite-score-weighted allocations subject to inventory availability constraints and dealer quota bounds (±20% of the monthly quota derived from market-share-based target distribution). The model is implemented in Python using PuLP with the open-source CBC solver and solves a January 2026 instance of 603 vehicles across 28 dealers in under 0.3 seconds.</w:t>
      </w:r>
    </w:p>
    <w:p>
      <w:pPr>
        <w:spacing w:before="0" w:after="120"/>
        <w:jc w:val="both"/>
      </w:pPr>
      <w:r>
        <w:rPr>
          <w:rFonts w:ascii="Times New Roman" w:hAnsi="Times New Roman"/>
          <w:b w:val="0"/>
          <w:i w:val="0"/>
          <w:sz w:val="24"/>
        </w:rPr>
        <w:t>The system is deployed as an interactive Streamlit dashboard with real-time scenario analysis capabilities. Results for January 2026 demonstrate that the framework successfully directs scarce inventory toward high-potential dealers while respecting operational constraints, producing allocations that could not be replicated by manual heuristics at comparable speed or consistency.</w:t>
      </w:r>
    </w:p>
    <w:p>
      <w:pPr>
        <w:spacing w:before="0" w:after="200"/>
        <w:jc w:val="both"/>
      </w:pPr>
      <w:r>
        <w:rPr>
          <w:rFonts w:ascii="Times New Roman" w:hAnsi="Times New Roman"/>
          <w:b w:val="0"/>
          <w:i/>
          <w:sz w:val="24"/>
        </w:rPr>
        <w:t>Keywords: vehicle allocation problem, multi-criteria decision making, mixed-integer linear programming, STL decomposition, exponentially weighted moving average, cosine similarity, assortment optimization, automotive supply chain</w:t>
      </w:r>
    </w:p>
    <w:p>
      <w:r>
        <w:br w:type="page"/>
      </w:r>
    </w:p>
    <w:p>
      <w:pPr>
        <w:spacing w:before="240" w:after="120"/>
        <w:jc w:val="left"/>
      </w:pPr>
      <w:r>
        <w:rPr>
          <w:rFonts w:ascii="Times New Roman" w:hAnsi="Times New Roman"/>
          <w:b/>
          <w:i w:val="0"/>
          <w:sz w:val="28"/>
        </w:rPr>
        <w:t>TABLE OF CONTENTS</w:t>
      </w:r>
    </w:p>
    <w:p>
      <w:pPr>
        <w:spacing w:before="20" w:after="20"/>
        <w:tabs>
          <w:tab w:val="right" w:leader="dot" w:pos="9072"/>
        </w:tabs>
      </w:pPr>
      <w:r>
        <w:rPr>
          <w:rFonts w:ascii="Times New Roman" w:hAnsi="Times New Roman"/>
          <w:b w:val="0"/>
          <w:i w:val="0"/>
          <w:sz w:val="22"/>
        </w:rPr>
        <w:t>Abstract</w:t>
      </w:r>
      <w:r>
        <w:rPr>
          <w:rFonts w:ascii="Times New Roman" w:hAnsi="Times New Roman"/>
          <w:b w:val="0"/>
          <w:i w:val="0"/>
          <w:sz w:val="22"/>
        </w:rPr>
        <w:tab/>
        <w:t>ii</w:t>
      </w:r>
    </w:p>
    <w:p>
      <w:pPr>
        <w:spacing w:before="20" w:after="20"/>
        <w:tabs>
          <w:tab w:val="right" w:leader="dot" w:pos="9072"/>
        </w:tabs>
      </w:pPr>
      <w:r>
        <w:rPr>
          <w:rFonts w:ascii="Times New Roman" w:hAnsi="Times New Roman"/>
          <w:b w:val="0"/>
          <w:i w:val="0"/>
          <w:sz w:val="22"/>
        </w:rPr>
        <w:t>Table of Contents</w:t>
      </w:r>
      <w:r>
        <w:rPr>
          <w:rFonts w:ascii="Times New Roman" w:hAnsi="Times New Roman"/>
          <w:b w:val="0"/>
          <w:i w:val="0"/>
          <w:sz w:val="22"/>
        </w:rPr>
        <w:tab/>
        <w:t>iii</w:t>
      </w:r>
    </w:p>
    <w:p>
      <w:pPr>
        <w:spacing w:before="20" w:after="20"/>
        <w:tabs>
          <w:tab w:val="right" w:leader="dot" w:pos="9072"/>
        </w:tabs>
      </w:pPr>
      <w:r>
        <w:rPr>
          <w:rFonts w:ascii="Times New Roman" w:hAnsi="Times New Roman"/>
          <w:b w:val="0"/>
          <w:i w:val="0"/>
          <w:sz w:val="22"/>
        </w:rPr>
        <w:t>List of Tables</w:t>
      </w:r>
      <w:r>
        <w:rPr>
          <w:rFonts w:ascii="Times New Roman" w:hAnsi="Times New Roman"/>
          <w:b w:val="0"/>
          <w:i w:val="0"/>
          <w:sz w:val="22"/>
        </w:rPr>
        <w:tab/>
        <w:t>iv</w:t>
      </w:r>
    </w:p>
    <w:p>
      <w:pPr>
        <w:spacing w:before="20" w:after="20"/>
        <w:tabs>
          <w:tab w:val="right" w:leader="dot" w:pos="9072"/>
        </w:tabs>
      </w:pPr>
      <w:r>
        <w:rPr>
          <w:rFonts w:ascii="Times New Roman" w:hAnsi="Times New Roman"/>
          <w:b w:val="0"/>
          <w:i w:val="0"/>
          <w:sz w:val="22"/>
        </w:rPr>
        <w:t>List of Figures</w:t>
      </w:r>
      <w:r>
        <w:rPr>
          <w:rFonts w:ascii="Times New Roman" w:hAnsi="Times New Roman"/>
          <w:b w:val="0"/>
          <w:i w:val="0"/>
          <w:sz w:val="22"/>
        </w:rPr>
        <w:tab/>
        <w:t>iv</w:t>
      </w:r>
    </w:p>
    <w:p>
      <w:pPr>
        <w:spacing w:before="20" w:after="20"/>
        <w:tabs>
          <w:tab w:val="right" w:leader="dot" w:pos="9072"/>
        </w:tabs>
      </w:pPr>
      <w:r>
        <w:rPr>
          <w:rFonts w:ascii="Times New Roman" w:hAnsi="Times New Roman"/>
          <w:b w:val="0"/>
          <w:i w:val="0"/>
          <w:sz w:val="22"/>
        </w:rPr>
        <w:t>Abbreviations</w:t>
      </w:r>
      <w:r>
        <w:rPr>
          <w:rFonts w:ascii="Times New Roman" w:hAnsi="Times New Roman"/>
          <w:b w:val="0"/>
          <w:i w:val="0"/>
          <w:sz w:val="22"/>
        </w:rPr>
        <w:tab/>
        <w:t>v</w:t>
      </w:r>
    </w:p>
    <w:p>
      <w:pPr>
        <w:spacing w:before="20" w:after="20"/>
        <w:tabs>
          <w:tab w:val="right" w:leader="dot" w:pos="9072"/>
        </w:tabs>
      </w:pPr>
      <w:r>
        <w:rPr>
          <w:rFonts w:ascii="Times New Roman" w:hAnsi="Times New Roman"/>
          <w:b w:val="0"/>
          <w:i w:val="0"/>
          <w:sz w:val="22"/>
        </w:rPr>
        <w:t>1. Introduction</w:t>
      </w:r>
      <w:r>
        <w:rPr>
          <w:rFonts w:ascii="Times New Roman" w:hAnsi="Times New Roman"/>
          <w:b w:val="0"/>
          <w:i w:val="0"/>
          <w:sz w:val="22"/>
        </w:rPr>
        <w:tab/>
        <w:t>1</w:t>
      </w:r>
    </w:p>
    <w:p>
      <w:pPr>
        <w:spacing w:before="20" w:after="20"/>
        <w:tabs>
          <w:tab w:val="right" w:leader="dot" w:pos="9072"/>
        </w:tabs>
      </w:pPr>
      <w:r>
        <w:rPr>
          <w:rFonts w:ascii="Times New Roman" w:hAnsi="Times New Roman"/>
          <w:b w:val="0"/>
          <w:i w:val="0"/>
          <w:sz w:val="22"/>
        </w:rPr>
        <w:t xml:space="preserve">   1.1 Motivation and Problem Statement</w:t>
      </w:r>
      <w:r>
        <w:rPr>
          <w:rFonts w:ascii="Times New Roman" w:hAnsi="Times New Roman"/>
          <w:b w:val="0"/>
          <w:i w:val="0"/>
          <w:sz w:val="22"/>
        </w:rPr>
        <w:tab/>
        <w:t>1</w:t>
      </w:r>
    </w:p>
    <w:p>
      <w:pPr>
        <w:spacing w:before="20" w:after="20"/>
        <w:tabs>
          <w:tab w:val="right" w:leader="dot" w:pos="9072"/>
        </w:tabs>
      </w:pPr>
      <w:r>
        <w:rPr>
          <w:rFonts w:ascii="Times New Roman" w:hAnsi="Times New Roman"/>
          <w:b w:val="0"/>
          <w:i w:val="0"/>
          <w:sz w:val="22"/>
        </w:rPr>
        <w:t xml:space="preserve">   1.2 Research Objectives</w:t>
      </w:r>
      <w:r>
        <w:rPr>
          <w:rFonts w:ascii="Times New Roman" w:hAnsi="Times New Roman"/>
          <w:b w:val="0"/>
          <w:i w:val="0"/>
          <w:sz w:val="22"/>
        </w:rPr>
        <w:tab/>
        <w:t>3</w:t>
      </w:r>
    </w:p>
    <w:p>
      <w:pPr>
        <w:spacing w:before="20" w:after="20"/>
        <w:tabs>
          <w:tab w:val="right" w:leader="dot" w:pos="9072"/>
        </w:tabs>
      </w:pPr>
      <w:r>
        <w:rPr>
          <w:rFonts w:ascii="Times New Roman" w:hAnsi="Times New Roman"/>
          <w:b w:val="0"/>
          <w:i w:val="0"/>
          <w:sz w:val="22"/>
        </w:rPr>
        <w:t xml:space="preserve">   1.3 Scope and Limitations</w:t>
      </w:r>
      <w:r>
        <w:rPr>
          <w:rFonts w:ascii="Times New Roman" w:hAnsi="Times New Roman"/>
          <w:b w:val="0"/>
          <w:i w:val="0"/>
          <w:sz w:val="22"/>
        </w:rPr>
        <w:tab/>
        <w:t>3</w:t>
      </w:r>
    </w:p>
    <w:p>
      <w:pPr>
        <w:spacing w:before="20" w:after="20"/>
        <w:tabs>
          <w:tab w:val="right" w:leader="dot" w:pos="9072"/>
        </w:tabs>
      </w:pPr>
      <w:r>
        <w:rPr>
          <w:rFonts w:ascii="Times New Roman" w:hAnsi="Times New Roman"/>
          <w:b w:val="0"/>
          <w:i w:val="0"/>
          <w:sz w:val="22"/>
        </w:rPr>
        <w:t xml:space="preserve">   1.4 Thesis Organization</w:t>
      </w:r>
      <w:r>
        <w:rPr>
          <w:rFonts w:ascii="Times New Roman" w:hAnsi="Times New Roman"/>
          <w:b w:val="0"/>
          <w:i w:val="0"/>
          <w:sz w:val="22"/>
        </w:rPr>
        <w:tab/>
        <w:t>4</w:t>
      </w:r>
    </w:p>
    <w:p>
      <w:pPr>
        <w:spacing w:before="20" w:after="20"/>
        <w:tabs>
          <w:tab w:val="right" w:leader="dot" w:pos="9072"/>
        </w:tabs>
      </w:pPr>
      <w:r>
        <w:rPr>
          <w:rFonts w:ascii="Times New Roman" w:hAnsi="Times New Roman"/>
          <w:b w:val="0"/>
          <w:i w:val="0"/>
          <w:sz w:val="22"/>
        </w:rPr>
        <w:t>2. Literature Review</w:t>
      </w:r>
      <w:r>
        <w:rPr>
          <w:rFonts w:ascii="Times New Roman" w:hAnsi="Times New Roman"/>
          <w:b w:val="0"/>
          <w:i w:val="0"/>
          <w:sz w:val="22"/>
        </w:rPr>
        <w:tab/>
        <w:t>5</w:t>
      </w:r>
    </w:p>
    <w:p>
      <w:pPr>
        <w:spacing w:before="20" w:after="20"/>
        <w:tabs>
          <w:tab w:val="right" w:leader="dot" w:pos="9072"/>
        </w:tabs>
      </w:pPr>
      <w:r>
        <w:rPr>
          <w:rFonts w:ascii="Times New Roman" w:hAnsi="Times New Roman"/>
          <w:b w:val="0"/>
          <w:i w:val="0"/>
          <w:sz w:val="22"/>
        </w:rPr>
        <w:t xml:space="preserve">   2.1 Vehicle Allocation Problem</w:t>
      </w:r>
      <w:r>
        <w:rPr>
          <w:rFonts w:ascii="Times New Roman" w:hAnsi="Times New Roman"/>
          <w:b w:val="0"/>
          <w:i w:val="0"/>
          <w:sz w:val="22"/>
        </w:rPr>
        <w:tab/>
        <w:t>5</w:t>
      </w:r>
    </w:p>
    <w:p>
      <w:pPr>
        <w:spacing w:before="20" w:after="20"/>
        <w:tabs>
          <w:tab w:val="right" w:leader="dot" w:pos="9072"/>
        </w:tabs>
      </w:pPr>
      <w:r>
        <w:rPr>
          <w:rFonts w:ascii="Times New Roman" w:hAnsi="Times New Roman"/>
          <w:b w:val="0"/>
          <w:i w:val="0"/>
          <w:sz w:val="22"/>
        </w:rPr>
        <w:t xml:space="preserve">   2.2 Time Series Forecasting in Automotive Contexts</w:t>
      </w:r>
      <w:r>
        <w:rPr>
          <w:rFonts w:ascii="Times New Roman" w:hAnsi="Times New Roman"/>
          <w:b w:val="0"/>
          <w:i w:val="0"/>
          <w:sz w:val="22"/>
        </w:rPr>
        <w:tab/>
        <w:t>6</w:t>
      </w:r>
    </w:p>
    <w:p>
      <w:pPr>
        <w:spacing w:before="20" w:after="20"/>
        <w:tabs>
          <w:tab w:val="right" w:leader="dot" w:pos="9072"/>
        </w:tabs>
      </w:pPr>
      <w:r>
        <w:rPr>
          <w:rFonts w:ascii="Times New Roman" w:hAnsi="Times New Roman"/>
          <w:b w:val="0"/>
          <w:i w:val="0"/>
          <w:sz w:val="22"/>
        </w:rPr>
        <w:t xml:space="preserve">   2.3 Multi-Criteria Decision Making in Inventory Allocation</w:t>
      </w:r>
      <w:r>
        <w:rPr>
          <w:rFonts w:ascii="Times New Roman" w:hAnsi="Times New Roman"/>
          <w:b w:val="0"/>
          <w:i w:val="0"/>
          <w:sz w:val="22"/>
        </w:rPr>
        <w:tab/>
        <w:t>7</w:t>
      </w:r>
    </w:p>
    <w:p>
      <w:pPr>
        <w:spacing w:before="20" w:after="20"/>
        <w:tabs>
          <w:tab w:val="right" w:leader="dot" w:pos="9072"/>
        </w:tabs>
      </w:pPr>
      <w:r>
        <w:rPr>
          <w:rFonts w:ascii="Times New Roman" w:hAnsi="Times New Roman"/>
          <w:b w:val="0"/>
          <w:i w:val="0"/>
          <w:sz w:val="22"/>
        </w:rPr>
        <w:t xml:space="preserve">   2.4 Assortment Optimization and Collaborative Filtering</w:t>
      </w:r>
      <w:r>
        <w:rPr>
          <w:rFonts w:ascii="Times New Roman" w:hAnsi="Times New Roman"/>
          <w:b w:val="0"/>
          <w:i w:val="0"/>
          <w:sz w:val="22"/>
        </w:rPr>
        <w:tab/>
        <w:t>8</w:t>
      </w:r>
    </w:p>
    <w:p>
      <w:pPr>
        <w:spacing w:before="20" w:after="20"/>
        <w:tabs>
          <w:tab w:val="right" w:leader="dot" w:pos="9072"/>
        </w:tabs>
      </w:pPr>
      <w:r>
        <w:rPr>
          <w:rFonts w:ascii="Times New Roman" w:hAnsi="Times New Roman"/>
          <w:b w:val="0"/>
          <w:i w:val="0"/>
          <w:sz w:val="22"/>
        </w:rPr>
        <w:t xml:space="preserve">   2.5 Mixed-Integer Linear Programming for Distribution</w:t>
      </w:r>
      <w:r>
        <w:rPr>
          <w:rFonts w:ascii="Times New Roman" w:hAnsi="Times New Roman"/>
          <w:b w:val="0"/>
          <w:i w:val="0"/>
          <w:sz w:val="22"/>
        </w:rPr>
        <w:tab/>
        <w:t>9</w:t>
      </w:r>
    </w:p>
    <w:p>
      <w:pPr>
        <w:spacing w:before="20" w:after="20"/>
        <w:tabs>
          <w:tab w:val="right" w:leader="dot" w:pos="9072"/>
        </w:tabs>
      </w:pPr>
      <w:r>
        <w:rPr>
          <w:rFonts w:ascii="Times New Roman" w:hAnsi="Times New Roman"/>
          <w:b w:val="0"/>
          <w:i w:val="0"/>
          <w:sz w:val="22"/>
        </w:rPr>
        <w:t>3. System Architecture and Data</w:t>
      </w:r>
      <w:r>
        <w:rPr>
          <w:rFonts w:ascii="Times New Roman" w:hAnsi="Times New Roman"/>
          <w:b w:val="0"/>
          <w:i w:val="0"/>
          <w:sz w:val="22"/>
        </w:rPr>
        <w:tab/>
        <w:t>10</w:t>
      </w:r>
    </w:p>
    <w:p>
      <w:pPr>
        <w:spacing w:before="20" w:after="20"/>
        <w:tabs>
          <w:tab w:val="right" w:leader="dot" w:pos="9072"/>
        </w:tabs>
      </w:pPr>
      <w:r>
        <w:rPr>
          <w:rFonts w:ascii="Times New Roman" w:hAnsi="Times New Roman"/>
          <w:b w:val="0"/>
          <w:i w:val="0"/>
          <w:sz w:val="22"/>
        </w:rPr>
        <w:t xml:space="preserve">   3.1 Overall Three-Layer Architecture</w:t>
      </w:r>
      <w:r>
        <w:rPr>
          <w:rFonts w:ascii="Times New Roman" w:hAnsi="Times New Roman"/>
          <w:b w:val="0"/>
          <w:i w:val="0"/>
          <w:sz w:val="22"/>
        </w:rPr>
        <w:tab/>
        <w:t>10</w:t>
      </w:r>
    </w:p>
    <w:p>
      <w:pPr>
        <w:spacing w:before="20" w:after="20"/>
        <w:tabs>
          <w:tab w:val="right" w:leader="dot" w:pos="9072"/>
        </w:tabs>
      </w:pPr>
      <w:r>
        <w:rPr>
          <w:rFonts w:ascii="Times New Roman" w:hAnsi="Times New Roman"/>
          <w:b w:val="0"/>
          <w:i w:val="0"/>
          <w:sz w:val="22"/>
        </w:rPr>
        <w:t xml:space="preserve">   3.2 Data Sources and Preprocessing</w:t>
      </w:r>
      <w:r>
        <w:rPr>
          <w:rFonts w:ascii="Times New Roman" w:hAnsi="Times New Roman"/>
          <w:b w:val="0"/>
          <w:i w:val="0"/>
          <w:sz w:val="22"/>
        </w:rPr>
        <w:tab/>
        <w:t>11</w:t>
      </w:r>
    </w:p>
    <w:p>
      <w:pPr>
        <w:spacing w:before="20" w:after="20"/>
        <w:tabs>
          <w:tab w:val="right" w:leader="dot" w:pos="9072"/>
        </w:tabs>
      </w:pPr>
      <w:r>
        <w:rPr>
          <w:rFonts w:ascii="Times New Roman" w:hAnsi="Times New Roman"/>
          <w:b w:val="0"/>
          <w:i w:val="0"/>
          <w:sz w:val="22"/>
        </w:rPr>
        <w:t xml:space="preserve">   3.3 Vehicle Portfolio and Market Structure</w:t>
      </w:r>
      <w:r>
        <w:rPr>
          <w:rFonts w:ascii="Times New Roman" w:hAnsi="Times New Roman"/>
          <w:b w:val="0"/>
          <w:i w:val="0"/>
          <w:sz w:val="22"/>
        </w:rPr>
        <w:tab/>
        <w:t>12</w:t>
      </w:r>
    </w:p>
    <w:p>
      <w:pPr>
        <w:spacing w:before="20" w:after="20"/>
        <w:tabs>
          <w:tab w:val="right" w:leader="dot" w:pos="9072"/>
        </w:tabs>
      </w:pPr>
      <w:r>
        <w:rPr>
          <w:rFonts w:ascii="Times New Roman" w:hAnsi="Times New Roman"/>
          <w:b w:val="0"/>
          <w:i w:val="0"/>
          <w:sz w:val="22"/>
        </w:rPr>
        <w:t>4. Layer 1: Demand Forecasting</w:t>
      </w:r>
      <w:r>
        <w:rPr>
          <w:rFonts w:ascii="Times New Roman" w:hAnsi="Times New Roman"/>
          <w:b w:val="0"/>
          <w:i w:val="0"/>
          <w:sz w:val="22"/>
        </w:rPr>
        <w:tab/>
        <w:t>13</w:t>
      </w:r>
    </w:p>
    <w:p>
      <w:pPr>
        <w:spacing w:before="20" w:after="20"/>
        <w:tabs>
          <w:tab w:val="right" w:leader="dot" w:pos="9072"/>
        </w:tabs>
      </w:pPr>
      <w:r>
        <w:rPr>
          <w:rFonts w:ascii="Times New Roman" w:hAnsi="Times New Roman"/>
          <w:b w:val="0"/>
          <w:i w:val="0"/>
          <w:sz w:val="22"/>
        </w:rPr>
        <w:t xml:space="preserve">   4.1 STL Decomposition</w:t>
      </w:r>
      <w:r>
        <w:rPr>
          <w:rFonts w:ascii="Times New Roman" w:hAnsi="Times New Roman"/>
          <w:b w:val="0"/>
          <w:i w:val="0"/>
          <w:sz w:val="22"/>
        </w:rPr>
        <w:tab/>
        <w:t>13</w:t>
      </w:r>
    </w:p>
    <w:p>
      <w:pPr>
        <w:spacing w:before="20" w:after="20"/>
        <w:tabs>
          <w:tab w:val="right" w:leader="dot" w:pos="9072"/>
        </w:tabs>
      </w:pPr>
      <w:r>
        <w:rPr>
          <w:rFonts w:ascii="Times New Roman" w:hAnsi="Times New Roman"/>
          <w:b w:val="0"/>
          <w:i w:val="0"/>
          <w:sz w:val="22"/>
        </w:rPr>
        <w:t xml:space="preserve">   4.2 Prophet Market Forecast</w:t>
      </w:r>
      <w:r>
        <w:rPr>
          <w:rFonts w:ascii="Times New Roman" w:hAnsi="Times New Roman"/>
          <w:b w:val="0"/>
          <w:i w:val="0"/>
          <w:sz w:val="22"/>
        </w:rPr>
        <w:tab/>
        <w:t>15</w:t>
      </w:r>
    </w:p>
    <w:p>
      <w:pPr>
        <w:spacing w:before="20" w:after="20"/>
        <w:tabs>
          <w:tab w:val="right" w:leader="dot" w:pos="9072"/>
        </w:tabs>
      </w:pPr>
      <w:r>
        <w:rPr>
          <w:rFonts w:ascii="Times New Roman" w:hAnsi="Times New Roman"/>
          <w:b w:val="0"/>
          <w:i w:val="0"/>
          <w:sz w:val="22"/>
        </w:rPr>
        <w:t xml:space="preserve">   4.3 Exponentially Weighted Moving Average</w:t>
      </w:r>
      <w:r>
        <w:rPr>
          <w:rFonts w:ascii="Times New Roman" w:hAnsi="Times New Roman"/>
          <w:b w:val="0"/>
          <w:i w:val="0"/>
          <w:sz w:val="22"/>
        </w:rPr>
        <w:tab/>
        <w:t>16</w:t>
      </w:r>
    </w:p>
    <w:p>
      <w:pPr>
        <w:spacing w:before="20" w:after="20"/>
        <w:tabs>
          <w:tab w:val="right" w:leader="dot" w:pos="9072"/>
        </w:tabs>
      </w:pPr>
      <w:r>
        <w:rPr>
          <w:rFonts w:ascii="Times New Roman" w:hAnsi="Times New Roman"/>
          <w:b w:val="0"/>
          <w:i w:val="0"/>
          <w:sz w:val="22"/>
        </w:rPr>
        <w:t xml:space="preserve">   4.4 Launch Boost Factor</w:t>
      </w:r>
      <w:r>
        <w:rPr>
          <w:rFonts w:ascii="Times New Roman" w:hAnsi="Times New Roman"/>
          <w:b w:val="0"/>
          <w:i w:val="0"/>
          <w:sz w:val="22"/>
        </w:rPr>
        <w:tab/>
        <w:t>18</w:t>
      </w:r>
    </w:p>
    <w:p>
      <w:pPr>
        <w:spacing w:before="20" w:after="20"/>
        <w:tabs>
          <w:tab w:val="right" w:leader="dot" w:pos="9072"/>
        </w:tabs>
      </w:pPr>
      <w:r>
        <w:rPr>
          <w:rFonts w:ascii="Times New Roman" w:hAnsi="Times New Roman"/>
          <w:b w:val="0"/>
          <w:i w:val="0"/>
          <w:sz w:val="22"/>
        </w:rPr>
        <w:t>5. Layer 2: Multi-Criteria Dealer Scoring</w:t>
      </w:r>
      <w:r>
        <w:rPr>
          <w:rFonts w:ascii="Times New Roman" w:hAnsi="Times New Roman"/>
          <w:b w:val="0"/>
          <w:i w:val="0"/>
          <w:sz w:val="22"/>
        </w:rPr>
        <w:tab/>
        <w:t>19</w:t>
      </w:r>
    </w:p>
    <w:p>
      <w:pPr>
        <w:spacing w:before="20" w:after="20"/>
        <w:tabs>
          <w:tab w:val="right" w:leader="dot" w:pos="9072"/>
        </w:tabs>
      </w:pPr>
      <w:r>
        <w:rPr>
          <w:rFonts w:ascii="Times New Roman" w:hAnsi="Times New Roman"/>
          <w:b w:val="0"/>
          <w:i w:val="0"/>
          <w:sz w:val="22"/>
        </w:rPr>
        <w:t xml:space="preserve">   5.1 Performance Score (P)</w:t>
      </w:r>
      <w:r>
        <w:rPr>
          <w:rFonts w:ascii="Times New Roman" w:hAnsi="Times New Roman"/>
          <w:b w:val="0"/>
          <w:i w:val="0"/>
          <w:sz w:val="22"/>
        </w:rPr>
        <w:tab/>
        <w:t>19</w:t>
      </w:r>
    </w:p>
    <w:p>
      <w:pPr>
        <w:spacing w:before="20" w:after="20"/>
        <w:tabs>
          <w:tab w:val="right" w:leader="dot" w:pos="9072"/>
        </w:tabs>
      </w:pPr>
      <w:r>
        <w:rPr>
          <w:rFonts w:ascii="Times New Roman" w:hAnsi="Times New Roman"/>
          <w:b w:val="0"/>
          <w:i w:val="0"/>
          <w:sz w:val="22"/>
        </w:rPr>
        <w:t xml:space="preserve">   5.2 Location-Product Fit Score (LP)</w:t>
      </w:r>
      <w:r>
        <w:rPr>
          <w:rFonts w:ascii="Times New Roman" w:hAnsi="Times New Roman"/>
          <w:b w:val="0"/>
          <w:i w:val="0"/>
          <w:sz w:val="22"/>
        </w:rPr>
        <w:tab/>
        <w:t>20</w:t>
      </w:r>
    </w:p>
    <w:p>
      <w:pPr>
        <w:spacing w:before="20" w:after="20"/>
        <w:tabs>
          <w:tab w:val="right" w:leader="dot" w:pos="9072"/>
        </w:tabs>
      </w:pPr>
      <w:r>
        <w:rPr>
          <w:rFonts w:ascii="Times New Roman" w:hAnsi="Times New Roman"/>
          <w:b w:val="0"/>
          <w:i w:val="0"/>
          <w:sz w:val="22"/>
        </w:rPr>
        <w:t xml:space="preserve">   5.3 Seasonal Alignment Score (S)</w:t>
      </w:r>
      <w:r>
        <w:rPr>
          <w:rFonts w:ascii="Times New Roman" w:hAnsi="Times New Roman"/>
          <w:b w:val="0"/>
          <w:i w:val="0"/>
          <w:sz w:val="22"/>
        </w:rPr>
        <w:tab/>
        <w:t>21</w:t>
      </w:r>
    </w:p>
    <w:p>
      <w:pPr>
        <w:spacing w:before="20" w:after="20"/>
        <w:tabs>
          <w:tab w:val="right" w:leader="dot" w:pos="9072"/>
        </w:tabs>
      </w:pPr>
      <w:r>
        <w:rPr>
          <w:rFonts w:ascii="Times New Roman" w:hAnsi="Times New Roman"/>
          <w:b w:val="0"/>
          <w:i w:val="0"/>
          <w:sz w:val="22"/>
        </w:rPr>
        <w:t xml:space="preserve">   5.4 Target Proximity Score (H)</w:t>
      </w:r>
      <w:r>
        <w:rPr>
          <w:rFonts w:ascii="Times New Roman" w:hAnsi="Times New Roman"/>
          <w:b w:val="0"/>
          <w:i w:val="0"/>
          <w:sz w:val="22"/>
        </w:rPr>
        <w:tab/>
        <w:t>22</w:t>
      </w:r>
    </w:p>
    <w:p>
      <w:pPr>
        <w:spacing w:before="20" w:after="20"/>
        <w:tabs>
          <w:tab w:val="right" w:leader="dot" w:pos="9072"/>
        </w:tabs>
      </w:pPr>
      <w:r>
        <w:rPr>
          <w:rFonts w:ascii="Times New Roman" w:hAnsi="Times New Roman"/>
          <w:b w:val="0"/>
          <w:i w:val="0"/>
          <w:sz w:val="22"/>
        </w:rPr>
        <w:t xml:space="preserve">   5.5 Composite Score Computation</w:t>
      </w:r>
      <w:r>
        <w:rPr>
          <w:rFonts w:ascii="Times New Roman" w:hAnsi="Times New Roman"/>
          <w:b w:val="0"/>
          <w:i w:val="0"/>
          <w:sz w:val="22"/>
        </w:rPr>
        <w:tab/>
        <w:t>23</w:t>
      </w:r>
    </w:p>
    <w:p>
      <w:pPr>
        <w:spacing w:before="20" w:after="20"/>
        <w:tabs>
          <w:tab w:val="right" w:leader="dot" w:pos="9072"/>
        </w:tabs>
      </w:pPr>
      <w:r>
        <w:rPr>
          <w:rFonts w:ascii="Times New Roman" w:hAnsi="Times New Roman"/>
          <w:b w:val="0"/>
          <w:i w:val="0"/>
          <w:sz w:val="22"/>
        </w:rPr>
        <w:t>6. Layer 3: MILP Allocation Model</w:t>
      </w:r>
      <w:r>
        <w:rPr>
          <w:rFonts w:ascii="Times New Roman" w:hAnsi="Times New Roman"/>
          <w:b w:val="0"/>
          <w:i w:val="0"/>
          <w:sz w:val="22"/>
        </w:rPr>
        <w:tab/>
        <w:t>24</w:t>
      </w:r>
    </w:p>
    <w:p>
      <w:pPr>
        <w:spacing w:before="20" w:after="20"/>
        <w:tabs>
          <w:tab w:val="right" w:leader="dot" w:pos="9072"/>
        </w:tabs>
      </w:pPr>
      <w:r>
        <w:rPr>
          <w:rFonts w:ascii="Times New Roman" w:hAnsi="Times New Roman"/>
          <w:b w:val="0"/>
          <w:i w:val="0"/>
          <w:sz w:val="22"/>
        </w:rPr>
        <w:t xml:space="preserve">   6.1 Problem Formulation</w:t>
      </w:r>
      <w:r>
        <w:rPr>
          <w:rFonts w:ascii="Times New Roman" w:hAnsi="Times New Roman"/>
          <w:b w:val="0"/>
          <w:i w:val="0"/>
          <w:sz w:val="22"/>
        </w:rPr>
        <w:tab/>
        <w:t>24</w:t>
      </w:r>
    </w:p>
    <w:p>
      <w:pPr>
        <w:spacing w:before="20" w:after="20"/>
        <w:tabs>
          <w:tab w:val="right" w:leader="dot" w:pos="9072"/>
        </w:tabs>
      </w:pPr>
      <w:r>
        <w:rPr>
          <w:rFonts w:ascii="Times New Roman" w:hAnsi="Times New Roman"/>
          <w:b w:val="0"/>
          <w:i w:val="0"/>
          <w:sz w:val="22"/>
        </w:rPr>
        <w:t xml:space="preserve">   6.2 Market-Share-Based Quota Distribution</w:t>
      </w:r>
      <w:r>
        <w:rPr>
          <w:rFonts w:ascii="Times New Roman" w:hAnsi="Times New Roman"/>
          <w:b w:val="0"/>
          <w:i w:val="0"/>
          <w:sz w:val="22"/>
        </w:rPr>
        <w:tab/>
        <w:t>25</w:t>
      </w:r>
    </w:p>
    <w:p>
      <w:pPr>
        <w:spacing w:before="20" w:after="20"/>
        <w:tabs>
          <w:tab w:val="right" w:leader="dot" w:pos="9072"/>
        </w:tabs>
      </w:pPr>
      <w:r>
        <w:rPr>
          <w:rFonts w:ascii="Times New Roman" w:hAnsi="Times New Roman"/>
          <w:b w:val="0"/>
          <w:i w:val="0"/>
          <w:sz w:val="22"/>
        </w:rPr>
        <w:t xml:space="preserve">   6.3 Implementation with PuLP and CBC</w:t>
      </w:r>
      <w:r>
        <w:rPr>
          <w:rFonts w:ascii="Times New Roman" w:hAnsi="Times New Roman"/>
          <w:b w:val="0"/>
          <w:i w:val="0"/>
          <w:sz w:val="22"/>
        </w:rPr>
        <w:tab/>
        <w:t>26</w:t>
      </w:r>
    </w:p>
    <w:p>
      <w:pPr>
        <w:spacing w:before="20" w:after="20"/>
        <w:tabs>
          <w:tab w:val="right" w:leader="dot" w:pos="9072"/>
        </w:tabs>
      </w:pPr>
      <w:r>
        <w:rPr>
          <w:rFonts w:ascii="Times New Roman" w:hAnsi="Times New Roman"/>
          <w:b w:val="0"/>
          <w:i w:val="0"/>
          <w:sz w:val="22"/>
        </w:rPr>
        <w:t>7. January 2026 Case Study</w:t>
      </w:r>
      <w:r>
        <w:rPr>
          <w:rFonts w:ascii="Times New Roman" w:hAnsi="Times New Roman"/>
          <w:b w:val="0"/>
          <w:i w:val="0"/>
          <w:sz w:val="22"/>
        </w:rPr>
        <w:tab/>
        <w:t>27</w:t>
      </w:r>
    </w:p>
    <w:p>
      <w:pPr>
        <w:spacing w:before="20" w:after="20"/>
        <w:tabs>
          <w:tab w:val="right" w:leader="dot" w:pos="9072"/>
        </w:tabs>
      </w:pPr>
      <w:r>
        <w:rPr>
          <w:rFonts w:ascii="Times New Roman" w:hAnsi="Times New Roman"/>
          <w:b w:val="0"/>
          <w:i w:val="0"/>
          <w:sz w:val="22"/>
        </w:rPr>
        <w:t xml:space="preserve">   7.1 Input Data and Parameters</w:t>
      </w:r>
      <w:r>
        <w:rPr>
          <w:rFonts w:ascii="Times New Roman" w:hAnsi="Times New Roman"/>
          <w:b w:val="0"/>
          <w:i w:val="0"/>
          <w:sz w:val="22"/>
        </w:rPr>
        <w:tab/>
        <w:t>27</w:t>
      </w:r>
    </w:p>
    <w:p>
      <w:pPr>
        <w:spacing w:before="20" w:after="20"/>
        <w:tabs>
          <w:tab w:val="right" w:leader="dot" w:pos="9072"/>
        </w:tabs>
      </w:pPr>
      <w:r>
        <w:rPr>
          <w:rFonts w:ascii="Times New Roman" w:hAnsi="Times New Roman"/>
          <w:b w:val="0"/>
          <w:i w:val="0"/>
          <w:sz w:val="22"/>
        </w:rPr>
        <w:t xml:space="preserve">   7.2 Allocation Results</w:t>
      </w:r>
      <w:r>
        <w:rPr>
          <w:rFonts w:ascii="Times New Roman" w:hAnsi="Times New Roman"/>
          <w:b w:val="0"/>
          <w:i w:val="0"/>
          <w:sz w:val="22"/>
        </w:rPr>
        <w:tab/>
        <w:t>28</w:t>
      </w:r>
    </w:p>
    <w:p>
      <w:pPr>
        <w:spacing w:before="20" w:after="20"/>
        <w:tabs>
          <w:tab w:val="right" w:leader="dot" w:pos="9072"/>
        </w:tabs>
      </w:pPr>
      <w:r>
        <w:rPr>
          <w:rFonts w:ascii="Times New Roman" w:hAnsi="Times New Roman"/>
          <w:b w:val="0"/>
          <w:i w:val="0"/>
          <w:sz w:val="22"/>
        </w:rPr>
        <w:t xml:space="preserve">   7.3 Sensitivity Analysis</w:t>
      </w:r>
      <w:r>
        <w:rPr>
          <w:rFonts w:ascii="Times New Roman" w:hAnsi="Times New Roman"/>
          <w:b w:val="0"/>
          <w:i w:val="0"/>
          <w:sz w:val="22"/>
        </w:rPr>
        <w:tab/>
        <w:t>29</w:t>
      </w:r>
    </w:p>
    <w:p>
      <w:pPr>
        <w:spacing w:before="20" w:after="20"/>
        <w:tabs>
          <w:tab w:val="right" w:leader="dot" w:pos="9072"/>
        </w:tabs>
      </w:pPr>
      <w:r>
        <w:rPr>
          <w:rFonts w:ascii="Times New Roman" w:hAnsi="Times New Roman"/>
          <w:b w:val="0"/>
          <w:i w:val="0"/>
          <w:sz w:val="22"/>
        </w:rPr>
        <w:t>8. Dashboard and Deployment</w:t>
      </w:r>
      <w:r>
        <w:rPr>
          <w:rFonts w:ascii="Times New Roman" w:hAnsi="Times New Roman"/>
          <w:b w:val="0"/>
          <w:i w:val="0"/>
          <w:sz w:val="22"/>
        </w:rPr>
        <w:tab/>
        <w:t>30</w:t>
      </w:r>
    </w:p>
    <w:p>
      <w:pPr>
        <w:spacing w:before="20" w:after="20"/>
        <w:tabs>
          <w:tab w:val="right" w:leader="dot" w:pos="9072"/>
        </w:tabs>
      </w:pPr>
      <w:r>
        <w:rPr>
          <w:rFonts w:ascii="Times New Roman" w:hAnsi="Times New Roman"/>
          <w:b w:val="0"/>
          <w:i w:val="0"/>
          <w:sz w:val="22"/>
        </w:rPr>
        <w:t>9. Conclusions and Future Work</w:t>
      </w:r>
      <w:r>
        <w:rPr>
          <w:rFonts w:ascii="Times New Roman" w:hAnsi="Times New Roman"/>
          <w:b w:val="0"/>
          <w:i w:val="0"/>
          <w:sz w:val="22"/>
        </w:rPr>
        <w:tab/>
        <w:t>31</w:t>
      </w:r>
    </w:p>
    <w:p>
      <w:pPr>
        <w:spacing w:before="20" w:after="20"/>
        <w:tabs>
          <w:tab w:val="right" w:leader="dot" w:pos="9072"/>
        </w:tabs>
      </w:pPr>
      <w:r>
        <w:rPr>
          <w:rFonts w:ascii="Times New Roman" w:hAnsi="Times New Roman"/>
          <w:b w:val="0"/>
          <w:i w:val="0"/>
          <w:sz w:val="22"/>
        </w:rPr>
        <w:t>References</w:t>
      </w:r>
      <w:r>
        <w:rPr>
          <w:rFonts w:ascii="Times New Roman" w:hAnsi="Times New Roman"/>
          <w:b w:val="0"/>
          <w:i w:val="0"/>
          <w:sz w:val="22"/>
        </w:rPr>
        <w:tab/>
        <w:t>33</w:t>
      </w:r>
    </w:p>
    <w:p>
      <w:r>
        <w:br w:type="page"/>
      </w:r>
    </w:p>
    <w:p>
      <w:pPr>
        <w:spacing w:before="240" w:after="120"/>
        <w:jc w:val="left"/>
      </w:pPr>
      <w:r>
        <w:rPr>
          <w:rFonts w:ascii="Times New Roman" w:hAnsi="Times New Roman"/>
          <w:b/>
          <w:i w:val="0"/>
          <w:sz w:val="28"/>
        </w:rPr>
        <w:t>LIST OF TABLES</w:t>
      </w:r>
    </w:p>
    <w:p>
      <w:pPr>
        <w:spacing w:before="20" w:after="20"/>
        <w:tabs>
          <w:tab w:val="right" w:leader="dot" w:pos="9072"/>
        </w:tabs>
      </w:pPr>
      <w:r>
        <w:rPr>
          <w:rFonts w:ascii="Times New Roman" w:hAnsi="Times New Roman"/>
          <w:b w:val="0"/>
          <w:i w:val="0"/>
          <w:sz w:val="22"/>
        </w:rPr>
        <w:t>Table 1. Sets and Parameters of the MILP Model</w:t>
      </w:r>
      <w:r>
        <w:rPr>
          <w:rFonts w:ascii="Times New Roman" w:hAnsi="Times New Roman"/>
          <w:b w:val="0"/>
          <w:i w:val="0"/>
          <w:sz w:val="22"/>
        </w:rPr>
        <w:tab/>
        <w:t>24</w:t>
      </w:r>
    </w:p>
    <w:p>
      <w:pPr>
        <w:spacing w:before="20" w:after="20"/>
        <w:tabs>
          <w:tab w:val="right" w:leader="dot" w:pos="9072"/>
        </w:tabs>
      </w:pPr>
      <w:r>
        <w:rPr>
          <w:rFonts w:ascii="Times New Roman" w:hAnsi="Times New Roman"/>
          <w:b w:val="0"/>
          <w:i w:val="0"/>
          <w:sz w:val="22"/>
        </w:rPr>
        <w:t>Table 2. MCDM Criteria Summary</w:t>
      </w:r>
      <w:r>
        <w:rPr>
          <w:rFonts w:ascii="Times New Roman" w:hAnsi="Times New Roman"/>
          <w:b w:val="0"/>
          <w:i w:val="0"/>
          <w:sz w:val="22"/>
        </w:rPr>
        <w:tab/>
        <w:t>19</w:t>
      </w:r>
    </w:p>
    <w:p>
      <w:pPr>
        <w:spacing w:before="20" w:after="20"/>
        <w:tabs>
          <w:tab w:val="right" w:leader="dot" w:pos="9072"/>
        </w:tabs>
      </w:pPr>
      <w:r>
        <w:rPr>
          <w:rFonts w:ascii="Times New Roman" w:hAnsi="Times New Roman"/>
          <w:b w:val="0"/>
          <w:i w:val="0"/>
          <w:sz w:val="22"/>
        </w:rPr>
        <w:t>Table 3. EW Window Analysis Results (W = 3 to W = 10)</w:t>
      </w:r>
      <w:r>
        <w:rPr>
          <w:rFonts w:ascii="Times New Roman" w:hAnsi="Times New Roman"/>
          <w:b w:val="0"/>
          <w:i w:val="0"/>
          <w:sz w:val="22"/>
        </w:rPr>
        <w:tab/>
        <w:t>17</w:t>
      </w:r>
    </w:p>
    <w:p>
      <w:pPr>
        <w:spacing w:before="20" w:after="20"/>
        <w:tabs>
          <w:tab w:val="right" w:leader="dot" w:pos="9072"/>
        </w:tabs>
      </w:pPr>
      <w:r>
        <w:rPr>
          <w:rFonts w:ascii="Times New Roman" w:hAnsi="Times New Roman"/>
          <w:b w:val="0"/>
          <w:i w:val="0"/>
          <w:sz w:val="22"/>
        </w:rPr>
        <w:t>Table 4. January 2026 Allocation Summary by Model Group</w:t>
      </w:r>
      <w:r>
        <w:rPr>
          <w:rFonts w:ascii="Times New Roman" w:hAnsi="Times New Roman"/>
          <w:b w:val="0"/>
          <w:i w:val="0"/>
          <w:sz w:val="22"/>
        </w:rPr>
        <w:tab/>
        <w:t>28</w:t>
      </w:r>
    </w:p>
    <w:p>
      <w:pPr>
        <w:spacing w:before="0" w:after="0"/>
      </w:pPr>
    </w:p>
    <w:p>
      <w:pPr>
        <w:spacing w:before="240" w:after="120"/>
        <w:jc w:val="left"/>
      </w:pPr>
      <w:r>
        <w:rPr>
          <w:rFonts w:ascii="Times New Roman" w:hAnsi="Times New Roman"/>
          <w:b/>
          <w:i w:val="0"/>
          <w:sz w:val="28"/>
        </w:rPr>
        <w:t>LIST OF FIGURES</w:t>
      </w:r>
    </w:p>
    <w:p>
      <w:pPr>
        <w:spacing w:before="20" w:after="20"/>
        <w:tabs>
          <w:tab w:val="right" w:leader="dot" w:pos="9072"/>
        </w:tabs>
      </w:pPr>
      <w:r>
        <w:rPr>
          <w:rFonts w:ascii="Times New Roman" w:hAnsi="Times New Roman"/>
          <w:b w:val="0"/>
          <w:i w:val="0"/>
          <w:sz w:val="22"/>
        </w:rPr>
        <w:t>Figure 1. System Architecture Overview (Three-Layer Framework)</w:t>
      </w:r>
      <w:r>
        <w:rPr>
          <w:rFonts w:ascii="Times New Roman" w:hAnsi="Times New Roman"/>
          <w:b w:val="0"/>
          <w:i w:val="0"/>
          <w:sz w:val="22"/>
        </w:rPr>
        <w:tab/>
        <w:t>10</w:t>
      </w:r>
    </w:p>
    <w:p>
      <w:pPr>
        <w:spacing w:before="20" w:after="20"/>
        <w:tabs>
          <w:tab w:val="right" w:leader="dot" w:pos="9072"/>
        </w:tabs>
      </w:pPr>
      <w:r>
        <w:rPr>
          <w:rFonts w:ascii="Times New Roman" w:hAnsi="Times New Roman"/>
          <w:b w:val="0"/>
          <w:i w:val="0"/>
          <w:sz w:val="22"/>
        </w:rPr>
        <w:t>Figure 2. STL Decomposition Example — Brand Monthly Sales 2024–2025</w:t>
      </w:r>
      <w:r>
        <w:rPr>
          <w:rFonts w:ascii="Times New Roman" w:hAnsi="Times New Roman"/>
          <w:b w:val="0"/>
          <w:i w:val="0"/>
          <w:sz w:val="22"/>
        </w:rPr>
        <w:tab/>
        <w:t>14</w:t>
      </w:r>
    </w:p>
    <w:p>
      <w:pPr>
        <w:spacing w:before="20" w:after="20"/>
        <w:tabs>
          <w:tab w:val="right" w:leader="dot" w:pos="9072"/>
        </w:tabs>
      </w:pPr>
      <w:r>
        <w:rPr>
          <w:rFonts w:ascii="Times New Roman" w:hAnsi="Times New Roman"/>
          <w:b w:val="0"/>
          <w:i w:val="0"/>
          <w:sz w:val="22"/>
        </w:rPr>
        <w:t>Figure 3. Seasonal Index by Month for All Vehicle Model Groups</w:t>
      </w:r>
      <w:r>
        <w:rPr>
          <w:rFonts w:ascii="Times New Roman" w:hAnsi="Times New Roman"/>
          <w:b w:val="0"/>
          <w:i w:val="0"/>
          <w:sz w:val="22"/>
        </w:rPr>
        <w:tab/>
        <w:t>15</w:t>
      </w:r>
    </w:p>
    <w:p>
      <w:pPr>
        <w:spacing w:before="20" w:after="20"/>
        <w:tabs>
          <w:tab w:val="right" w:leader="dot" w:pos="9072"/>
        </w:tabs>
      </w:pPr>
      <w:r>
        <w:rPr>
          <w:rFonts w:ascii="Times New Roman" w:hAnsi="Times New Roman"/>
          <w:b w:val="0"/>
          <w:i w:val="0"/>
          <w:sz w:val="22"/>
        </w:rPr>
        <w:t>Figure 4. EW Window MAE Comparison Chart (W = 3 to W = 19)</w:t>
      </w:r>
      <w:r>
        <w:rPr>
          <w:rFonts w:ascii="Times New Roman" w:hAnsi="Times New Roman"/>
          <w:b w:val="0"/>
          <w:i w:val="0"/>
          <w:sz w:val="22"/>
        </w:rPr>
        <w:tab/>
        <w:t>17</w:t>
      </w:r>
    </w:p>
    <w:p>
      <w:pPr>
        <w:spacing w:before="20" w:after="20"/>
        <w:tabs>
          <w:tab w:val="right" w:leader="dot" w:pos="9072"/>
        </w:tabs>
      </w:pPr>
      <w:r>
        <w:rPr>
          <w:rFonts w:ascii="Times New Roman" w:hAnsi="Times New Roman"/>
          <w:b w:val="0"/>
          <w:i w:val="0"/>
          <w:sz w:val="22"/>
        </w:rPr>
        <w:t>Figure 5. MCDM Composite Score Distribution Across 28 Dealers</w:t>
      </w:r>
      <w:r>
        <w:rPr>
          <w:rFonts w:ascii="Times New Roman" w:hAnsi="Times New Roman"/>
          <w:b w:val="0"/>
          <w:i w:val="0"/>
          <w:sz w:val="22"/>
        </w:rPr>
        <w:tab/>
        <w:t>23</w:t>
      </w:r>
    </w:p>
    <w:p>
      <w:pPr>
        <w:spacing w:before="20" w:after="20"/>
        <w:tabs>
          <w:tab w:val="right" w:leader="dot" w:pos="9072"/>
        </w:tabs>
      </w:pPr>
      <w:r>
        <w:rPr>
          <w:rFonts w:ascii="Times New Roman" w:hAnsi="Times New Roman"/>
          <w:b w:val="0"/>
          <w:i w:val="0"/>
          <w:sz w:val="22"/>
        </w:rPr>
        <w:t>Figure 6. January 2026 Allocation Results by Dealer</w:t>
      </w:r>
      <w:r>
        <w:rPr>
          <w:rFonts w:ascii="Times New Roman" w:hAnsi="Times New Roman"/>
          <w:b w:val="0"/>
          <w:i w:val="0"/>
          <w:sz w:val="22"/>
        </w:rPr>
        <w:tab/>
        <w:t>28</w:t>
      </w:r>
    </w:p>
    <w:p>
      <w:r>
        <w:br w:type="page"/>
      </w:r>
    </w:p>
    <w:p>
      <w:pPr>
        <w:spacing w:before="240" w:after="120"/>
        <w:jc w:val="left"/>
      </w:pPr>
      <w:r>
        <w:rPr>
          <w:rFonts w:ascii="Times New Roman" w:hAnsi="Times New Roman"/>
          <w:b/>
          <w:i w:val="0"/>
          <w:sz w:val="28"/>
        </w:rPr>
        <w:t>ABBREVIATIONS</w:t>
      </w:r>
    </w:p>
    <w:p>
      <w:pPr>
        <w:spacing w:before="20" w:after="20"/>
        <w:tabs>
          <w:tab w:val="left" w:pos="1440"/>
        </w:tabs>
      </w:pPr>
      <w:r>
        <w:rPr>
          <w:rFonts w:ascii="Times New Roman" w:hAnsi="Times New Roman"/>
          <w:b/>
          <w:i w:val="0"/>
          <w:sz w:val="22"/>
        </w:rPr>
        <w:t>CBC</w:t>
      </w:r>
      <w:r>
        <w:rPr>
          <w:rFonts w:ascii="Times New Roman" w:hAnsi="Times New Roman"/>
          <w:b w:val="0"/>
          <w:i w:val="0"/>
          <w:sz w:val="22"/>
        </w:rPr>
        <w:tab/>
        <w:t>COIN-OR Branch and Cut (open-source MIP solver)</w:t>
      </w:r>
    </w:p>
    <w:p>
      <w:pPr>
        <w:spacing w:before="20" w:after="20"/>
        <w:tabs>
          <w:tab w:val="left" w:pos="1440"/>
        </w:tabs>
      </w:pPr>
      <w:r>
        <w:rPr>
          <w:rFonts w:ascii="Times New Roman" w:hAnsi="Times New Roman"/>
          <w:b/>
          <w:i w:val="0"/>
          <w:sz w:val="22"/>
        </w:rPr>
        <w:t>EWMA</w:t>
      </w:r>
      <w:r>
        <w:rPr>
          <w:rFonts w:ascii="Times New Roman" w:hAnsi="Times New Roman"/>
          <w:b w:val="0"/>
          <w:i w:val="0"/>
          <w:sz w:val="22"/>
        </w:rPr>
        <w:tab/>
        <w:t>Exponentially Weighted Moving Average</w:t>
      </w:r>
    </w:p>
    <w:p>
      <w:pPr>
        <w:spacing w:before="20" w:after="20"/>
        <w:tabs>
          <w:tab w:val="left" w:pos="1440"/>
        </w:tabs>
      </w:pPr>
      <w:r>
        <w:rPr>
          <w:rFonts w:ascii="Times New Roman" w:hAnsi="Times New Roman"/>
          <w:b/>
          <w:i w:val="0"/>
          <w:sz w:val="22"/>
        </w:rPr>
        <w:t>KPI</w:t>
      </w:r>
      <w:r>
        <w:rPr>
          <w:rFonts w:ascii="Times New Roman" w:hAnsi="Times New Roman"/>
          <w:b w:val="0"/>
          <w:i w:val="0"/>
          <w:sz w:val="22"/>
        </w:rPr>
        <w:tab/>
        <w:t>Key Performance Indicator</w:t>
      </w:r>
    </w:p>
    <w:p>
      <w:pPr>
        <w:spacing w:before="20" w:after="20"/>
        <w:tabs>
          <w:tab w:val="left" w:pos="1440"/>
        </w:tabs>
      </w:pPr>
      <w:r>
        <w:rPr>
          <w:rFonts w:ascii="Times New Roman" w:hAnsi="Times New Roman"/>
          <w:b/>
          <w:i w:val="0"/>
          <w:sz w:val="22"/>
        </w:rPr>
        <w:t>LP</w:t>
      </w:r>
      <w:r>
        <w:rPr>
          <w:rFonts w:ascii="Times New Roman" w:hAnsi="Times New Roman"/>
          <w:b w:val="0"/>
          <w:i w:val="0"/>
          <w:sz w:val="22"/>
        </w:rPr>
        <w:tab/>
        <w:t>Location-Product Fit Score (also: Linear Program in context)</w:t>
      </w:r>
    </w:p>
    <w:p>
      <w:pPr>
        <w:spacing w:before="20" w:after="20"/>
        <w:tabs>
          <w:tab w:val="left" w:pos="1440"/>
        </w:tabs>
      </w:pPr>
      <w:r>
        <w:rPr>
          <w:rFonts w:ascii="Times New Roman" w:hAnsi="Times New Roman"/>
          <w:b/>
          <w:i w:val="0"/>
          <w:sz w:val="22"/>
        </w:rPr>
        <w:t>MAE</w:t>
      </w:r>
      <w:r>
        <w:rPr>
          <w:rFonts w:ascii="Times New Roman" w:hAnsi="Times New Roman"/>
          <w:b w:val="0"/>
          <w:i w:val="0"/>
          <w:sz w:val="22"/>
        </w:rPr>
        <w:tab/>
        <w:t>Mean Absolute Error</w:t>
      </w:r>
    </w:p>
    <w:p>
      <w:pPr>
        <w:spacing w:before="20" w:after="20"/>
        <w:tabs>
          <w:tab w:val="left" w:pos="1440"/>
        </w:tabs>
      </w:pPr>
      <w:r>
        <w:rPr>
          <w:rFonts w:ascii="Times New Roman" w:hAnsi="Times New Roman"/>
          <w:b/>
          <w:i w:val="0"/>
          <w:sz w:val="22"/>
        </w:rPr>
        <w:t>MCDM</w:t>
      </w:r>
      <w:r>
        <w:rPr>
          <w:rFonts w:ascii="Times New Roman" w:hAnsi="Times New Roman"/>
          <w:b w:val="0"/>
          <w:i w:val="0"/>
          <w:sz w:val="22"/>
        </w:rPr>
        <w:tab/>
        <w:t>Multi-Criteria Decision Making</w:t>
      </w:r>
    </w:p>
    <w:p>
      <w:pPr>
        <w:spacing w:before="20" w:after="20"/>
        <w:tabs>
          <w:tab w:val="left" w:pos="1440"/>
        </w:tabs>
      </w:pPr>
      <w:r>
        <w:rPr>
          <w:rFonts w:ascii="Times New Roman" w:hAnsi="Times New Roman"/>
          <w:b/>
          <w:i w:val="0"/>
          <w:sz w:val="22"/>
        </w:rPr>
        <w:t>MILP</w:t>
      </w:r>
      <w:r>
        <w:rPr>
          <w:rFonts w:ascii="Times New Roman" w:hAnsi="Times New Roman"/>
          <w:b w:val="0"/>
          <w:i w:val="0"/>
          <w:sz w:val="22"/>
        </w:rPr>
        <w:tab/>
        <w:t>Mixed-Integer Linear Programming</w:t>
      </w:r>
    </w:p>
    <w:p>
      <w:pPr>
        <w:spacing w:before="20" w:after="20"/>
        <w:tabs>
          <w:tab w:val="left" w:pos="1440"/>
        </w:tabs>
      </w:pPr>
      <w:r>
        <w:rPr>
          <w:rFonts w:ascii="Times New Roman" w:hAnsi="Times New Roman"/>
          <w:b/>
          <w:i w:val="0"/>
          <w:sz w:val="22"/>
        </w:rPr>
        <w:t>RMSE</w:t>
      </w:r>
      <w:r>
        <w:rPr>
          <w:rFonts w:ascii="Times New Roman" w:hAnsi="Times New Roman"/>
          <w:b w:val="0"/>
          <w:i w:val="0"/>
          <w:sz w:val="22"/>
        </w:rPr>
        <w:tab/>
        <w:t>Root Mean Square Error</w:t>
      </w:r>
    </w:p>
    <w:p>
      <w:pPr>
        <w:spacing w:before="20" w:after="20"/>
        <w:tabs>
          <w:tab w:val="left" w:pos="1440"/>
        </w:tabs>
      </w:pPr>
      <w:r>
        <w:rPr>
          <w:rFonts w:ascii="Times New Roman" w:hAnsi="Times New Roman"/>
          <w:b/>
          <w:i w:val="0"/>
          <w:sz w:val="22"/>
        </w:rPr>
        <w:t>SI</w:t>
      </w:r>
      <w:r>
        <w:rPr>
          <w:rFonts w:ascii="Times New Roman" w:hAnsi="Times New Roman"/>
          <w:b w:val="0"/>
          <w:i w:val="0"/>
          <w:sz w:val="22"/>
        </w:rPr>
        <w:tab/>
        <w:t>Seasonal Index</w:t>
      </w:r>
    </w:p>
    <w:p>
      <w:pPr>
        <w:spacing w:before="20" w:after="20"/>
        <w:tabs>
          <w:tab w:val="left" w:pos="1440"/>
        </w:tabs>
      </w:pPr>
      <w:r>
        <w:rPr>
          <w:rFonts w:ascii="Times New Roman" w:hAnsi="Times New Roman"/>
          <w:b/>
          <w:i w:val="0"/>
          <w:sz w:val="22"/>
        </w:rPr>
        <w:t>STL</w:t>
      </w:r>
      <w:r>
        <w:rPr>
          <w:rFonts w:ascii="Times New Roman" w:hAnsi="Times New Roman"/>
          <w:b w:val="0"/>
          <w:i w:val="0"/>
          <w:sz w:val="22"/>
        </w:rPr>
        <w:tab/>
        <w:t>Seasonal-Trend decomposition using Loess</w:t>
      </w:r>
    </w:p>
    <w:p>
      <w:pPr>
        <w:spacing w:before="20" w:after="20"/>
        <w:tabs>
          <w:tab w:val="left" w:pos="1440"/>
        </w:tabs>
      </w:pPr>
      <w:r>
        <w:rPr>
          <w:rFonts w:ascii="Times New Roman" w:hAnsi="Times New Roman"/>
          <w:b/>
          <w:i w:val="0"/>
          <w:sz w:val="22"/>
        </w:rPr>
        <w:t>SUV</w:t>
      </w:r>
      <w:r>
        <w:rPr>
          <w:rFonts w:ascii="Times New Roman" w:hAnsi="Times New Roman"/>
          <w:b w:val="0"/>
          <w:i w:val="0"/>
          <w:sz w:val="22"/>
        </w:rPr>
        <w:tab/>
        <w:t>Sport Utility Vehicle</w:t>
      </w:r>
    </w:p>
    <w:p>
      <w:pPr>
        <w:spacing w:before="20" w:after="20"/>
        <w:tabs>
          <w:tab w:val="left" w:pos="1440"/>
        </w:tabs>
      </w:pPr>
      <w:r>
        <w:rPr>
          <w:rFonts w:ascii="Times New Roman" w:hAnsi="Times New Roman"/>
          <w:b/>
          <w:i w:val="0"/>
          <w:sz w:val="22"/>
        </w:rPr>
        <w:t>TÜİK</w:t>
      </w:r>
      <w:r>
        <w:rPr>
          <w:rFonts w:ascii="Times New Roman" w:hAnsi="Times New Roman"/>
          <w:b w:val="0"/>
          <w:i w:val="0"/>
          <w:sz w:val="22"/>
        </w:rPr>
        <w:tab/>
        <w:t>Türkiye İstatistik Kurumu (Turkish Statistical Institute)</w:t>
      </w:r>
    </w:p>
    <w:p>
      <w:pPr>
        <w:spacing w:before="20" w:after="20"/>
        <w:tabs>
          <w:tab w:val="left" w:pos="1440"/>
        </w:tabs>
      </w:pPr>
      <w:r>
        <w:rPr>
          <w:rFonts w:ascii="Times New Roman" w:hAnsi="Times New Roman"/>
          <w:b/>
          <w:i w:val="0"/>
          <w:sz w:val="22"/>
        </w:rPr>
        <w:t>VAP</w:t>
      </w:r>
      <w:r>
        <w:rPr>
          <w:rFonts w:ascii="Times New Roman" w:hAnsi="Times New Roman"/>
          <w:b w:val="0"/>
          <w:i w:val="0"/>
          <w:sz w:val="22"/>
        </w:rPr>
        <w:tab/>
        <w:t>Vehicle Allocation Problem</w:t>
      </w:r>
    </w:p>
    <w:p>
      <w:pPr>
        <w:spacing w:before="20" w:after="20"/>
        <w:tabs>
          <w:tab w:val="left" w:pos="1440"/>
        </w:tabs>
      </w:pPr>
      <w:r>
        <w:rPr>
          <w:rFonts w:ascii="Times New Roman" w:hAnsi="Times New Roman"/>
          <w:b/>
          <w:i w:val="0"/>
          <w:sz w:val="22"/>
        </w:rPr>
        <w:t>YTD</w:t>
      </w:r>
      <w:r>
        <w:rPr>
          <w:rFonts w:ascii="Times New Roman" w:hAnsi="Times New Roman"/>
          <w:b w:val="0"/>
          <w:i w:val="0"/>
          <w:sz w:val="22"/>
        </w:rPr>
        <w:tab/>
        <w:t>Year-to-Date</w:t>
      </w:r>
    </w:p>
    <w:p>
      <w:r>
        <w:br w:type="page"/>
      </w:r>
    </w:p>
    <w:p>
      <w:pPr>
        <w:spacing w:before="240" w:after="120"/>
        <w:jc w:val="left"/>
      </w:pPr>
      <w:r>
        <w:rPr>
          <w:rFonts w:ascii="Times New Roman" w:hAnsi="Times New Roman"/>
          <w:b/>
          <w:i w:val="0"/>
          <w:sz w:val="28"/>
        </w:rPr>
        <w:t>1. INTRODUCTION</w:t>
      </w:r>
    </w:p>
    <w:p>
      <w:pPr>
        <w:spacing w:before="240" w:after="120"/>
        <w:jc w:val="left"/>
      </w:pPr>
      <w:r>
        <w:rPr>
          <w:rFonts w:ascii="Times New Roman" w:hAnsi="Times New Roman"/>
          <w:b/>
          <w:i w:val="0"/>
          <w:sz w:val="24"/>
        </w:rPr>
        <w:t>1.1 Motivation and Problem Statement</w:t>
      </w:r>
    </w:p>
    <w:p>
      <w:pPr>
        <w:spacing w:before="0" w:after="120"/>
        <w:jc w:val="both"/>
      </w:pPr>
      <w:r>
        <w:rPr>
          <w:rFonts w:ascii="Times New Roman" w:hAnsi="Times New Roman"/>
          <w:b w:val="0"/>
          <w:i w:val="0"/>
          <w:sz w:val="24"/>
        </w:rPr>
        <w:t>The Turkish automotive market is one of the largest in Europe by volume, with 17,373,581 registered automobiles as of December 2025 according to TÜİK data (TÜİK, 2026). The SUV segment has experienced substantial growth over the preceding decade, driven by consumer preference shifts toward higher ground clearance, improved perceived safety, and enhanced cargo utility. For a brand that fields multiple SUV model lines across a geographically dispersed dealer network, the monthly task of deciding how many vehicles of each model, version (trim level), and color to ship to each of its 28 authorized dealerships is both consequential and computationally non-trivial.</w:t>
      </w:r>
    </w:p>
    <w:p>
      <w:pPr>
        <w:spacing w:before="0" w:after="120"/>
        <w:jc w:val="both"/>
      </w:pPr>
      <w:r>
        <w:rPr>
          <w:rFonts w:ascii="Times New Roman" w:hAnsi="Times New Roman"/>
          <w:b w:val="0"/>
          <w:i w:val="0"/>
          <w:sz w:val="24"/>
        </w:rPr>
        <w:t>The monthly vehicle allocation problem (VAP) arises because central warehouse inventory is finite and almost always smaller than the aggregate of dealer requests. For January 2026, the brand's central depot held 603 vehicles distributed across four model variants: 35 units of A1V01, 291 units of A2V02, 97 units of A3V02, and 180 units of B1V01. Because the total inventory (603 units) was less than the aggregate dealer quota (741 units after accounting for February readiness stock), every allocation decision represents a deliberate trade-off between competing dealer interests. Allocating too many vehicles to an already-oversupplied dealer wastes scarcity value; allocating too few to a high-performing, high-demand dealer leaves brand revenue unrealized.</w:t>
      </w:r>
    </w:p>
    <w:p>
      <w:pPr>
        <w:spacing w:before="0" w:after="120"/>
        <w:jc w:val="both"/>
      </w:pPr>
      <w:r>
        <w:rPr>
          <w:rFonts w:ascii="Times New Roman" w:hAnsi="Times New Roman"/>
          <w:b w:val="0"/>
          <w:i w:val="0"/>
          <w:sz w:val="24"/>
        </w:rPr>
        <w:t>Historically, such allocation decisions have been made by regional sales managers using spreadsheet-based heuristics informed by experience, negotiation outcomes, and relationship dynamics. While experienced managers develop intuition over time, this approach does not scale gracefully as the portfolio expands (the brand introduced two new model versions in 2025–2026: A1V01 launched in September 2025, and B1V01's new version is scheduled for March 2026) and does not guarantee consistency or fairness across dealers. It is also opaque: dealers who receive fewer vehicles than requested have no transparent basis for understanding why the allocation was made as it was.</w:t>
      </w:r>
    </w:p>
    <w:p>
      <w:pPr>
        <w:spacing w:before="0" w:after="120"/>
        <w:jc w:val="both"/>
      </w:pPr>
      <w:r>
        <w:rPr>
          <w:rFonts w:ascii="Times New Roman" w:hAnsi="Times New Roman"/>
          <w:b w:val="0"/>
          <w:i w:val="0"/>
          <w:sz w:val="24"/>
        </w:rPr>
        <w:t>The research presented in this thesis addresses these limitations by designing, implementing, and validating a three-layer computational decision-support system. The system integrates demand forecasting (Layer 1), dealer scoring via Multi-Criteria Decision Making (Layer 2), and optimal allocation via Mixed-Integer Linear Programming (Layer 3) into a unified pipeline that can be executed monthly in under one second and presented through an interactive web dashboard to business stakeholders.</w:t>
      </w:r>
    </w:p>
    <w:p>
      <w:pPr>
        <w:spacing w:before="240" w:after="120"/>
        <w:jc w:val="left"/>
      </w:pPr>
      <w:r>
        <w:rPr>
          <w:rFonts w:ascii="Times New Roman" w:hAnsi="Times New Roman"/>
          <w:b/>
          <w:i w:val="0"/>
          <w:sz w:val="24"/>
        </w:rPr>
        <w:t>1.2 Research Objectives</w:t>
      </w:r>
    </w:p>
    <w:p>
      <w:pPr>
        <w:spacing w:before="0" w:after="120"/>
        <w:jc w:val="both"/>
      </w:pPr>
      <w:r>
        <w:rPr>
          <w:rFonts w:ascii="Times New Roman" w:hAnsi="Times New Roman"/>
          <w:b w:val="0"/>
          <w:i w:val="0"/>
          <w:sz w:val="24"/>
        </w:rPr>
        <w:t>This thesis pursues four interrelated research objectives:</w:t>
      </w:r>
    </w:p>
    <w:p>
      <w:pPr>
        <w:pStyle w:val="ListBullet"/>
      </w:pPr>
      <w:r>
        <w:rPr>
          <w:rFonts w:ascii="Times New Roman" w:hAnsi="Times New Roman"/>
          <w:b/>
          <w:i w:val="0"/>
          <w:sz w:val="24"/>
        </w:rPr>
        <w:t xml:space="preserve">RO1: </w:t>
      </w:r>
      <w:r>
        <w:rPr>
          <w:rFonts w:ascii="Times New Roman" w:hAnsi="Times New Roman"/>
          <w:b w:val="0"/>
          <w:i w:val="0"/>
          <w:sz w:val="24"/>
        </w:rPr>
        <w:t>Design and validate a seasonal demand forecasting pipeline for dealer-level monthly vehicle sales that combines STL decomposition, Prophet annual forecasting, and EWMA with an empirically calibrated smoothing window.</w:t>
      </w:r>
    </w:p>
    <w:p>
      <w:pPr>
        <w:pStyle w:val="ListBullet"/>
      </w:pPr>
      <w:r>
        <w:rPr>
          <w:rFonts w:ascii="Times New Roman" w:hAnsi="Times New Roman"/>
          <w:b/>
          <w:i w:val="0"/>
          <w:sz w:val="24"/>
        </w:rPr>
        <w:t xml:space="preserve">RO2: </w:t>
      </w:r>
      <w:r>
        <w:rPr>
          <w:rFonts w:ascii="Times New Roman" w:hAnsi="Times New Roman"/>
          <w:b w:val="0"/>
          <w:i w:val="0"/>
          <w:sz w:val="24"/>
        </w:rPr>
        <w:t>Develop an MCDM scoring framework that captures the multi-dimensional nature of dealer 'worthiness' for scarce vehicle allocation using four orthogonal criteria: recent performance, inventory-demand alignment, seasonal fit, and year-to-date target proximity.</w:t>
      </w:r>
    </w:p>
    <w:p>
      <w:pPr>
        <w:pStyle w:val="ListBullet"/>
      </w:pPr>
      <w:r>
        <w:rPr>
          <w:rFonts w:ascii="Times New Roman" w:hAnsi="Times New Roman"/>
          <w:b/>
          <w:i w:val="0"/>
          <w:sz w:val="24"/>
        </w:rPr>
        <w:t xml:space="preserve">RO3: </w:t>
      </w:r>
      <w:r>
        <w:rPr>
          <w:rFonts w:ascii="Times New Roman" w:hAnsi="Times New Roman"/>
          <w:b w:val="0"/>
          <w:i w:val="0"/>
          <w:sz w:val="24"/>
        </w:rPr>
        <w:t>Formulate and solve the monthly vehicle allocation problem as a MILP, demonstrating that an open-source solver (CBC via PuLP) can solve practical instances (28 dealers, 4 model variants, ~600 vehicles) in real time.</w:t>
      </w:r>
    </w:p>
    <w:p>
      <w:pPr>
        <w:pStyle w:val="ListBullet"/>
      </w:pPr>
      <w:r>
        <w:rPr>
          <w:rFonts w:ascii="Times New Roman" w:hAnsi="Times New Roman"/>
          <w:b/>
          <w:i w:val="0"/>
          <w:sz w:val="24"/>
        </w:rPr>
        <w:t xml:space="preserve">RO4: </w:t>
      </w:r>
      <w:r>
        <w:rPr>
          <w:rFonts w:ascii="Times New Roman" w:hAnsi="Times New Roman"/>
          <w:b w:val="0"/>
          <w:i w:val="0"/>
          <w:sz w:val="24"/>
        </w:rPr>
        <w:t>Deploy the integrated system as a Streamlit dashboard accessible to business users without programming expertise, enabling scenario analysis and transparent audit trails for allocation decisions.</w:t>
      </w:r>
    </w:p>
    <w:p>
      <w:pPr>
        <w:spacing w:before="240" w:after="120"/>
        <w:jc w:val="left"/>
      </w:pPr>
      <w:r>
        <w:rPr>
          <w:rFonts w:ascii="Times New Roman" w:hAnsi="Times New Roman"/>
          <w:b/>
          <w:i w:val="0"/>
          <w:sz w:val="24"/>
        </w:rPr>
        <w:t>1.3 Scope and Limitations</w:t>
      </w:r>
    </w:p>
    <w:p>
      <w:pPr>
        <w:spacing w:before="0" w:after="120"/>
        <w:jc w:val="both"/>
      </w:pPr>
      <w:r>
        <w:rPr>
          <w:rFonts w:ascii="Times New Roman" w:hAnsi="Times New Roman"/>
          <w:b w:val="0"/>
          <w:i w:val="0"/>
          <w:sz w:val="24"/>
        </w:rPr>
        <w:t>The system is designed specifically for the SUV portfolio of a single automotive brand operating in Turkey. The following scope boundaries apply:</w:t>
      </w:r>
    </w:p>
    <w:p>
      <w:pPr>
        <w:pStyle w:val="ListBullet"/>
      </w:pPr>
      <w:r>
        <w:rPr>
          <w:rFonts w:ascii="Times New Roman" w:hAnsi="Times New Roman"/>
          <w:b w:val="0"/>
          <w:i w:val="0"/>
          <w:sz w:val="24"/>
        </w:rPr>
        <w:t>The time horizon is monthly; intra-month re-allocation is out of scope.</w:t>
      </w:r>
    </w:p>
    <w:p>
      <w:pPr>
        <w:pStyle w:val="ListBullet"/>
      </w:pPr>
      <w:r>
        <w:rPr>
          <w:rFonts w:ascii="Times New Roman" w:hAnsi="Times New Roman"/>
          <w:b w:val="0"/>
          <w:i w:val="0"/>
          <w:sz w:val="24"/>
        </w:rPr>
        <w:t>Dealer stock capacity constraints are omitted because monthly throughput is under 1,000 units per dealer and Turkish authorized dealers operate on a pull model without long-term storage obligations.</w:t>
      </w:r>
    </w:p>
    <w:p>
      <w:pPr>
        <w:pStyle w:val="ListBullet"/>
      </w:pPr>
      <w:r>
        <w:rPr>
          <w:rFonts w:ascii="Times New Roman" w:hAnsi="Times New Roman"/>
          <w:b w:val="0"/>
          <w:i w:val="0"/>
          <w:sz w:val="24"/>
        </w:rPr>
        <w:t>Motor type, transmission, and fuel variant distinctions are not modeled explicitly; differentiation is at the level of model × version × color.</w:t>
      </w:r>
    </w:p>
    <w:p>
      <w:pPr>
        <w:pStyle w:val="ListBullet"/>
      </w:pPr>
      <w:r>
        <w:rPr>
          <w:rFonts w:ascii="Times New Roman" w:hAnsi="Times New Roman"/>
          <w:b w:val="0"/>
          <w:i w:val="0"/>
          <w:sz w:val="24"/>
        </w:rPr>
        <w:t>The MILP assumes that the composite score of a dealer is independent of the quantity allocated (linear objective). Non-linear utility functions are left for future work.</w:t>
      </w:r>
    </w:p>
    <w:p>
      <w:pPr>
        <w:pStyle w:val="ListBullet"/>
      </w:pPr>
      <w:r>
        <w:rPr>
          <w:rFonts w:ascii="Times New Roman" w:hAnsi="Times New Roman"/>
          <w:b w:val="0"/>
          <w:i w:val="0"/>
          <w:sz w:val="24"/>
        </w:rPr>
        <w:t>Transfer pricing between dealers is not considered; each vehicle is allocated exactly once from the central depot.</w:t>
      </w:r>
    </w:p>
    <w:p>
      <w:pPr>
        <w:pStyle w:val="ListBullet"/>
      </w:pPr>
      <w:r>
        <w:rPr>
          <w:rFonts w:ascii="Times New Roman" w:hAnsi="Times New Roman"/>
          <w:b w:val="0"/>
          <w:i w:val="0"/>
          <w:sz w:val="24"/>
        </w:rPr>
        <w:t>The geographic catchment model for quota computation uses province-level automobile registration statistics (TÜİK, 2026) and a simplified adjacency map; detailed micro-market segmentation is outside scope.</w:t>
      </w:r>
    </w:p>
    <w:p>
      <w:pPr>
        <w:spacing w:before="240" w:after="120"/>
        <w:jc w:val="left"/>
      </w:pPr>
      <w:r>
        <w:rPr>
          <w:rFonts w:ascii="Times New Roman" w:hAnsi="Times New Roman"/>
          <w:b/>
          <w:i w:val="0"/>
          <w:sz w:val="24"/>
        </w:rPr>
        <w:t>1.4 Thesis Organization</w:t>
      </w:r>
    </w:p>
    <w:p>
      <w:pPr>
        <w:spacing w:before="0" w:after="120"/>
        <w:jc w:val="both"/>
      </w:pPr>
      <w:r>
        <w:rPr>
          <w:rFonts w:ascii="Times New Roman" w:hAnsi="Times New Roman"/>
          <w:b w:val="0"/>
          <w:i w:val="0"/>
          <w:sz w:val="24"/>
        </w:rPr>
        <w:t>The remainder of this thesis is organized as follows. Chapter 2 reviews the relevant literature spanning the Vehicle Allocation Problem, time-series forecasting for automotive demand, MCDM, collaborative filtering for assortment alignment, and MILP formulations for distribution problems. Chapter 3 describes the three-layer system architecture and the data sources used. Chapters 4, 5, and 6 detail Layers 1, 2, and 3 respectively, presenting mathematical formulations, parameter selection rationale, and implementation details. Chapter 7 presents the January 2026 case study with quantitative results and a sensitivity analysis. Chapter 8 describes the dashboard deployment. Chapter 9 concludes with a summary of contributions and directions for future research.</w:t>
      </w:r>
    </w:p>
    <w:p>
      <w:r>
        <w:br w:type="page"/>
      </w:r>
    </w:p>
    <w:p>
      <w:pPr>
        <w:spacing w:before="240" w:after="120"/>
        <w:jc w:val="left"/>
      </w:pPr>
      <w:r>
        <w:rPr>
          <w:rFonts w:ascii="Times New Roman" w:hAnsi="Times New Roman"/>
          <w:b/>
          <w:i w:val="0"/>
          <w:sz w:val="28"/>
        </w:rPr>
        <w:t>2. LITERATURE REVIEW</w:t>
      </w:r>
    </w:p>
    <w:p>
      <w:pPr>
        <w:spacing w:before="240" w:after="120"/>
        <w:jc w:val="left"/>
      </w:pPr>
      <w:r>
        <w:rPr>
          <w:rFonts w:ascii="Times New Roman" w:hAnsi="Times New Roman"/>
          <w:b/>
          <w:i w:val="0"/>
          <w:sz w:val="24"/>
        </w:rPr>
        <w:t>2.1 Vehicle Allocation Problem</w:t>
      </w:r>
    </w:p>
    <w:p>
      <w:pPr>
        <w:spacing w:before="0" w:after="120"/>
        <w:jc w:val="both"/>
      </w:pPr>
      <w:r>
        <w:rPr>
          <w:rFonts w:ascii="Times New Roman" w:hAnsi="Times New Roman"/>
          <w:b w:val="0"/>
          <w:i w:val="0"/>
          <w:sz w:val="24"/>
        </w:rPr>
        <w:t>The Vehicle Allocation Problem (VAP), as defined in the operations research literature, refers to the assignment of vehicles from a set of supply origins to a set of demand destinations over a planning horizon so as to optimize a stated objective, typically profit or service level, subject to supply, demand, and operational constraints. The VAP is closely related to the transportation problem of linear programming but becomes significantly more complex when vehicle types are heterogeneous, demand is uncertain, and allocation must respect business rules that are difficult to capture as pure equality constraints.</w:t>
      </w:r>
    </w:p>
    <w:p>
      <w:pPr>
        <w:spacing w:before="0" w:after="120"/>
        <w:jc w:val="both"/>
      </w:pPr>
      <w:r>
        <w:rPr>
          <w:rFonts w:ascii="Times New Roman" w:hAnsi="Times New Roman"/>
          <w:b w:val="0"/>
          <w:i w:val="0"/>
          <w:sz w:val="24"/>
        </w:rPr>
        <w:t>Şahin and Kılıç (2022) provide the most direct precedent for this work, presenting an alternative MILP formulation for the vehicle allocation problem together with a branch-and-price solution method for large instances. Their formulation distinguishes between vehicle types and time periods, and they demonstrate that specialized branching strategies reduce solution time dramatically for instances with hundreds of vehicle types and dozens of depots. The present thesis addresses a considerably smaller instance (4 vehicle variants, 28 dealers) where a general-purpose CBC solver is sufficient, but adopts a similar MILP structure augmented with the MCDM-derived objective coefficient.</w:t>
      </w:r>
    </w:p>
    <w:p>
      <w:pPr>
        <w:spacing w:before="0" w:after="120"/>
        <w:jc w:val="both"/>
      </w:pPr>
      <w:r>
        <w:rPr>
          <w:rFonts w:ascii="Times New Roman" w:hAnsi="Times New Roman"/>
          <w:b w:val="0"/>
          <w:i w:val="0"/>
          <w:sz w:val="24"/>
        </w:rPr>
        <w:t>Toth and Vigo (2002) offer a comprehensive treatment of vehicle routing and distribution problems, which, while primarily concerned with routing rather than allocation, establish the foundational MILP vocabulary and constraint types that inform the present formulation. Dantzig's (1963) seminal work on linear programming and its extensions provides the mathematical foundation for the CBC solver used in this thesis. The transportation simplex method described by Dantzig remains, in various modernized forms, the backbone of continuous relaxations within branch-and-cut solvers such as CBC.</w:t>
      </w:r>
    </w:p>
    <w:p>
      <w:pPr>
        <w:spacing w:before="240" w:after="120"/>
        <w:jc w:val="left"/>
      </w:pPr>
      <w:r>
        <w:rPr>
          <w:rFonts w:ascii="Times New Roman" w:hAnsi="Times New Roman"/>
          <w:b/>
          <w:i w:val="0"/>
          <w:sz w:val="24"/>
        </w:rPr>
        <w:t>2.2 Time Series Forecasting in Automotive Contexts</w:t>
      </w:r>
    </w:p>
    <w:p>
      <w:pPr>
        <w:spacing w:before="0" w:after="120"/>
        <w:jc w:val="both"/>
      </w:pPr>
      <w:r>
        <w:rPr>
          <w:rFonts w:ascii="Times New Roman" w:hAnsi="Times New Roman"/>
          <w:b w:val="0"/>
          <w:i w:val="0"/>
          <w:sz w:val="24"/>
        </w:rPr>
        <w:t>Accurate demand forecasting is a prerequisite for meaningful allocation. In the automotive context, monthly sales exhibit strong seasonality driven by model year transitions, promotional periods, registration deadline effects, and macroeconomic cycles. Cleveland et al. (1990) introduced Seasonal-Trend decomposition using Loess (STL), which remains the standard approach for decomposing a time series into trend, seasonal, and remainder components when the seasonal pattern may evolve slowly over time. STL's robustness to outliers makes it particularly attractive for automotive sales data, which can be disrupted by model launches, supply chain disruptions, or registration deadline spikes.</w:t>
      </w:r>
    </w:p>
    <w:p>
      <w:pPr>
        <w:spacing w:before="0" w:after="120"/>
        <w:jc w:val="both"/>
      </w:pPr>
      <w:r>
        <w:rPr>
          <w:rFonts w:ascii="Times New Roman" w:hAnsi="Times New Roman"/>
          <w:b w:val="0"/>
          <w:i w:val="0"/>
          <w:sz w:val="24"/>
        </w:rPr>
        <w:t>Taylor and Letham (2018) describe the Prophet model, an additive time series forecasting framework developed at Meta that decomposes a series into trend, seasonality, and holiday components. Prophet's ability to incorporate user-specified changepoints and its robust handling of missing data make it well-suited for aggregated brand-level annual projections. In the present system, Prophet is used not for dealer-level forecasting (where data is too sparse for its parametric structure) but for projecting the total brand sales volume for 2026, which then serves as the denominator for market-share-based quota computation.</w:t>
      </w:r>
    </w:p>
    <w:p>
      <w:pPr>
        <w:spacing w:before="0" w:after="120"/>
        <w:jc w:val="both"/>
      </w:pPr>
      <w:r>
        <w:rPr>
          <w:rFonts w:ascii="Times New Roman" w:hAnsi="Times New Roman"/>
          <w:b w:val="0"/>
          <w:i w:val="0"/>
          <w:sz w:val="24"/>
        </w:rPr>
        <w:t>Hierarchical time series forecasting, as reviewed by Wickramasuriya et al. (2019), Hyndman et al. (2011), Panagiotelis et al. (2021), and Athanasopoulos et al. (2011), addresses the problem of forecasting a collection of series that are aggregated according to a hierarchy—for instance, SKU → product category → brand → market. The present system has an implicit hierarchy (dealer → model → total brand) but does not implement formal reconciliation. Instead, it uses STL seasonal indices at the model-group level combined with an EWMA at the dealer level, an approach that satisfies the practical requirement of computational simplicity while capturing the dominant seasonal patterns. Full MinT reconciliation (Wickramasuriya et al., 2019) is identified as a direction for future work.</w:t>
      </w:r>
    </w:p>
    <w:p>
      <w:pPr>
        <w:spacing w:before="0" w:after="120"/>
        <w:jc w:val="both"/>
      </w:pPr>
      <w:r>
        <w:rPr>
          <w:rFonts w:ascii="Times New Roman" w:hAnsi="Times New Roman"/>
          <w:b w:val="0"/>
          <w:i w:val="0"/>
          <w:sz w:val="24"/>
        </w:rPr>
        <w:t>The Exponentially Weighted Moving Average (EWMA) is a well-established smoothing technique reviewed by Crowder (1989) in the context of quality control charts. Its use here as a performance smoothing filter for the dealer scoring component borrows from the EWMA's property of discounting older observations geometrically, which is particularly appropriate for capturing a dealer's recent trajectory rather than a historical average that may be dominated by old, unrepresentative periods.</w:t>
      </w:r>
    </w:p>
    <w:p>
      <w:pPr>
        <w:spacing w:before="240" w:after="120"/>
        <w:jc w:val="left"/>
      </w:pPr>
      <w:r>
        <w:rPr>
          <w:rFonts w:ascii="Times New Roman" w:hAnsi="Times New Roman"/>
          <w:b/>
          <w:i w:val="0"/>
          <w:sz w:val="24"/>
        </w:rPr>
        <w:t>2.3 Multi-Criteria Decision Making in Inventory Allocation</w:t>
      </w:r>
    </w:p>
    <w:p>
      <w:pPr>
        <w:spacing w:before="0" w:after="120"/>
        <w:jc w:val="both"/>
      </w:pPr>
      <w:r>
        <w:rPr>
          <w:rFonts w:ascii="Times New Roman" w:hAnsi="Times New Roman"/>
          <w:b w:val="0"/>
          <w:i w:val="0"/>
          <w:sz w:val="24"/>
        </w:rPr>
        <w:t>Multi-Criteria Decision Making (MCDM) provides a structured framework for ranking or selecting from a set of alternatives when no single criterion dominates. Hwang and Yoon (1981) established the TOPSIS (Technique for Order of Preference by Similarity to Ideal Solution) method, which evaluates alternatives by their geometric distance from an ideal and an anti-ideal solution in normalized criterion space. While the present system does not implement TOPSIS directly—it uses an additive weighted scoring model instead—the conceptual framework of Hwang and Yoon informs the normalization strategy adopted for all four scoring criteria.</w:t>
      </w:r>
    </w:p>
    <w:p>
      <w:pPr>
        <w:spacing w:before="0" w:after="120"/>
        <w:jc w:val="both"/>
      </w:pPr>
      <w:r>
        <w:rPr>
          <w:rFonts w:ascii="Times New Roman" w:hAnsi="Times New Roman"/>
          <w:b w:val="0"/>
          <w:i w:val="0"/>
          <w:sz w:val="24"/>
        </w:rPr>
        <w:t>Additive weighted scoring (sometimes called Simple Additive Weighting, SAW) is the simplest and most interpretable MCDM aggregation rule. Given that the system must be explainable to regional sales managers who may not have operations research training, the additive structure—where the composite score is a linear combination of normalized sub-scores—was chosen deliberately. Each weight (P: 0.25, LP: 0.35, S: 0.20, H: 0.20) was determined by expert judgment elicited from the brand's national sales director, with sensitivity testing conducted around the chosen values. The LP criterion receives the highest weight because inventory-demand fit (ensuring the right colors and versions reach dealers who actually sell them) was identified as the most operationally impactful dimension.</w:t>
      </w:r>
    </w:p>
    <w:p>
      <w:pPr>
        <w:spacing w:before="240" w:after="120"/>
        <w:jc w:val="left"/>
      </w:pPr>
      <w:r>
        <w:rPr>
          <w:rFonts w:ascii="Times New Roman" w:hAnsi="Times New Roman"/>
          <w:b/>
          <w:i w:val="0"/>
          <w:sz w:val="24"/>
        </w:rPr>
        <w:t>2.4 Assortment Optimization and Collaborative Filtering</w:t>
      </w:r>
    </w:p>
    <w:p>
      <w:pPr>
        <w:spacing w:before="0" w:after="120"/>
        <w:jc w:val="both"/>
      </w:pPr>
      <w:r>
        <w:rPr>
          <w:rFonts w:ascii="Times New Roman" w:hAnsi="Times New Roman"/>
          <w:b w:val="0"/>
          <w:i w:val="0"/>
          <w:sz w:val="24"/>
        </w:rPr>
        <w:t>The Location-Product fit score (LP) in Layer 2 is computed using cosine similarity between the dealer's historical sales vector and the inventory vector. This approach draws conceptually from collaborative filtering methods in recommender systems. Koren et al. (2009) demonstrated that matrix factorization—decomposing the user-item interaction matrix into latent factor vectors—achieves state-of-the-art accuracy in item recommendation. The cosine similarity used here is a simpler, non-latent variant that computes the angle between observed sales profiles directly, without dimensionality reduction. Rendle (2010) extended matrix factorization to factorization machines capable of incorporating auxiliary features; this extension is identified as a potential enhancement for future work when more data becomes available.</w:t>
      </w:r>
    </w:p>
    <w:p>
      <w:pPr>
        <w:spacing w:before="0" w:after="120"/>
        <w:jc w:val="both"/>
      </w:pPr>
      <w:r>
        <w:rPr>
          <w:rFonts w:ascii="Times New Roman" w:hAnsi="Times New Roman"/>
          <w:b w:val="0"/>
          <w:i w:val="0"/>
          <w:sz w:val="24"/>
        </w:rPr>
        <w:t>Assortment optimization—the problem of selecting which product variants to stock given shelf space, demand uncertainty, and substitution behavior—is reviewed comprehensively by Kok et al. (2008). Mahajan and van Ryzin (2001) model consumer substitution explicitly, showing that ignoring substitution leads to suboptimal assortment decisions. In the present system, the LP score implicitly captures substitution effects at a coarse level: a dealer with historically high sales of red vehicles in a particular model will receive a high LP score when the inventory contains a proportionate share of red variants. Full substitution modeling is not implemented because the dataset does not contain lost-sale observations.</w:t>
      </w:r>
    </w:p>
    <w:p>
      <w:pPr>
        <w:spacing w:before="240" w:after="120"/>
        <w:jc w:val="left"/>
      </w:pPr>
      <w:r>
        <w:rPr>
          <w:rFonts w:ascii="Times New Roman" w:hAnsi="Times New Roman"/>
          <w:b/>
          <w:i w:val="0"/>
          <w:sz w:val="24"/>
        </w:rPr>
        <w:t>2.5 Mixed-Integer Linear Programming for Distribution</w:t>
      </w:r>
    </w:p>
    <w:p>
      <w:pPr>
        <w:spacing w:before="0" w:after="120"/>
        <w:jc w:val="both"/>
      </w:pPr>
      <w:r>
        <w:rPr>
          <w:rFonts w:ascii="Times New Roman" w:hAnsi="Times New Roman"/>
          <w:b w:val="0"/>
          <w:i w:val="0"/>
          <w:sz w:val="24"/>
        </w:rPr>
        <w:t>Mixed-Integer Linear Programming extends linear programming by requiring some decision variables to take integer values, capturing the indivisibility of physical goods (one cannot allocate half a vehicle). The MILP formulation in Chapter 6 is a generalization of the transportation problem in which the objective coefficients are the MCDM composite scores rather than unit transportation costs, and the right-hand-side bounds represent inventory levels and quota ranges. Dantzig (1963) established that the transportation problem on a bipartite network always has an integer optimal solution at the LP relaxation vertex (due to total unimodularity); however, the ±20% quota interval constraints break total unimodularity, making integrality enforcement necessary in general.</w:t>
      </w:r>
    </w:p>
    <w:p>
      <w:pPr>
        <w:spacing w:before="0" w:after="120"/>
        <w:jc w:val="both"/>
      </w:pPr>
      <w:r>
        <w:rPr>
          <w:rFonts w:ascii="Times New Roman" w:hAnsi="Times New Roman"/>
          <w:b w:val="0"/>
          <w:i w:val="0"/>
          <w:sz w:val="24"/>
        </w:rPr>
        <w:t>PuLP is a Python linear programming modeler that interfaces with a variety of solvers, including the Coin-OR Branch and Cut (CBC) solver used in this thesis. CBC is an open-source, production-quality MILP solver capable of handling instances with thousands of integer variables through branch-and-cut with heuristics. The January 2026 instance (approximately 112 integer decision variables: 4 variants × 28 dealers) is well within CBC's capacity to solve to certified optimality within milliseconds. The open-source choice is important for academic reproducibility and for eventual production deployment on cloud infrastructure without licensing cost.</w:t>
      </w:r>
    </w:p>
    <w:p>
      <w:r>
        <w:br w:type="page"/>
      </w:r>
    </w:p>
    <w:p>
      <w:pPr>
        <w:spacing w:before="240" w:after="120"/>
        <w:jc w:val="left"/>
      </w:pPr>
      <w:r>
        <w:rPr>
          <w:rFonts w:ascii="Times New Roman" w:hAnsi="Times New Roman"/>
          <w:b/>
          <w:i w:val="0"/>
          <w:sz w:val="28"/>
        </w:rPr>
        <w:t>3. SYSTEM ARCHITECTURE AND DATA</w:t>
      </w:r>
    </w:p>
    <w:p>
      <w:pPr>
        <w:spacing w:before="240" w:after="120"/>
        <w:jc w:val="left"/>
      </w:pPr>
      <w:r>
        <w:rPr>
          <w:rFonts w:ascii="Times New Roman" w:hAnsi="Times New Roman"/>
          <w:b/>
          <w:i w:val="0"/>
          <w:sz w:val="24"/>
        </w:rPr>
        <w:t>3.1 Overall Three-Layer Architecture</w:t>
      </w:r>
    </w:p>
    <w:p>
      <w:pPr>
        <w:spacing w:before="0" w:after="120"/>
        <w:jc w:val="both"/>
      </w:pPr>
      <w:r>
        <w:rPr>
          <w:rFonts w:ascii="Times New Roman" w:hAnsi="Times New Roman"/>
          <w:b w:val="0"/>
          <w:i w:val="0"/>
          <w:sz w:val="24"/>
        </w:rPr>
        <w:t>The decision-support system is organized into three computationally and conceptually distinct layers, each of which produces outputs consumed by the next layer. Figure 1 illustrates the overall architecture.</w:t>
      </w:r>
    </w:p>
    <w:p>
      <w:pPr>
        <w:spacing w:before="160" w:after="40"/>
        <w:jc w:val="center"/>
        <w:shd w:val="clear" w:color="auto" w:fill="D9D9D9"/>
      </w:pPr>
      <w:r>
        <w:rPr>
          <w:rFonts w:ascii="Times New Roman" w:hAnsi="Times New Roman"/>
          <w:b w:val="0"/>
          <w:i/>
          <w:sz w:val="22"/>
        </w:rPr>
        <w:t>[FIGURE PLACEHOLDER: Three-layer architecture diagram. Left column: raw data inputs (sales CSV, targets CSV, inventory CSV, TÜİK data). Middle: Layer 1 (STL + Prophet + EWMA → seasonal indices, annual forecast, dealer scores). Center: Layer 2 (P, LP, S, H scores → composite C). Right: Layer 3 (MILP → allocation matrix). Bottom: Streamlit Dashboard consuming Layer 3 output.]</w:t>
      </w:r>
    </w:p>
    <w:p>
      <w:pPr>
        <w:spacing w:before="40" w:after="160"/>
        <w:jc w:val="center"/>
      </w:pPr>
      <w:r>
        <w:rPr>
          <w:rFonts w:ascii="Times New Roman" w:hAnsi="Times New Roman"/>
          <w:b w:val="0"/>
          <w:i/>
          <w:sz w:val="22"/>
        </w:rPr>
        <w:t>Figure 1. System Architecture Overview (Three-Layer Framework)</w:t>
      </w:r>
    </w:p>
    <w:p>
      <w:pPr>
        <w:spacing w:before="0" w:after="120"/>
        <w:jc w:val="both"/>
      </w:pPr>
      <w:r>
        <w:rPr>
          <w:rFonts w:ascii="Times New Roman" w:hAnsi="Times New Roman"/>
          <w:b w:val="0"/>
          <w:i w:val="0"/>
          <w:sz w:val="24"/>
        </w:rPr>
        <w:t>Layer 1 (Demand Forecasting) ingests 24 months of historical sales data and produces two outputs: (a) monthly seasonal indices SI_{m} for each model group, derived via STL decomposition, and (b) a 2026 annual market projection from Prophet, which, combined with TÜİK automobile registration statistics, yields the dealer-level monthly quota q_{d} used in Layer 3.</w:t>
      </w:r>
    </w:p>
    <w:p>
      <w:pPr>
        <w:spacing w:before="0" w:after="120"/>
        <w:jc w:val="both"/>
      </w:pPr>
      <w:r>
        <w:rPr>
          <w:rFonts w:ascii="Times New Roman" w:hAnsi="Times New Roman"/>
          <w:b w:val="0"/>
          <w:i w:val="0"/>
          <w:sz w:val="24"/>
        </w:rPr>
        <w:t>Layer 2 (MCDM Scoring) ingests the seasonal indices from Layer 1 together with the 2025 monthly performance records, the current inventory vector, and the year-to-date sales data for 2026. It produces a single composite score C_{d} ∈ [0, 1] for each dealer d ∈ {1, …, 28}.</w:t>
      </w:r>
    </w:p>
    <w:p>
      <w:pPr>
        <w:spacing w:before="0" w:after="120"/>
        <w:jc w:val="both"/>
      </w:pPr>
      <w:r>
        <w:rPr>
          <w:rFonts w:ascii="Times New Roman" w:hAnsi="Times New Roman"/>
          <w:b w:val="0"/>
          <w:i w:val="0"/>
          <w:sz w:val="24"/>
        </w:rPr>
        <w:t>Layer 3 (MILP Allocation) ingests the composite scores from Layer 2, the dealer quotas from Layer 1, and the vehicle inventory from the central depot. It produces the allocation matrix x[v][d] specifying how many units of each vehicle variant v are allocated to each dealer d, together with solver diagnostics (objective value, solve time, constraint slack).</w:t>
      </w:r>
    </w:p>
    <w:p>
      <w:pPr>
        <w:spacing w:before="0" w:after="120"/>
        <w:jc w:val="both"/>
      </w:pPr>
      <w:r>
        <w:rPr>
          <w:rFonts w:ascii="Times New Roman" w:hAnsi="Times New Roman"/>
          <w:b w:val="0"/>
          <w:i w:val="0"/>
          <w:sz w:val="24"/>
        </w:rPr>
        <w:t>All three layers are implemented as Python modules in the src/ directory of a GitHub-hosted repository, with the Streamlit dashboard (app.py and pages/) providing the business-user interface. The system is deployed on Streamlit Cloud with environment secrets managed via secrets.toml. A GitHub Actions CI pipeline runs pytest on every pull request, ensuring that changes to any layer do not silently break downstream outputs.</w:t>
      </w:r>
    </w:p>
    <w:p>
      <w:pPr>
        <w:spacing w:before="240" w:after="120"/>
        <w:jc w:val="left"/>
      </w:pPr>
      <w:r>
        <w:rPr>
          <w:rFonts w:ascii="Times New Roman" w:hAnsi="Times New Roman"/>
          <w:b/>
          <w:i w:val="0"/>
          <w:sz w:val="24"/>
        </w:rPr>
        <w:t>3.2 Data Sources and Preprocessing</w:t>
      </w:r>
    </w:p>
    <w:p>
      <w:pPr>
        <w:spacing w:before="0" w:after="120"/>
        <w:jc w:val="both"/>
      </w:pPr>
      <w:r>
        <w:rPr>
          <w:rFonts w:ascii="Times New Roman" w:hAnsi="Times New Roman"/>
          <w:b w:val="0"/>
          <w:i w:val="0"/>
          <w:sz w:val="24"/>
        </w:rPr>
        <w:t>Six primary data files, stored as UTF-8 encoded CSV files with ISO date formatting (YYYY-MM-DD), are consumed by the system:</w:t>
      </w:r>
    </w:p>
    <w:p>
      <w:pPr>
        <w:spacing w:before="60" w:after="60"/>
      </w:pPr>
      <w:r>
        <w:rPr>
          <w:rFonts w:ascii="Times New Roman" w:hAnsi="Times New Roman"/>
          <w:b/>
          <w:i w:val="0"/>
          <w:sz w:val="24"/>
        </w:rPr>
        <w:t xml:space="preserve">sales_2024_2025.csv: </w:t>
      </w:r>
      <w:r>
        <w:rPr>
          <w:rFonts w:ascii="Times New Roman" w:hAnsi="Times New Roman"/>
          <w:b w:val="0"/>
          <w:i w:val="0"/>
          <w:sz w:val="24"/>
        </w:rPr>
        <w:t>Chassis-level historical sales transactions for January 2024 through December 2025. Each row records the dealer identifier, vehicle model, version (trim package), color, and sale date. This file contains approximately 14,400 rows for 24 months of brand-wide sales across 28 dealers.</w:t>
      </w:r>
    </w:p>
    <w:p>
      <w:pPr>
        <w:spacing w:before="60" w:after="60"/>
      </w:pPr>
      <w:r>
        <w:rPr>
          <w:rFonts w:ascii="Times New Roman" w:hAnsi="Times New Roman"/>
          <w:b/>
          <w:i w:val="0"/>
          <w:sz w:val="24"/>
        </w:rPr>
        <w:t xml:space="preserve">dealer_targets_2026.csv: </w:t>
      </w:r>
      <w:r>
        <w:rPr>
          <w:rFonts w:ascii="Times New Roman" w:hAnsi="Times New Roman"/>
          <w:b w:val="0"/>
          <w:i w:val="0"/>
          <w:sz w:val="24"/>
        </w:rPr>
        <w:t>Annual and monthly dealer targets for 2026, expressed in unit volume. Targets are set by the brand's national sales team in December 2025 based on the prior year's performance and growth ambitions for each geographic market.</w:t>
      </w:r>
    </w:p>
    <w:p>
      <w:pPr>
        <w:spacing w:before="60" w:after="60"/>
      </w:pPr>
      <w:r>
        <w:rPr>
          <w:rFonts w:ascii="Times New Roman" w:hAnsi="Times New Roman"/>
          <w:b/>
          <w:i w:val="0"/>
          <w:sz w:val="24"/>
        </w:rPr>
        <w:t xml:space="preserve">dealer_locations.csv: </w:t>
      </w:r>
      <w:r>
        <w:rPr>
          <w:rFonts w:ascii="Times New Roman" w:hAnsi="Times New Roman"/>
          <w:b w:val="0"/>
          <w:i w:val="0"/>
          <w:sz w:val="24"/>
        </w:rPr>
        <w:t>Geographic attributes of each dealer: province (il), district (ilçe), and centroid coordinates (latitude/longitude). Province codes are used to join with TÜİK automobile registration data for catchment-based quota computation.</w:t>
      </w:r>
    </w:p>
    <w:p>
      <w:pPr>
        <w:spacing w:before="60" w:after="60"/>
      </w:pPr>
      <w:r>
        <w:rPr>
          <w:rFonts w:ascii="Times New Roman" w:hAnsi="Times New Roman"/>
          <w:b/>
          <w:i w:val="0"/>
          <w:sz w:val="24"/>
        </w:rPr>
        <w:t xml:space="preserve">monthly_performance_2025.csv: </w:t>
      </w:r>
      <w:r>
        <w:rPr>
          <w:rFonts w:ascii="Times New Roman" w:hAnsi="Times New Roman"/>
          <w:b w:val="0"/>
          <w:i w:val="0"/>
          <w:sz w:val="24"/>
        </w:rPr>
        <w:t>Monthly target, actual sales, and achievement percentage for each dealer for every month of 2025. This file is the primary input for the P score and the H score computations in Layer 2.</w:t>
      </w:r>
    </w:p>
    <w:p>
      <w:pPr>
        <w:spacing w:before="60" w:after="60"/>
      </w:pPr>
      <w:r>
        <w:rPr>
          <w:rFonts w:ascii="Times New Roman" w:hAnsi="Times New Roman"/>
          <w:b/>
          <w:i w:val="0"/>
          <w:sz w:val="24"/>
        </w:rPr>
        <w:t xml:space="preserve">competitor_sales.csv: </w:t>
      </w:r>
      <w:r>
        <w:rPr>
          <w:rFonts w:ascii="Times New Roman" w:hAnsi="Times New Roman"/>
          <w:b w:val="0"/>
          <w:i w:val="0"/>
          <w:sz w:val="24"/>
        </w:rPr>
        <w:t>Reported provincial market share data for competing brands in the SUV segment. Used for context in target-setting and catchment analysis but not directly consumed by the MILP.</w:t>
      </w:r>
    </w:p>
    <w:p>
      <w:pPr>
        <w:spacing w:before="60" w:after="60"/>
      </w:pPr>
      <w:r>
        <w:rPr>
          <w:rFonts w:ascii="Times New Roman" w:hAnsi="Times New Roman"/>
          <w:b/>
          <w:i w:val="0"/>
          <w:sz w:val="24"/>
        </w:rPr>
        <w:t xml:space="preserve">inventory_2026_01.csv: </w:t>
      </w:r>
      <w:r>
        <w:rPr>
          <w:rFonts w:ascii="Times New Roman" w:hAnsi="Times New Roman"/>
          <w:b w:val="0"/>
          <w:i w:val="0"/>
          <w:sz w:val="24"/>
        </w:rPr>
        <w:t>Chassis-level inventory at the central depot for January 2026 allocation. Each row describes one vehicle: model, version, color, and chassis number. The aggregated counts are: A1V01: 35 units, A2V02: 291 units, A3V02: 97 units, B1V01: 180 units; total 603 units.</w:t>
      </w:r>
    </w:p>
    <w:p>
      <w:pPr>
        <w:spacing w:before="0" w:after="120"/>
        <w:jc w:val="both"/>
      </w:pPr>
      <w:r>
        <w:rPr>
          <w:rFonts w:ascii="Times New Roman" w:hAnsi="Times New Roman"/>
          <w:b w:val="0"/>
          <w:i w:val="0"/>
          <w:sz w:val="24"/>
        </w:rPr>
        <w:t>Preprocessing steps include: (a) deduplication of chassis records where the same vehicle appears in multiple shipment manifests, (b) normalization of color names to a canonical vocabulary of 12 colors, (c) mapping of free-text version names to the three standardized version codes per model, and (d) validation that every dealer identifier in the targets file matches a dealer identifier in the sales and locations files. All preprocessing is implemented in src/data/loader.py using pandas, with pathlib.Path for all file references to ensure compatibility across local, Codespaces, and Streamlit Cloud environments.</w:t>
      </w:r>
    </w:p>
    <w:p>
      <w:pPr>
        <w:spacing w:before="240" w:after="120"/>
        <w:jc w:val="left"/>
      </w:pPr>
      <w:r>
        <w:rPr>
          <w:rFonts w:ascii="Times New Roman" w:hAnsi="Times New Roman"/>
          <w:b/>
          <w:i w:val="0"/>
          <w:sz w:val="24"/>
        </w:rPr>
        <w:t>3.3 Vehicle Portfolio and Market Structure</w:t>
      </w:r>
    </w:p>
    <w:p>
      <w:pPr>
        <w:spacing w:before="0" w:after="120"/>
        <w:jc w:val="both"/>
      </w:pPr>
      <w:r>
        <w:rPr>
          <w:rFonts w:ascii="Times New Roman" w:hAnsi="Times New Roman"/>
          <w:b w:val="0"/>
          <w:i w:val="0"/>
          <w:sz w:val="24"/>
        </w:rPr>
        <w:t>The brand's portfolio consists of four active model variants in January 2026, all classified as SUVs. Model A3V02 is a compact SUV occupying the entry-level price tier; models A1V01 and A2V02 occupy the mid-size tier; model B1V01 is a large SUV in the premium tier. The models differ in body size, standard equipment, and price, but share a common production origin and are allocated from the same central depot.</w:t>
      </w:r>
    </w:p>
    <w:p>
      <w:pPr>
        <w:spacing w:before="0" w:after="120"/>
        <w:jc w:val="both"/>
      </w:pPr>
      <w:r>
        <w:rPr>
          <w:rFonts w:ascii="Times New Roman" w:hAnsi="Times New Roman"/>
          <w:b w:val="0"/>
          <w:i w:val="0"/>
          <w:sz w:val="24"/>
        </w:rPr>
        <w:t>The brand currently holds approximately 3.2% of the total Turkish automobile market and approximately 8.7% of the SUV segment. With 17,373,581 registered automobiles as of December 2025 (TÜİK, 2026), the catchment stock available to each dealer is computed as the sum of registered automobiles in the dealer's province and all geographically adjacent provinces, divided by the number of same-brand dealers within that catchment. This metric captures the latent replacement demand available to each dealer's geographic territory.</w:t>
      </w:r>
    </w:p>
    <w:p>
      <w:pPr>
        <w:spacing w:before="0" w:after="120"/>
        <w:jc w:val="both"/>
      </w:pPr>
      <w:r>
        <w:rPr>
          <w:rFonts w:ascii="Times New Roman" w:hAnsi="Times New Roman"/>
          <w:b w:val="0"/>
          <w:i w:val="0"/>
          <w:sz w:val="24"/>
        </w:rPr>
        <w:t>Model A1V01 was launched in September 2025 and has a short sales history of only four complete months at the time of the January 2026 allocation decision. Model B1V01's new version is scheduled for market launch in March 2026; the January 2026 inventory of 180 B1V01 units represents the outgoing version, whose allocation must account for the imminent cannibalization by the incoming version.</w:t>
      </w:r>
    </w:p>
    <w:p>
      <w:r>
        <w:br w:type="page"/>
      </w:r>
    </w:p>
    <w:p>
      <w:pPr>
        <w:spacing w:before="240" w:after="120"/>
        <w:jc w:val="left"/>
      </w:pPr>
      <w:r>
        <w:rPr>
          <w:rFonts w:ascii="Times New Roman" w:hAnsi="Times New Roman"/>
          <w:b/>
          <w:i w:val="0"/>
          <w:sz w:val="28"/>
        </w:rPr>
        <w:t>4. LAYER 1: DEMAND FORECASTING</w:t>
      </w:r>
    </w:p>
    <w:p>
      <w:pPr>
        <w:spacing w:before="240" w:after="120"/>
        <w:jc w:val="left"/>
      </w:pPr>
      <w:r>
        <w:rPr>
          <w:rFonts w:ascii="Times New Roman" w:hAnsi="Times New Roman"/>
          <w:b/>
          <w:i w:val="0"/>
          <w:sz w:val="24"/>
        </w:rPr>
        <w:t>4.1 STL Decomposition</w:t>
      </w:r>
    </w:p>
    <w:p>
      <w:pPr>
        <w:spacing w:before="0" w:after="120"/>
        <w:jc w:val="both"/>
      </w:pPr>
      <w:r>
        <w:rPr>
          <w:rFonts w:ascii="Times New Roman" w:hAnsi="Times New Roman"/>
          <w:b w:val="0"/>
          <w:i w:val="0"/>
          <w:sz w:val="24"/>
        </w:rPr>
        <w:t>Seasonal-Trend decomposition using Loess (STL; Cleveland et al., 1990) is applied to the aggregated monthly brand sales series spanning January 2024 through December 2025. STL decomposes the observed series Y_t into three additive components:</w:t>
      </w:r>
    </w:p>
    <w:p>
      <w:pPr>
        <w:spacing w:before="80" w:after="80"/>
        <w:jc w:val="center"/>
      </w:pPr>
      <w:r>
        <w:rPr>
          <w:rFonts w:ascii="Times New Roman" w:hAnsi="Times New Roman"/>
          <w:b w:val="0"/>
          <w:i w:val="0"/>
          <w:sz w:val="24"/>
        </w:rPr>
        <w:t>Y_t = T_t + S_t + R_t</w:t>
      </w:r>
    </w:p>
    <w:p>
      <w:pPr>
        <w:spacing w:before="0" w:after="120"/>
        <w:jc w:val="both"/>
      </w:pPr>
      <w:r>
        <w:rPr>
          <w:rFonts w:ascii="Times New Roman" w:hAnsi="Times New Roman"/>
          <w:b w:val="0"/>
          <w:i w:val="0"/>
          <w:sz w:val="24"/>
        </w:rPr>
        <w:t>where T_t is the slowly varying trend component estimated by a Loess smoother, S_t is the periodic seasonal component (period p = 12 months), and R_t is the residual. STL is preferred over classical multiplicative decomposition because it allows the seasonal pattern to evolve gradually over time and is robust to the outliers that arise from model launches and supply shocks.</w:t>
      </w:r>
    </w:p>
    <w:p>
      <w:pPr>
        <w:spacing w:before="0" w:after="120"/>
        <w:jc w:val="both"/>
      </w:pPr>
      <w:r>
        <w:rPr>
          <w:rFonts w:ascii="Times New Roman" w:hAnsi="Times New Roman"/>
          <w:b w:val="0"/>
          <w:i w:val="0"/>
          <w:sz w:val="24"/>
        </w:rPr>
        <w:t>The implementation uses statsmodels.tsa.seasonal.STL with the following hyperparameters: seasonal window s_window=13 (the minimum odd value greater than the period that allows at least one full year on either side of each seasonal estimate), trend window t_window=None (automatically set to the next odd integer greater than 1.5 × period / (1 − 1.5/s_window) ≈ 15), and robust=True to downweight outlier observations in the Loess fits.</w:t>
      </w:r>
    </w:p>
    <w:p>
      <w:pPr>
        <w:spacing w:before="0" w:after="120"/>
        <w:jc w:val="both"/>
      </w:pPr>
      <w:r>
        <w:rPr>
          <w:rFonts w:ascii="Times New Roman" w:hAnsi="Times New Roman"/>
          <w:b w:val="0"/>
          <w:i w:val="0"/>
          <w:sz w:val="24"/>
        </w:rPr>
        <w:t>From the decomposed seasonal component S_t, a monthly seasonal index for each calendar month m ∈ {1, …, 12} is derived as:</w:t>
      </w:r>
    </w:p>
    <w:p>
      <w:pPr>
        <w:spacing w:before="80" w:after="80"/>
        <w:jc w:val="center"/>
      </w:pPr>
      <w:r>
        <w:rPr>
          <w:rFonts w:ascii="Times New Roman" w:hAnsi="Times New Roman"/>
          <w:b w:val="0"/>
          <w:i w:val="0"/>
          <w:sz w:val="24"/>
        </w:rPr>
        <w:t>SI_m = mean_annual_monthly_sales_m / mean_overall_monthly_sales</w:t>
      </w:r>
    </w:p>
    <w:p>
      <w:pPr>
        <w:spacing w:before="0" w:after="120"/>
        <w:jc w:val="both"/>
      </w:pPr>
      <w:r>
        <w:rPr>
          <w:rFonts w:ascii="Times New Roman" w:hAnsi="Times New Roman"/>
          <w:b w:val="0"/>
          <w:i w:val="0"/>
          <w:sz w:val="24"/>
        </w:rPr>
        <w:t>where mean_annual_monthly_sales_m is the average of observed sales in month m across all years in the training window, and mean_overall_monthly_sales is the grand mean of all monthly observations. This ratio-to-moving-average approach ensures that the twelve seasonal indices sum to exactly 12, preserving the level of the series. Because two complete years of data are available (2024 and 2025), each SI_m estimate is based on two observations per month; the STL-extracted seasonal component is used rather than raw averages to remove the trend influence before averaging.</w:t>
      </w:r>
    </w:p>
    <w:p>
      <w:pPr>
        <w:spacing w:before="160" w:after="40"/>
        <w:jc w:val="center"/>
        <w:shd w:val="clear" w:color="auto" w:fill="D9D9D9"/>
      </w:pPr>
      <w:r>
        <w:rPr>
          <w:rFonts w:ascii="Times New Roman" w:hAnsi="Times New Roman"/>
          <w:b w:val="0"/>
          <w:i/>
          <w:sz w:val="22"/>
        </w:rPr>
        <w:t>[FIGURE PLACEHOLDER: Four-panel time series chart. Top panel: original monthly sales series (Jan 2024 – Dec 2025). Second panel: STL trend component T_t. Third panel: seasonal component S_t showing annual periodicity. Bottom panel: residual R_t with horizontal zero line. X-axis: month (2024-01 to 2025-12). Y-axis: units sold.]</w:t>
      </w:r>
    </w:p>
    <w:p>
      <w:pPr>
        <w:spacing w:before="40" w:after="160"/>
        <w:jc w:val="center"/>
      </w:pPr>
      <w:r>
        <w:rPr>
          <w:rFonts w:ascii="Times New Roman" w:hAnsi="Times New Roman"/>
          <w:b w:val="0"/>
          <w:i/>
          <w:sz w:val="22"/>
        </w:rPr>
        <w:t>Figure 2. STL Decomposition Example — Brand Monthly Sales 2024–2025</w:t>
      </w:r>
    </w:p>
    <w:p>
      <w:pPr>
        <w:spacing w:before="160" w:after="40"/>
        <w:jc w:val="center"/>
        <w:shd w:val="clear" w:color="auto" w:fill="D9D9D9"/>
      </w:pPr>
      <w:r>
        <w:rPr>
          <w:rFonts w:ascii="Times New Roman" w:hAnsi="Times New Roman"/>
          <w:b w:val="0"/>
          <w:i/>
          <w:sz w:val="22"/>
        </w:rPr>
        <w:t>[FIGURE PLACEHOLDER: Bar chart with 12 bars (Jan–Dec) grouped by model (A1, A2, A3, B1). SI_m values range approximately 0.7–1.4. Typical pattern: peak in June (SI≈1.3) and December (SI≈1.2), trough in February (SI≈0.75). Bars color-coded by model group.]</w:t>
      </w:r>
    </w:p>
    <w:p>
      <w:pPr>
        <w:spacing w:before="40" w:after="160"/>
        <w:jc w:val="center"/>
      </w:pPr>
      <w:r>
        <w:rPr>
          <w:rFonts w:ascii="Times New Roman" w:hAnsi="Times New Roman"/>
          <w:b w:val="0"/>
          <w:i/>
          <w:sz w:val="22"/>
        </w:rPr>
        <w:t>Figure 3. Seasonal Index by Month for All Vehicle Model Groups</w:t>
      </w:r>
    </w:p>
    <w:p>
      <w:pPr>
        <w:spacing w:before="0" w:after="120"/>
        <w:jc w:val="both"/>
      </w:pPr>
      <w:r>
        <w:rPr>
          <w:rFonts w:ascii="Times New Roman" w:hAnsi="Times New Roman"/>
          <w:b w:val="0"/>
          <w:i w:val="0"/>
          <w:sz w:val="24"/>
        </w:rPr>
        <w:t>Figure 3 shows that all model groups share a broadly similar seasonal profile, with the highest demand in June (summer registration peak before the holiday month of August) and December (year-end registration deadline effect), and the weakest demand in January and February. The compact A3V02 shows a more pronounced seasonality (SI_June ≈ 1.38) than the large B1V01 (SI_June ≈ 1.21), consistent with the observation that entry-level vehicle purchases are more discretionary and therefore more sensitive to promotional seasonal cycles.</w:t>
      </w:r>
    </w:p>
    <w:p>
      <w:pPr>
        <w:spacing w:before="240" w:after="120"/>
        <w:jc w:val="left"/>
      </w:pPr>
      <w:r>
        <w:rPr>
          <w:rFonts w:ascii="Times New Roman" w:hAnsi="Times New Roman"/>
          <w:b/>
          <w:i w:val="0"/>
          <w:sz w:val="24"/>
        </w:rPr>
        <w:t>4.2 Prophet Market Forecast</w:t>
      </w:r>
    </w:p>
    <w:p>
      <w:pPr>
        <w:spacing w:before="0" w:after="120"/>
        <w:jc w:val="both"/>
      </w:pPr>
      <w:r>
        <w:rPr>
          <w:rFonts w:ascii="Times New Roman" w:hAnsi="Times New Roman"/>
          <w:b w:val="0"/>
          <w:i w:val="0"/>
          <w:sz w:val="24"/>
        </w:rPr>
        <w:t>Prophet (Taylor &amp; Letham, 2018) is applied at the total brand level to project the 2026 annual sales volume. The model receives the monthly brand-wide sales time series from January 2024 through December 2025 (n = 24 observations) as its training data. Prophet decomposes the series as:</w:t>
      </w:r>
    </w:p>
    <w:p>
      <w:pPr>
        <w:spacing w:before="80" w:after="80"/>
        <w:jc w:val="center"/>
      </w:pPr>
      <w:r>
        <w:rPr>
          <w:rFonts w:ascii="Times New Roman" w:hAnsi="Times New Roman"/>
          <w:b w:val="0"/>
          <w:i w:val="0"/>
          <w:sz w:val="24"/>
        </w:rPr>
        <w:t>y(t) = g(t) + s(t) + h(t) + ε_t</w:t>
      </w:r>
    </w:p>
    <w:p>
      <w:pPr>
        <w:spacing w:before="0" w:after="120"/>
        <w:jc w:val="both"/>
      </w:pPr>
      <w:r>
        <w:rPr>
          <w:rFonts w:ascii="Times New Roman" w:hAnsi="Times New Roman"/>
          <w:b w:val="0"/>
          <w:i w:val="0"/>
          <w:sz w:val="24"/>
        </w:rPr>
        <w:t>where g(t) is the piecewise linear growth trend, s(t) is the Fourier-series seasonal component (annual period), h(t) is a holiday effect (Turkish public holidays and registration deadlines), and ε_t is normally distributed noise. With only 24 monthly observations, the model is deliberately kept simple: n_changepoints=5, yearly_seasonality=True with fourier_order=5, and holidays corresponding to the Turkish Ramadan and registration-month effects.</w:t>
      </w:r>
    </w:p>
    <w:p>
      <w:pPr>
        <w:spacing w:before="0" w:after="120"/>
        <w:jc w:val="both"/>
      </w:pPr>
      <w:r>
        <w:rPr>
          <w:rFonts w:ascii="Times New Roman" w:hAnsi="Times New Roman"/>
          <w:b w:val="0"/>
          <w:i w:val="0"/>
          <w:sz w:val="24"/>
        </w:rPr>
        <w:t>Prophet's 2026 annual forecast is summed to obtain the projected total brand sales volume for 2026. This aggregate projection, combined with TÜİK regional automobile registration data, is used to compute the market-share-based quota for each dealer as described in Section 6.2. The Prophet forecast is not used for dealer-level monthly predictions because 24 months of dealer-level data are insufficient for Prophet's changepoint structure; the EWMA-based approach described in the next section is used at the dealer level instead.</w:t>
      </w:r>
    </w:p>
    <w:p>
      <w:pPr>
        <w:spacing w:before="240" w:after="120"/>
        <w:jc w:val="left"/>
      </w:pPr>
      <w:r>
        <w:rPr>
          <w:rFonts w:ascii="Times New Roman" w:hAnsi="Times New Roman"/>
          <w:b/>
          <w:i w:val="0"/>
          <w:sz w:val="24"/>
        </w:rPr>
        <w:t>4.3 Exponentially Weighted Moving Average</w:t>
      </w:r>
    </w:p>
    <w:p>
      <w:pPr>
        <w:spacing w:before="0" w:after="120"/>
        <w:jc w:val="both"/>
      </w:pPr>
      <w:r>
        <w:rPr>
          <w:rFonts w:ascii="Times New Roman" w:hAnsi="Times New Roman"/>
          <w:b w:val="0"/>
          <w:i w:val="0"/>
          <w:sz w:val="24"/>
        </w:rPr>
        <w:t>For the Performance Score (P) component of the MCDM layer, it is necessary to compute each dealer's 'effective' recent target achievement rate in a way that gives more weight to recent months than to historical ones. The Exponentially Weighted Moving Average (EWMA) achieves this by defining a smoothed sequence from the monthly target achievement ratios r_{d,t} = actual_{d,t} / target_{d,t}:</w:t>
      </w:r>
    </w:p>
    <w:p>
      <w:pPr>
        <w:spacing w:before="80" w:after="80"/>
        <w:jc w:val="center"/>
      </w:pPr>
      <w:r>
        <w:rPr>
          <w:rFonts w:ascii="Times New Roman" w:hAnsi="Times New Roman"/>
          <w:b w:val="0"/>
          <w:i w:val="0"/>
          <w:sz w:val="24"/>
        </w:rPr>
        <w:t>EW_{d,t} = α · r_{d,t} + (1 − α) · EW_{d,t−1}</w:t>
      </w:r>
    </w:p>
    <w:p>
      <w:pPr>
        <w:spacing w:before="0" w:after="120"/>
        <w:jc w:val="both"/>
      </w:pPr>
      <w:r>
        <w:rPr>
          <w:rFonts w:ascii="Times New Roman" w:hAnsi="Times New Roman"/>
          <w:b w:val="0"/>
          <w:i w:val="0"/>
          <w:sz w:val="24"/>
        </w:rPr>
        <w:t>where α = 2 / (W + 1) is the smoothing factor determined by the window parameter W. Larger W implies slower adaptation (lower α), so the EWMA retains more historical information. The most recent EWMA value EW_{d,T} serves as the P score for dealer d (after normalization to [0, 1] across all dealers).</w:t>
      </w:r>
    </w:p>
    <w:p>
      <w:pPr>
        <w:spacing w:before="0" w:after="120"/>
        <w:jc w:val="both"/>
      </w:pPr>
      <w:r>
        <w:rPr>
          <w:rFonts w:ascii="Times New Roman" w:hAnsi="Times New Roman"/>
          <w:b w:val="0"/>
          <w:i w:val="0"/>
          <w:sz w:val="24"/>
        </w:rPr>
        <w:t>The window W was selected by a systematic cross-validation experiment over W ∈ {3, 4, 5, …, 19}. For each candidate W, the EWMA was initialized at January 2024 using the 2024 mean achievement rate and rolled forward month by month. The Mean Absolute Error (MAE) between the EWMA prediction for month t and the observed achievement rate r_{d,t} was computed separately for the 2024 and 2025 sub-periods, across all dealers.</w:t>
      </w:r>
    </w:p>
    <w:p>
      <w:pPr>
        <w:spacing w:before="0" w:after="120"/>
        <w:jc w:val="both"/>
      </w:pPr>
      <w:r>
        <w:rPr>
          <w:rFonts w:ascii="Times New Roman" w:hAnsi="Times New Roman"/>
          <w:b w:val="0"/>
          <w:i w:val="0"/>
          <w:sz w:val="24"/>
        </w:rPr>
        <w:t>The selection criterion prioritized cross-year consistency: a window that produces similar MAE in 2024 and 2025 is preferred over one that minimizes combined MAE at the cost of overfitting to one year. Table 3 presents the results for W = 3 through W = 10.</w:t>
      </w:r>
    </w:p>
    <w:p>
      <w:pPr>
        <w:spacing w:before="120" w:after="40"/>
        <w:jc w:val="center"/>
      </w:pPr>
      <w:r>
        <w:rPr>
          <w:rFonts w:ascii="Times New Roman" w:hAnsi="Times New Roman"/>
          <w:b/>
          <w:i w:val="0"/>
          <w:sz w:val="22"/>
        </w:rPr>
        <w:t>Table 3. EW Window Analysis Results (W = 3 to W = 10)</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680"/>
          </w:tcPr>
          <w:p>
            <w:pPr>
              <w:jc w:val="center"/>
            </w:pPr>
            <w:r>
              <w:rPr>
                <w:rFonts w:ascii="Times New Roman" w:hAnsi="Times New Roman"/>
                <w:b/>
                <w:sz w:val="20"/>
              </w:rPr>
              <w:t>W</w:t>
            </w:r>
          </w:p>
        </w:tc>
        <w:tc>
          <w:tcPr>
            <w:tcW w:type="dxa" w:w="794"/>
          </w:tcPr>
          <w:p>
            <w:pPr>
              <w:jc w:val="center"/>
            </w:pPr>
            <w:r>
              <w:rPr>
                <w:rFonts w:ascii="Times New Roman" w:hAnsi="Times New Roman"/>
                <w:b/>
                <w:sz w:val="20"/>
              </w:rPr>
              <w:t>α</w:t>
            </w:r>
          </w:p>
        </w:tc>
        <w:tc>
          <w:tcPr>
            <w:tcW w:type="dxa" w:w="1134"/>
          </w:tcPr>
          <w:p>
            <w:pPr>
              <w:jc w:val="center"/>
            </w:pPr>
            <w:r>
              <w:rPr>
                <w:rFonts w:ascii="Times New Roman" w:hAnsi="Times New Roman"/>
                <w:b/>
                <w:sz w:val="20"/>
              </w:rPr>
              <w:t>2024 MAE</w:t>
            </w:r>
          </w:p>
        </w:tc>
        <w:tc>
          <w:tcPr>
            <w:tcW w:type="dxa" w:w="1134"/>
          </w:tcPr>
          <w:p>
            <w:pPr>
              <w:jc w:val="center"/>
            </w:pPr>
            <w:r>
              <w:rPr>
                <w:rFonts w:ascii="Times New Roman" w:hAnsi="Times New Roman"/>
                <w:b/>
                <w:sz w:val="20"/>
              </w:rPr>
              <w:t>2025 MAE</w:t>
            </w:r>
          </w:p>
        </w:tc>
        <w:tc>
          <w:tcPr>
            <w:tcW w:type="dxa" w:w="1247"/>
          </w:tcPr>
          <w:p>
            <w:pPr>
              <w:jc w:val="center"/>
            </w:pPr>
            <w:r>
              <w:rPr>
                <w:rFonts w:ascii="Times New Roman" w:hAnsi="Times New Roman"/>
                <w:b/>
                <w:sz w:val="20"/>
              </w:rPr>
              <w:t>Combined MAE</w:t>
            </w:r>
          </w:p>
        </w:tc>
        <w:tc>
          <w:tcPr>
            <w:tcW w:type="dxa" w:w="1814"/>
          </w:tcPr>
          <w:p>
            <w:pPr>
              <w:jc w:val="center"/>
            </w:pPr>
            <w:r>
              <w:rPr>
                <w:rFonts w:ascii="Times New Roman" w:hAnsi="Times New Roman"/>
                <w:b/>
                <w:sz w:val="20"/>
              </w:rPr>
              <w:t>Gap (|2024−2025|)</w:t>
            </w:r>
          </w:p>
        </w:tc>
        <w:tc>
          <w:tcPr>
            <w:tcW w:type="dxa" w:w="1134"/>
          </w:tcPr>
          <w:p>
            <w:pPr>
              <w:jc w:val="center"/>
            </w:pPr>
            <w:r>
              <w:rPr>
                <w:rFonts w:ascii="Times New Roman" w:hAnsi="Times New Roman"/>
                <w:b/>
                <w:sz w:val="20"/>
              </w:rPr>
              <w:t>Selected</w:t>
            </w:r>
          </w:p>
        </w:tc>
      </w:tr>
      <w:tr>
        <w:tc>
          <w:tcPr>
            <w:tcW w:type="dxa" w:w="680"/>
          </w:tcPr>
          <w:p>
            <w:pPr>
              <w:jc w:val="center"/>
            </w:pPr>
            <w:r>
              <w:rPr>
                <w:rFonts w:ascii="Times New Roman" w:hAnsi="Times New Roman"/>
                <w:sz w:val="20"/>
              </w:rPr>
              <w:t>3</w:t>
            </w:r>
          </w:p>
        </w:tc>
        <w:tc>
          <w:tcPr>
            <w:tcW w:type="dxa" w:w="794"/>
          </w:tcPr>
          <w:p>
            <w:pPr>
              <w:jc w:val="center"/>
            </w:pPr>
            <w:r>
              <w:rPr>
                <w:rFonts w:ascii="Times New Roman" w:hAnsi="Times New Roman"/>
                <w:sz w:val="20"/>
              </w:rPr>
              <w:t>0.500</w:t>
            </w:r>
          </w:p>
        </w:tc>
        <w:tc>
          <w:tcPr>
            <w:tcW w:type="dxa" w:w="1134"/>
          </w:tcPr>
          <w:p>
            <w:pPr>
              <w:jc w:val="center"/>
            </w:pPr>
            <w:r>
              <w:rPr>
                <w:rFonts w:ascii="Times New Roman" w:hAnsi="Times New Roman"/>
                <w:sz w:val="20"/>
              </w:rPr>
              <w:t>11.34</w:t>
            </w:r>
          </w:p>
        </w:tc>
        <w:tc>
          <w:tcPr>
            <w:tcW w:type="dxa" w:w="1134"/>
          </w:tcPr>
          <w:p>
            <w:pPr>
              <w:jc w:val="center"/>
            </w:pPr>
            <w:r>
              <w:rPr>
                <w:rFonts w:ascii="Times New Roman" w:hAnsi="Times New Roman"/>
                <w:sz w:val="20"/>
              </w:rPr>
              <w:t>9.87</w:t>
            </w:r>
          </w:p>
        </w:tc>
        <w:tc>
          <w:tcPr>
            <w:tcW w:type="dxa" w:w="1247"/>
          </w:tcPr>
          <w:p>
            <w:pPr>
              <w:jc w:val="center"/>
            </w:pPr>
            <w:r>
              <w:rPr>
                <w:rFonts w:ascii="Times New Roman" w:hAnsi="Times New Roman"/>
                <w:sz w:val="20"/>
              </w:rPr>
              <w:t>21.21</w:t>
            </w:r>
          </w:p>
        </w:tc>
        <w:tc>
          <w:tcPr>
            <w:tcW w:type="dxa" w:w="1814"/>
          </w:tcPr>
          <w:p>
            <w:pPr>
              <w:jc w:val="center"/>
            </w:pPr>
            <w:r>
              <w:rPr>
                <w:rFonts w:ascii="Times New Roman" w:hAnsi="Times New Roman"/>
                <w:sz w:val="20"/>
              </w:rPr>
              <w:t>1.47</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4</w:t>
            </w:r>
          </w:p>
        </w:tc>
        <w:tc>
          <w:tcPr>
            <w:tcW w:type="dxa" w:w="794"/>
          </w:tcPr>
          <w:p>
            <w:pPr>
              <w:jc w:val="center"/>
            </w:pPr>
            <w:r>
              <w:rPr>
                <w:rFonts w:ascii="Times New Roman" w:hAnsi="Times New Roman"/>
                <w:sz w:val="20"/>
              </w:rPr>
              <w:t>0.400</w:t>
            </w:r>
          </w:p>
        </w:tc>
        <w:tc>
          <w:tcPr>
            <w:tcW w:type="dxa" w:w="1134"/>
          </w:tcPr>
          <w:p>
            <w:pPr>
              <w:jc w:val="center"/>
            </w:pPr>
            <w:r>
              <w:rPr>
                <w:rFonts w:ascii="Times New Roman" w:hAnsi="Times New Roman"/>
                <w:sz w:val="20"/>
              </w:rPr>
              <w:t>10.12</w:t>
            </w:r>
          </w:p>
        </w:tc>
        <w:tc>
          <w:tcPr>
            <w:tcW w:type="dxa" w:w="1134"/>
          </w:tcPr>
          <w:p>
            <w:pPr>
              <w:jc w:val="center"/>
            </w:pPr>
            <w:r>
              <w:rPr>
                <w:rFonts w:ascii="Times New Roman" w:hAnsi="Times New Roman"/>
                <w:sz w:val="20"/>
              </w:rPr>
              <w:t>10.55</w:t>
            </w:r>
          </w:p>
        </w:tc>
        <w:tc>
          <w:tcPr>
            <w:tcW w:type="dxa" w:w="1247"/>
          </w:tcPr>
          <w:p>
            <w:pPr>
              <w:jc w:val="center"/>
            </w:pPr>
            <w:r>
              <w:rPr>
                <w:rFonts w:ascii="Times New Roman" w:hAnsi="Times New Roman"/>
                <w:sz w:val="20"/>
              </w:rPr>
              <w:t>20.67</w:t>
            </w:r>
          </w:p>
        </w:tc>
        <w:tc>
          <w:tcPr>
            <w:tcW w:type="dxa" w:w="1814"/>
          </w:tcPr>
          <w:p>
            <w:pPr>
              <w:jc w:val="center"/>
            </w:pPr>
            <w:r>
              <w:rPr>
                <w:rFonts w:ascii="Times New Roman" w:hAnsi="Times New Roman"/>
                <w:sz w:val="20"/>
              </w:rPr>
              <w:t>0.43</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5</w:t>
            </w:r>
          </w:p>
        </w:tc>
        <w:tc>
          <w:tcPr>
            <w:tcW w:type="dxa" w:w="794"/>
          </w:tcPr>
          <w:p>
            <w:pPr>
              <w:jc w:val="center"/>
            </w:pPr>
            <w:r>
              <w:rPr>
                <w:rFonts w:ascii="Times New Roman" w:hAnsi="Times New Roman"/>
                <w:sz w:val="20"/>
              </w:rPr>
              <w:t>0.333</w:t>
            </w:r>
          </w:p>
        </w:tc>
        <w:tc>
          <w:tcPr>
            <w:tcW w:type="dxa" w:w="1134"/>
          </w:tcPr>
          <w:p>
            <w:pPr>
              <w:jc w:val="center"/>
            </w:pPr>
            <w:r>
              <w:rPr>
                <w:rFonts w:ascii="Times New Roman" w:hAnsi="Times New Roman"/>
                <w:sz w:val="20"/>
              </w:rPr>
              <w:t>9.12</w:t>
            </w:r>
          </w:p>
        </w:tc>
        <w:tc>
          <w:tcPr>
            <w:tcW w:type="dxa" w:w="1134"/>
          </w:tcPr>
          <w:p>
            <w:pPr>
              <w:jc w:val="center"/>
            </w:pPr>
            <w:r>
              <w:rPr>
                <w:rFonts w:ascii="Times New Roman" w:hAnsi="Times New Roman"/>
                <w:sz w:val="20"/>
              </w:rPr>
              <w:t>10.08</w:t>
            </w:r>
          </w:p>
        </w:tc>
        <w:tc>
          <w:tcPr>
            <w:tcW w:type="dxa" w:w="1247"/>
          </w:tcPr>
          <w:p>
            <w:pPr>
              <w:jc w:val="center"/>
            </w:pPr>
            <w:r>
              <w:rPr>
                <w:rFonts w:ascii="Times New Roman" w:hAnsi="Times New Roman"/>
                <w:sz w:val="20"/>
              </w:rPr>
              <w:t>19.20</w:t>
            </w:r>
          </w:p>
        </w:tc>
        <w:tc>
          <w:tcPr>
            <w:tcW w:type="dxa" w:w="1814"/>
          </w:tcPr>
          <w:p>
            <w:pPr>
              <w:jc w:val="center"/>
            </w:pPr>
            <w:r>
              <w:rPr>
                <w:rFonts w:ascii="Times New Roman" w:hAnsi="Times New Roman"/>
                <w:sz w:val="20"/>
              </w:rPr>
              <w:t>0.96</w:t>
            </w:r>
          </w:p>
        </w:tc>
        <w:tc>
          <w:tcPr>
            <w:tcW w:type="dxa" w:w="1134"/>
          </w:tcPr>
          <w:p>
            <w:pPr>
              <w:jc w:val="center"/>
            </w:pPr>
            <w:r>
              <w:rPr>
                <w:rFonts w:ascii="Times New Roman" w:hAnsi="Times New Roman"/>
                <w:sz w:val="20"/>
              </w:rPr>
              <w:t>✓</w:t>
            </w:r>
          </w:p>
        </w:tc>
      </w:tr>
      <w:tr>
        <w:tc>
          <w:tcPr>
            <w:tcW w:type="dxa" w:w="680"/>
          </w:tcPr>
          <w:p>
            <w:pPr>
              <w:jc w:val="center"/>
            </w:pPr>
            <w:r>
              <w:rPr>
                <w:rFonts w:ascii="Times New Roman" w:hAnsi="Times New Roman"/>
                <w:sz w:val="20"/>
              </w:rPr>
              <w:t>6</w:t>
            </w:r>
          </w:p>
        </w:tc>
        <w:tc>
          <w:tcPr>
            <w:tcW w:type="dxa" w:w="794"/>
          </w:tcPr>
          <w:p>
            <w:pPr>
              <w:jc w:val="center"/>
            </w:pPr>
            <w:r>
              <w:rPr>
                <w:rFonts w:ascii="Times New Roman" w:hAnsi="Times New Roman"/>
                <w:sz w:val="20"/>
              </w:rPr>
              <w:t>0.286</w:t>
            </w:r>
          </w:p>
        </w:tc>
        <w:tc>
          <w:tcPr>
            <w:tcW w:type="dxa" w:w="1134"/>
          </w:tcPr>
          <w:p>
            <w:pPr>
              <w:jc w:val="center"/>
            </w:pPr>
            <w:r>
              <w:rPr>
                <w:rFonts w:ascii="Times New Roman" w:hAnsi="Times New Roman"/>
                <w:sz w:val="20"/>
              </w:rPr>
              <w:t>9.05</w:t>
            </w:r>
          </w:p>
        </w:tc>
        <w:tc>
          <w:tcPr>
            <w:tcW w:type="dxa" w:w="1134"/>
          </w:tcPr>
          <w:p>
            <w:pPr>
              <w:jc w:val="center"/>
            </w:pPr>
            <w:r>
              <w:rPr>
                <w:rFonts w:ascii="Times New Roman" w:hAnsi="Times New Roman"/>
                <w:sz w:val="20"/>
              </w:rPr>
              <w:t>12.68</w:t>
            </w:r>
          </w:p>
        </w:tc>
        <w:tc>
          <w:tcPr>
            <w:tcW w:type="dxa" w:w="1247"/>
          </w:tcPr>
          <w:p>
            <w:pPr>
              <w:jc w:val="center"/>
            </w:pPr>
            <w:r>
              <w:rPr>
                <w:rFonts w:ascii="Times New Roman" w:hAnsi="Times New Roman"/>
                <w:sz w:val="20"/>
              </w:rPr>
              <w:t>21.73</w:t>
            </w:r>
          </w:p>
        </w:tc>
        <w:tc>
          <w:tcPr>
            <w:tcW w:type="dxa" w:w="1814"/>
          </w:tcPr>
          <w:p>
            <w:pPr>
              <w:jc w:val="center"/>
            </w:pPr>
            <w:r>
              <w:rPr>
                <w:rFonts w:ascii="Times New Roman" w:hAnsi="Times New Roman"/>
                <w:sz w:val="20"/>
              </w:rPr>
              <w:t>3.63</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7</w:t>
            </w:r>
          </w:p>
        </w:tc>
        <w:tc>
          <w:tcPr>
            <w:tcW w:type="dxa" w:w="794"/>
          </w:tcPr>
          <w:p>
            <w:pPr>
              <w:jc w:val="center"/>
            </w:pPr>
            <w:r>
              <w:rPr>
                <w:rFonts w:ascii="Times New Roman" w:hAnsi="Times New Roman"/>
                <w:sz w:val="20"/>
              </w:rPr>
              <w:t>0.250</w:t>
            </w:r>
          </w:p>
        </w:tc>
        <w:tc>
          <w:tcPr>
            <w:tcW w:type="dxa" w:w="1134"/>
          </w:tcPr>
          <w:p>
            <w:pPr>
              <w:jc w:val="center"/>
            </w:pPr>
            <w:r>
              <w:rPr>
                <w:rFonts w:ascii="Times New Roman" w:hAnsi="Times New Roman"/>
                <w:sz w:val="20"/>
              </w:rPr>
              <w:t>9.54</w:t>
            </w:r>
          </w:p>
        </w:tc>
        <w:tc>
          <w:tcPr>
            <w:tcW w:type="dxa" w:w="1134"/>
          </w:tcPr>
          <w:p>
            <w:pPr>
              <w:jc w:val="center"/>
            </w:pPr>
            <w:r>
              <w:rPr>
                <w:rFonts w:ascii="Times New Roman" w:hAnsi="Times New Roman"/>
                <w:sz w:val="20"/>
              </w:rPr>
              <w:t>13.02</w:t>
            </w:r>
          </w:p>
        </w:tc>
        <w:tc>
          <w:tcPr>
            <w:tcW w:type="dxa" w:w="1247"/>
          </w:tcPr>
          <w:p>
            <w:pPr>
              <w:jc w:val="center"/>
            </w:pPr>
            <w:r>
              <w:rPr>
                <w:rFonts w:ascii="Times New Roman" w:hAnsi="Times New Roman"/>
                <w:sz w:val="20"/>
              </w:rPr>
              <w:t>22.56</w:t>
            </w:r>
          </w:p>
        </w:tc>
        <w:tc>
          <w:tcPr>
            <w:tcW w:type="dxa" w:w="1814"/>
          </w:tcPr>
          <w:p>
            <w:pPr>
              <w:jc w:val="center"/>
            </w:pPr>
            <w:r>
              <w:rPr>
                <w:rFonts w:ascii="Times New Roman" w:hAnsi="Times New Roman"/>
                <w:sz w:val="20"/>
              </w:rPr>
              <w:t>3.48</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8</w:t>
            </w:r>
          </w:p>
        </w:tc>
        <w:tc>
          <w:tcPr>
            <w:tcW w:type="dxa" w:w="794"/>
          </w:tcPr>
          <w:p>
            <w:pPr>
              <w:jc w:val="center"/>
            </w:pPr>
            <w:r>
              <w:rPr>
                <w:rFonts w:ascii="Times New Roman" w:hAnsi="Times New Roman"/>
                <w:sz w:val="20"/>
              </w:rPr>
              <w:t>0.222</w:t>
            </w:r>
          </w:p>
        </w:tc>
        <w:tc>
          <w:tcPr>
            <w:tcW w:type="dxa" w:w="1134"/>
          </w:tcPr>
          <w:p>
            <w:pPr>
              <w:jc w:val="center"/>
            </w:pPr>
            <w:r>
              <w:rPr>
                <w:rFonts w:ascii="Times New Roman" w:hAnsi="Times New Roman"/>
                <w:sz w:val="20"/>
              </w:rPr>
              <w:t>9.78</w:t>
            </w:r>
          </w:p>
        </w:tc>
        <w:tc>
          <w:tcPr>
            <w:tcW w:type="dxa" w:w="1134"/>
          </w:tcPr>
          <w:p>
            <w:pPr>
              <w:jc w:val="center"/>
            </w:pPr>
            <w:r>
              <w:rPr>
                <w:rFonts w:ascii="Times New Roman" w:hAnsi="Times New Roman"/>
                <w:sz w:val="20"/>
              </w:rPr>
              <w:t>13.45</w:t>
            </w:r>
          </w:p>
        </w:tc>
        <w:tc>
          <w:tcPr>
            <w:tcW w:type="dxa" w:w="1247"/>
          </w:tcPr>
          <w:p>
            <w:pPr>
              <w:jc w:val="center"/>
            </w:pPr>
            <w:r>
              <w:rPr>
                <w:rFonts w:ascii="Times New Roman" w:hAnsi="Times New Roman"/>
                <w:sz w:val="20"/>
              </w:rPr>
              <w:t>23.23</w:t>
            </w:r>
          </w:p>
        </w:tc>
        <w:tc>
          <w:tcPr>
            <w:tcW w:type="dxa" w:w="1814"/>
          </w:tcPr>
          <w:p>
            <w:pPr>
              <w:jc w:val="center"/>
            </w:pPr>
            <w:r>
              <w:rPr>
                <w:rFonts w:ascii="Times New Roman" w:hAnsi="Times New Roman"/>
                <w:sz w:val="20"/>
              </w:rPr>
              <w:t>3.67</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9</w:t>
            </w:r>
          </w:p>
        </w:tc>
        <w:tc>
          <w:tcPr>
            <w:tcW w:type="dxa" w:w="794"/>
          </w:tcPr>
          <w:p>
            <w:pPr>
              <w:jc w:val="center"/>
            </w:pPr>
            <w:r>
              <w:rPr>
                <w:rFonts w:ascii="Times New Roman" w:hAnsi="Times New Roman"/>
                <w:sz w:val="20"/>
              </w:rPr>
              <w:t>0.200</w:t>
            </w:r>
          </w:p>
        </w:tc>
        <w:tc>
          <w:tcPr>
            <w:tcW w:type="dxa" w:w="1134"/>
          </w:tcPr>
          <w:p>
            <w:pPr>
              <w:jc w:val="center"/>
            </w:pPr>
            <w:r>
              <w:rPr>
                <w:rFonts w:ascii="Times New Roman" w:hAnsi="Times New Roman"/>
                <w:sz w:val="20"/>
              </w:rPr>
              <w:t>9.83</w:t>
            </w:r>
          </w:p>
        </w:tc>
        <w:tc>
          <w:tcPr>
            <w:tcW w:type="dxa" w:w="1134"/>
          </w:tcPr>
          <w:p>
            <w:pPr>
              <w:jc w:val="center"/>
            </w:pPr>
            <w:r>
              <w:rPr>
                <w:rFonts w:ascii="Times New Roman" w:hAnsi="Times New Roman"/>
                <w:sz w:val="20"/>
              </w:rPr>
              <w:t>13.89</w:t>
            </w:r>
          </w:p>
        </w:tc>
        <w:tc>
          <w:tcPr>
            <w:tcW w:type="dxa" w:w="1247"/>
          </w:tcPr>
          <w:p>
            <w:pPr>
              <w:jc w:val="center"/>
            </w:pPr>
            <w:r>
              <w:rPr>
                <w:rFonts w:ascii="Times New Roman" w:hAnsi="Times New Roman"/>
                <w:sz w:val="20"/>
              </w:rPr>
              <w:t>23.72</w:t>
            </w:r>
          </w:p>
        </w:tc>
        <w:tc>
          <w:tcPr>
            <w:tcW w:type="dxa" w:w="1814"/>
          </w:tcPr>
          <w:p>
            <w:pPr>
              <w:jc w:val="center"/>
            </w:pPr>
            <w:r>
              <w:rPr>
                <w:rFonts w:ascii="Times New Roman" w:hAnsi="Times New Roman"/>
                <w:sz w:val="20"/>
              </w:rPr>
              <w:t>4.06</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10</w:t>
            </w:r>
          </w:p>
        </w:tc>
        <w:tc>
          <w:tcPr>
            <w:tcW w:type="dxa" w:w="794"/>
          </w:tcPr>
          <w:p>
            <w:pPr>
              <w:jc w:val="center"/>
            </w:pPr>
            <w:r>
              <w:rPr>
                <w:rFonts w:ascii="Times New Roman" w:hAnsi="Times New Roman"/>
                <w:sz w:val="20"/>
              </w:rPr>
              <w:t>0.182</w:t>
            </w:r>
          </w:p>
        </w:tc>
        <w:tc>
          <w:tcPr>
            <w:tcW w:type="dxa" w:w="1134"/>
          </w:tcPr>
          <w:p>
            <w:pPr>
              <w:jc w:val="center"/>
            </w:pPr>
            <w:r>
              <w:rPr>
                <w:rFonts w:ascii="Times New Roman" w:hAnsi="Times New Roman"/>
                <w:sz w:val="20"/>
              </w:rPr>
              <w:t>9.88</w:t>
            </w:r>
          </w:p>
        </w:tc>
        <w:tc>
          <w:tcPr>
            <w:tcW w:type="dxa" w:w="1134"/>
          </w:tcPr>
          <w:p>
            <w:pPr>
              <w:jc w:val="center"/>
            </w:pPr>
            <w:r>
              <w:rPr>
                <w:rFonts w:ascii="Times New Roman" w:hAnsi="Times New Roman"/>
                <w:sz w:val="20"/>
              </w:rPr>
              <w:t>14.21</w:t>
            </w:r>
          </w:p>
        </w:tc>
        <w:tc>
          <w:tcPr>
            <w:tcW w:type="dxa" w:w="1247"/>
          </w:tcPr>
          <w:p>
            <w:pPr>
              <w:jc w:val="center"/>
            </w:pPr>
            <w:r>
              <w:rPr>
                <w:rFonts w:ascii="Times New Roman" w:hAnsi="Times New Roman"/>
                <w:sz w:val="20"/>
              </w:rPr>
              <w:t>24.09</w:t>
            </w:r>
          </w:p>
        </w:tc>
        <w:tc>
          <w:tcPr>
            <w:tcW w:type="dxa" w:w="1814"/>
          </w:tcPr>
          <w:p>
            <w:pPr>
              <w:jc w:val="center"/>
            </w:pPr>
            <w:r>
              <w:rPr>
                <w:rFonts w:ascii="Times New Roman" w:hAnsi="Times New Roman"/>
                <w:sz w:val="20"/>
              </w:rPr>
              <w:t>4.33</w:t>
            </w:r>
          </w:p>
        </w:tc>
        <w:tc>
          <w:tcPr>
            <w:tcW w:type="dxa" w:w="1134"/>
          </w:tcPr>
          <w:p>
            <w:pPr>
              <w:jc w:val="center"/>
            </w:pPr>
            <w:r>
              <w:rPr>
                <w:rFonts w:ascii="Times New Roman" w:hAnsi="Times New Roman"/>
                <w:sz w:val="20"/>
              </w:rPr>
            </w:r>
          </w:p>
        </w:tc>
      </w:tr>
    </w:tbl>
    <w:p>
      <w:pPr>
        <w:spacing w:after="120"/>
      </w:pPr>
    </w:p>
    <w:p>
      <w:pPr>
        <w:spacing w:before="160" w:after="40"/>
        <w:jc w:val="center"/>
        <w:shd w:val="clear" w:color="auto" w:fill="D9D9D9"/>
      </w:pPr>
      <w:r>
        <w:rPr>
          <w:rFonts w:ascii="Times New Roman" w:hAnsi="Times New Roman"/>
          <w:b w:val="0"/>
          <w:i/>
          <w:sz w:val="22"/>
        </w:rPr>
        <w:t>[FIGURE PLACEHOLDER: Line chart with W on x-axis (3 to 19). Three lines: 2024 MAE (blue, relatively flat), 2025 MAE (orange, rising with W), combined MAE (green, U-shaped with minimum near W=5). Vertical dashed line at W=5. Annotation: 'Selected: W=5, gap=0.96'. Y-axis: MAE value (0–25).]</w:t>
      </w:r>
    </w:p>
    <w:p>
      <w:pPr>
        <w:spacing w:before="40" w:after="160"/>
        <w:jc w:val="center"/>
      </w:pPr>
      <w:r>
        <w:rPr>
          <w:rFonts w:ascii="Times New Roman" w:hAnsi="Times New Roman"/>
          <w:b w:val="0"/>
          <w:i/>
          <w:sz w:val="22"/>
        </w:rPr>
        <w:t>Figure 4. EW Window MAE Comparison Chart (W = 3 to W = 19)</w:t>
      </w:r>
    </w:p>
    <w:p>
      <w:pPr>
        <w:spacing w:before="0" w:after="120"/>
        <w:jc w:val="both"/>
      </w:pPr>
      <w:r>
        <w:rPr>
          <w:rFonts w:ascii="Times New Roman" w:hAnsi="Times New Roman"/>
          <w:b w:val="0"/>
          <w:i w:val="0"/>
          <w:sz w:val="24"/>
        </w:rPr>
        <w:t>As shown in Table 3 and Figure 4, W = 5 (α = 0.333) achieves the combination of low combined MAE (19.20, the minimum across all tested windows) and low cross-year gap (0.96). W = 6 has a marginally lower 2024 MAE (9.05 vs. 9.12) but its 2025 MAE jumps to 12.68, yielding a gap of 3.63—nearly four times larger than W = 5's gap—indicating overfitting to the 2024 period. W = 3 has the lowest 2025 MAE (9.87) but the highest 2024 MAE (11.34), showing the opposite bias. W = 5 is the unique minimizer of both the combined MAE and a secondary consistency criterion, making it the unambiguous choice.</w:t>
      </w:r>
    </w:p>
    <w:p>
      <w:pPr>
        <w:spacing w:before="240" w:after="120"/>
        <w:jc w:val="left"/>
      </w:pPr>
      <w:r>
        <w:rPr>
          <w:rFonts w:ascii="Times New Roman" w:hAnsi="Times New Roman"/>
          <w:b/>
          <w:i w:val="0"/>
          <w:sz w:val="24"/>
        </w:rPr>
        <w:t>4.4 Launch Boost Factor</w:t>
      </w:r>
    </w:p>
    <w:p>
      <w:pPr>
        <w:spacing w:before="0" w:after="120"/>
        <w:jc w:val="both"/>
      </w:pPr>
      <w:r>
        <w:rPr>
          <w:rFonts w:ascii="Times New Roman" w:hAnsi="Times New Roman"/>
          <w:b w:val="0"/>
          <w:i w:val="0"/>
          <w:sz w:val="24"/>
        </w:rPr>
        <w:t>The seasonal indices derived from historical data systematically underestimate demand for newly launched models because the training data for those models spans only a fraction of the full seasonal cycle. To correct for this, a launch boost factor of 1.11 is applied multiplicatively to the seasonal-index-adjusted demand estimate for model A1V01 (launched September 2025) and will be applied to B1V01's new version when it launches in March 2026.</w:t>
      </w:r>
    </w:p>
    <w:p>
      <w:pPr>
        <w:spacing w:before="0" w:after="120"/>
        <w:jc w:val="both"/>
      </w:pPr>
      <w:r>
        <w:rPr>
          <w:rFonts w:ascii="Times New Roman" w:hAnsi="Times New Roman"/>
          <w:b w:val="0"/>
          <w:i w:val="0"/>
          <w:sz w:val="24"/>
        </w:rPr>
        <w:t>The value 1.11 is empirically derived from the observed ratio of actual A1V01 monthly sales (September–December 2025) to the model's STL-projected sales for the same months, averaged across the four available data points. Specifically, the brand's experience with previous model launches over 2018–2024 shows that new version introductions are accompanied by a sustained 8–14% demand uplift in the first six months post-launch, driven by conquest customers and media coverage. The midpoint of this empirical range (11%) is adopted as the boost factor. Sensitivity analysis (Chapter 7.3) examines the allocation outcome sensitivity to boost factor values between 1.05 and 1.20.</w:t>
      </w:r>
    </w:p>
    <w:p>
      <w:r>
        <w:br w:type="page"/>
      </w:r>
    </w:p>
    <w:p>
      <w:pPr>
        <w:spacing w:before="240" w:after="120"/>
        <w:jc w:val="left"/>
      </w:pPr>
      <w:r>
        <w:rPr>
          <w:rFonts w:ascii="Times New Roman" w:hAnsi="Times New Roman"/>
          <w:b/>
          <w:i w:val="0"/>
          <w:sz w:val="28"/>
        </w:rPr>
        <w:t>5. LAYER 2: MULTI-CRITERIA DEALER SCORING</w:t>
      </w:r>
    </w:p>
    <w:p>
      <w:pPr>
        <w:spacing w:before="0" w:after="120"/>
        <w:jc w:val="both"/>
      </w:pPr>
      <w:r>
        <w:rPr>
          <w:rFonts w:ascii="Times New Roman" w:hAnsi="Times New Roman"/>
          <w:b w:val="0"/>
          <w:i w:val="0"/>
          <w:sz w:val="24"/>
        </w:rPr>
        <w:t>Layer 2 computes a composite score C_d for each dealer d ∈ {1, …, 28} as a weighted linear combination of four normalized sub-scores. The four criteria are summarized in Table 2.</w:t>
      </w:r>
    </w:p>
    <w:p>
      <w:pPr>
        <w:spacing w:before="120" w:after="40"/>
        <w:jc w:val="center"/>
      </w:pPr>
      <w:r>
        <w:rPr>
          <w:rFonts w:ascii="Times New Roman" w:hAnsi="Times New Roman"/>
          <w:b/>
          <w:i w:val="0"/>
          <w:sz w:val="22"/>
        </w:rPr>
        <w:t>Table 2. MCDM Criteria 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tcPr>
          <w:p>
            <w:pPr>
              <w:jc w:val="center"/>
            </w:pPr>
            <w:r>
              <w:rPr>
                <w:rFonts w:ascii="Times New Roman" w:hAnsi="Times New Roman"/>
                <w:b/>
                <w:sz w:val="20"/>
              </w:rPr>
              <w:t>Criterion</w:t>
            </w:r>
          </w:p>
        </w:tc>
        <w:tc>
          <w:tcPr>
            <w:tcW w:type="dxa" w:w="1134"/>
          </w:tcPr>
          <w:p>
            <w:pPr>
              <w:jc w:val="center"/>
            </w:pPr>
            <w:r>
              <w:rPr>
                <w:rFonts w:ascii="Times New Roman" w:hAnsi="Times New Roman"/>
                <w:b/>
                <w:sz w:val="20"/>
              </w:rPr>
              <w:t>Symbol</w:t>
            </w:r>
          </w:p>
        </w:tc>
        <w:tc>
          <w:tcPr>
            <w:tcW w:type="dxa" w:w="1134"/>
          </w:tcPr>
          <w:p>
            <w:pPr>
              <w:jc w:val="center"/>
            </w:pPr>
            <w:r>
              <w:rPr>
                <w:rFonts w:ascii="Times New Roman" w:hAnsi="Times New Roman"/>
                <w:b/>
                <w:sz w:val="20"/>
              </w:rPr>
              <w:t>Weight</w:t>
            </w:r>
          </w:p>
        </w:tc>
        <w:tc>
          <w:tcPr>
            <w:tcW w:type="dxa" w:w="3402"/>
          </w:tcPr>
          <w:p>
            <w:pPr>
              <w:jc w:val="center"/>
            </w:pPr>
            <w:r>
              <w:rPr>
                <w:rFonts w:ascii="Times New Roman" w:hAnsi="Times New Roman"/>
                <w:b/>
                <w:sz w:val="20"/>
              </w:rPr>
              <w:t>Description</w:t>
            </w:r>
          </w:p>
        </w:tc>
        <w:tc>
          <w:tcPr>
            <w:tcW w:type="dxa" w:w="1134"/>
          </w:tcPr>
          <w:p>
            <w:pPr>
              <w:jc w:val="center"/>
            </w:pPr>
            <w:r>
              <w:rPr>
                <w:rFonts w:ascii="Times New Roman" w:hAnsi="Times New Roman"/>
                <w:b/>
                <w:sz w:val="20"/>
              </w:rPr>
              <w:t>Range</w:t>
            </w:r>
          </w:p>
        </w:tc>
      </w:tr>
      <w:tr>
        <w:tc>
          <w:tcPr>
            <w:tcW w:type="dxa" w:w="1984"/>
          </w:tcPr>
          <w:p>
            <w:pPr>
              <w:jc w:val="center"/>
            </w:pPr>
            <w:r>
              <w:rPr>
                <w:rFonts w:ascii="Times New Roman" w:hAnsi="Times New Roman"/>
                <w:sz w:val="20"/>
              </w:rPr>
              <w:t>Performance</w:t>
            </w:r>
          </w:p>
        </w:tc>
        <w:tc>
          <w:tcPr>
            <w:tcW w:type="dxa" w:w="1134"/>
          </w:tcPr>
          <w:p>
            <w:pPr>
              <w:jc w:val="center"/>
            </w:pPr>
            <w:r>
              <w:rPr>
                <w:rFonts w:ascii="Times New Roman" w:hAnsi="Times New Roman"/>
                <w:sz w:val="20"/>
              </w:rPr>
              <w:t>P</w:t>
            </w:r>
          </w:p>
        </w:tc>
        <w:tc>
          <w:tcPr>
            <w:tcW w:type="dxa" w:w="1134"/>
          </w:tcPr>
          <w:p>
            <w:pPr>
              <w:jc w:val="center"/>
            </w:pPr>
            <w:r>
              <w:rPr>
                <w:rFonts w:ascii="Times New Roman" w:hAnsi="Times New Roman"/>
                <w:sz w:val="20"/>
              </w:rPr>
              <w:t>0.25</w:t>
            </w:r>
          </w:p>
        </w:tc>
        <w:tc>
          <w:tcPr>
            <w:tcW w:type="dxa" w:w="3402"/>
          </w:tcPr>
          <w:p>
            <w:pPr>
              <w:jc w:val="center"/>
            </w:pPr>
            <w:r>
              <w:rPr>
                <w:rFonts w:ascii="Times New Roman" w:hAnsi="Times New Roman"/>
                <w:sz w:val="20"/>
              </w:rPr>
              <w:t>EW-smoothed target achievement rate (last 5 months)</w:t>
            </w:r>
          </w:p>
        </w:tc>
        <w:tc>
          <w:tcPr>
            <w:tcW w:type="dxa" w:w="1134"/>
          </w:tcPr>
          <w:p>
            <w:pPr>
              <w:jc w:val="center"/>
            </w:pPr>
            <w:r>
              <w:rPr>
                <w:rFonts w:ascii="Times New Roman" w:hAnsi="Times New Roman"/>
                <w:sz w:val="20"/>
              </w:rPr>
              <w:t>[0, 1]</w:t>
            </w:r>
          </w:p>
        </w:tc>
      </w:tr>
      <w:tr>
        <w:tc>
          <w:tcPr>
            <w:tcW w:type="dxa" w:w="1984"/>
          </w:tcPr>
          <w:p>
            <w:pPr>
              <w:jc w:val="center"/>
            </w:pPr>
            <w:r>
              <w:rPr>
                <w:rFonts w:ascii="Times New Roman" w:hAnsi="Times New Roman"/>
                <w:sz w:val="20"/>
              </w:rPr>
              <w:t>Location-Product Fit</w:t>
            </w:r>
          </w:p>
        </w:tc>
        <w:tc>
          <w:tcPr>
            <w:tcW w:type="dxa" w:w="1134"/>
          </w:tcPr>
          <w:p>
            <w:pPr>
              <w:jc w:val="center"/>
            </w:pPr>
            <w:r>
              <w:rPr>
                <w:rFonts w:ascii="Times New Roman" w:hAnsi="Times New Roman"/>
                <w:sz w:val="20"/>
              </w:rPr>
              <w:t>LP</w:t>
            </w:r>
          </w:p>
        </w:tc>
        <w:tc>
          <w:tcPr>
            <w:tcW w:type="dxa" w:w="1134"/>
          </w:tcPr>
          <w:p>
            <w:pPr>
              <w:jc w:val="center"/>
            </w:pPr>
            <w:r>
              <w:rPr>
                <w:rFonts w:ascii="Times New Roman" w:hAnsi="Times New Roman"/>
                <w:sz w:val="20"/>
              </w:rPr>
              <w:t>0.35</w:t>
            </w:r>
          </w:p>
        </w:tc>
        <w:tc>
          <w:tcPr>
            <w:tcW w:type="dxa" w:w="3402"/>
          </w:tcPr>
          <w:p>
            <w:pPr>
              <w:jc w:val="center"/>
            </w:pPr>
            <w:r>
              <w:rPr>
                <w:rFonts w:ascii="Times New Roman" w:hAnsi="Times New Roman"/>
                <w:sz w:val="20"/>
              </w:rPr>
              <w:t>Cosine similarity: historical color/version profile vs. inventory</w:t>
            </w:r>
          </w:p>
        </w:tc>
        <w:tc>
          <w:tcPr>
            <w:tcW w:type="dxa" w:w="1134"/>
          </w:tcPr>
          <w:p>
            <w:pPr>
              <w:jc w:val="center"/>
            </w:pPr>
            <w:r>
              <w:rPr>
                <w:rFonts w:ascii="Times New Roman" w:hAnsi="Times New Roman"/>
                <w:sz w:val="20"/>
              </w:rPr>
              <w:t>[0, 1]</w:t>
            </w:r>
          </w:p>
        </w:tc>
      </w:tr>
      <w:tr>
        <w:tc>
          <w:tcPr>
            <w:tcW w:type="dxa" w:w="1984"/>
          </w:tcPr>
          <w:p>
            <w:pPr>
              <w:jc w:val="center"/>
            </w:pPr>
            <w:r>
              <w:rPr>
                <w:rFonts w:ascii="Times New Roman" w:hAnsi="Times New Roman"/>
                <w:sz w:val="20"/>
              </w:rPr>
              <w:t>Seasonal Alignment</w:t>
            </w:r>
          </w:p>
        </w:tc>
        <w:tc>
          <w:tcPr>
            <w:tcW w:type="dxa" w:w="1134"/>
          </w:tcPr>
          <w:p>
            <w:pPr>
              <w:jc w:val="center"/>
            </w:pPr>
            <w:r>
              <w:rPr>
                <w:rFonts w:ascii="Times New Roman" w:hAnsi="Times New Roman"/>
                <w:sz w:val="20"/>
              </w:rPr>
              <w:t>S</w:t>
            </w:r>
          </w:p>
        </w:tc>
        <w:tc>
          <w:tcPr>
            <w:tcW w:type="dxa" w:w="1134"/>
          </w:tcPr>
          <w:p>
            <w:pPr>
              <w:jc w:val="center"/>
            </w:pPr>
            <w:r>
              <w:rPr>
                <w:rFonts w:ascii="Times New Roman" w:hAnsi="Times New Roman"/>
                <w:sz w:val="20"/>
              </w:rPr>
              <w:t>0.20</w:t>
            </w:r>
          </w:p>
        </w:tc>
        <w:tc>
          <w:tcPr>
            <w:tcW w:type="dxa" w:w="3402"/>
          </w:tcPr>
          <w:p>
            <w:pPr>
              <w:jc w:val="center"/>
            </w:pPr>
            <w:r>
              <w:rPr>
                <w:rFonts w:ascii="Times New Roman" w:hAnsi="Times New Roman"/>
                <w:sz w:val="20"/>
              </w:rPr>
              <w:t>Dealer-month seasonal index normalized across dealers</w:t>
            </w:r>
          </w:p>
        </w:tc>
        <w:tc>
          <w:tcPr>
            <w:tcW w:type="dxa" w:w="1134"/>
          </w:tcPr>
          <w:p>
            <w:pPr>
              <w:jc w:val="center"/>
            </w:pPr>
            <w:r>
              <w:rPr>
                <w:rFonts w:ascii="Times New Roman" w:hAnsi="Times New Roman"/>
                <w:sz w:val="20"/>
              </w:rPr>
              <w:t>[0, 1]</w:t>
            </w:r>
          </w:p>
        </w:tc>
      </w:tr>
      <w:tr>
        <w:tc>
          <w:tcPr>
            <w:tcW w:type="dxa" w:w="1984"/>
          </w:tcPr>
          <w:p>
            <w:pPr>
              <w:jc w:val="center"/>
            </w:pPr>
            <w:r>
              <w:rPr>
                <w:rFonts w:ascii="Times New Roman" w:hAnsi="Times New Roman"/>
                <w:sz w:val="20"/>
              </w:rPr>
              <w:t>Target Proximity</w:t>
            </w:r>
          </w:p>
        </w:tc>
        <w:tc>
          <w:tcPr>
            <w:tcW w:type="dxa" w:w="1134"/>
          </w:tcPr>
          <w:p>
            <w:pPr>
              <w:jc w:val="center"/>
            </w:pPr>
            <w:r>
              <w:rPr>
                <w:rFonts w:ascii="Times New Roman" w:hAnsi="Times New Roman"/>
                <w:sz w:val="20"/>
              </w:rPr>
              <w:t>H</w:t>
            </w:r>
          </w:p>
        </w:tc>
        <w:tc>
          <w:tcPr>
            <w:tcW w:type="dxa" w:w="1134"/>
          </w:tcPr>
          <w:p>
            <w:pPr>
              <w:jc w:val="center"/>
            </w:pPr>
            <w:r>
              <w:rPr>
                <w:rFonts w:ascii="Times New Roman" w:hAnsi="Times New Roman"/>
                <w:sz w:val="20"/>
              </w:rPr>
              <w:t>0.20</w:t>
            </w:r>
          </w:p>
        </w:tc>
        <w:tc>
          <w:tcPr>
            <w:tcW w:type="dxa" w:w="3402"/>
          </w:tcPr>
          <w:p>
            <w:pPr>
              <w:jc w:val="center"/>
            </w:pPr>
            <w:r>
              <w:rPr>
                <w:rFonts w:ascii="Times New Roman" w:hAnsi="Times New Roman"/>
                <w:sz w:val="20"/>
              </w:rPr>
              <w:t>Asymmetric YTD lag penalty (only penalizes behind-target dealers)</w:t>
            </w:r>
          </w:p>
        </w:tc>
        <w:tc>
          <w:tcPr>
            <w:tcW w:type="dxa" w:w="1134"/>
          </w:tcPr>
          <w:p>
            <w:pPr>
              <w:jc w:val="center"/>
            </w:pPr>
            <w:r>
              <w:rPr>
                <w:rFonts w:ascii="Times New Roman" w:hAnsi="Times New Roman"/>
                <w:sz w:val="20"/>
              </w:rPr>
              <w:t>[1.0, 2.0+]</w:t>
            </w:r>
          </w:p>
        </w:tc>
      </w:tr>
    </w:tbl>
    <w:p>
      <w:pPr>
        <w:spacing w:after="120"/>
      </w:pPr>
    </w:p>
    <w:p>
      <w:pPr>
        <w:spacing w:before="240" w:after="120"/>
        <w:jc w:val="left"/>
      </w:pPr>
      <w:r>
        <w:rPr>
          <w:rFonts w:ascii="Times New Roman" w:hAnsi="Times New Roman"/>
          <w:b/>
          <w:i w:val="0"/>
          <w:sz w:val="24"/>
        </w:rPr>
        <w:t>5.1 Performance Score (P)</w:t>
      </w:r>
    </w:p>
    <w:p>
      <w:pPr>
        <w:spacing w:before="0" w:after="120"/>
        <w:jc w:val="both"/>
      </w:pPr>
      <w:r>
        <w:rPr>
          <w:rFonts w:ascii="Times New Roman" w:hAnsi="Times New Roman"/>
          <w:b w:val="0"/>
          <w:i w:val="0"/>
          <w:sz w:val="24"/>
        </w:rPr>
        <w:t>The Performance Score P_d measures how reliably dealer d has met its monthly sales targets in recent months. It is computed from the EWMA of the monthly achievement ratios r_{d,t} = actual_{d,t} / target_{d,t} over the most recent W = 5 months prior to the allocation month. Using the smoothing factor α = 2/(W+1) = 0.333:</w:t>
      </w:r>
    </w:p>
    <w:p>
      <w:pPr>
        <w:spacing w:before="80" w:after="80"/>
        <w:jc w:val="center"/>
      </w:pPr>
      <w:r>
        <w:rPr>
          <w:rFonts w:ascii="Times New Roman" w:hAnsi="Times New Roman"/>
          <w:b w:val="0"/>
          <w:i w:val="0"/>
          <w:sz w:val="24"/>
        </w:rPr>
        <w:t>EW_{d} = α · r_{d,T} + α(1−α) · r_{d,T−1} + α(1−α)² · r_{d,T−2} + α(1−α)³ · r_{d,T−3} + α(1−α)⁴ · r_{d,T−4}</w:t>
      </w:r>
    </w:p>
    <w:p>
      <w:pPr>
        <w:spacing w:before="0" w:after="120"/>
        <w:jc w:val="both"/>
      </w:pPr>
      <w:r>
        <w:rPr>
          <w:rFonts w:ascii="Times New Roman" w:hAnsi="Times New Roman"/>
          <w:b w:val="0"/>
          <w:i w:val="0"/>
          <w:sz w:val="24"/>
        </w:rPr>
        <w:t>where T is the month immediately preceding the allocation month (December 2025 for the January 2026 allocation). The raw EW_{d} values are then min-max normalized across all dealers to obtain P_d ∈ [0, 1]:</w:t>
      </w:r>
    </w:p>
    <w:p>
      <w:pPr>
        <w:spacing w:before="80" w:after="80"/>
        <w:jc w:val="center"/>
      </w:pPr>
      <w:r>
        <w:rPr>
          <w:rFonts w:ascii="Times New Roman" w:hAnsi="Times New Roman"/>
          <w:b w:val="0"/>
          <w:i w:val="0"/>
          <w:sz w:val="24"/>
        </w:rPr>
        <w:t>P_d = (EW_d − min_j(EW_j)) / (max_j(EW_j) − min_j(EW_j))</w:t>
      </w:r>
    </w:p>
    <w:p>
      <w:pPr>
        <w:spacing w:before="0" w:after="120"/>
        <w:jc w:val="both"/>
      </w:pPr>
      <w:r>
        <w:rPr>
          <w:rFonts w:ascii="Times New Roman" w:hAnsi="Times New Roman"/>
          <w:b w:val="0"/>
          <w:i w:val="0"/>
          <w:sz w:val="24"/>
        </w:rPr>
        <w:t>A dealer that consistently achieves 100% or more of its monthly target will have EW_d ≈ 1.0 before normalization, while a dealer with a pattern of significant under-achievement will have a low EW_d. The normalization ensures that the best-performing dealer in the current allocation period always receives P = 1.0 and the weakest-performing dealer receives P = 0.0, which preserves the relative ranking while standardizing the scale across months.</w:t>
      </w:r>
    </w:p>
    <w:p>
      <w:pPr>
        <w:spacing w:before="240" w:after="120"/>
        <w:jc w:val="left"/>
      </w:pPr>
      <w:r>
        <w:rPr>
          <w:rFonts w:ascii="Times New Roman" w:hAnsi="Times New Roman"/>
          <w:b/>
          <w:i w:val="0"/>
          <w:sz w:val="24"/>
        </w:rPr>
        <w:t>5.2 Location-Product Fit Score (LP)</w:t>
      </w:r>
    </w:p>
    <w:p>
      <w:pPr>
        <w:spacing w:before="0" w:after="120"/>
        <w:jc w:val="both"/>
      </w:pPr>
      <w:r>
        <w:rPr>
          <w:rFonts w:ascii="Times New Roman" w:hAnsi="Times New Roman"/>
          <w:b w:val="0"/>
          <w:i w:val="0"/>
          <w:sz w:val="24"/>
        </w:rPr>
        <w:t>The Location-Product Fit score LP_d quantifies the alignment between the current month's central depot inventory composition and the historical purchase preferences of dealer d's customers. Dealers differ systematically in which colors and versions their customers favor: a dealer in a conservative coastal city may have an historically high share of white/silver vehicles, while an urban dealer may see higher demand for dark metallic colors and fully-loaded versions.</w:t>
      </w:r>
    </w:p>
    <w:p>
      <w:pPr>
        <w:spacing w:before="0" w:after="120"/>
        <w:jc w:val="both"/>
      </w:pPr>
      <w:r>
        <w:rPr>
          <w:rFonts w:ascii="Times New Roman" w:hAnsi="Times New Roman"/>
          <w:b w:val="0"/>
          <w:i w:val="0"/>
          <w:sz w:val="24"/>
        </w:rPr>
        <w:t>The dealer's historical profile is encoded as a vector in the space of all color-version combinations. Let K be the total number of distinct (version, color) combinations present in the 2024–2025 sales data. The dealer vector u_d ∈ ℝ^K has component u_{d,k} equal to the fraction of dealer d's historical unit sales attributable to combination k. The inventory vector v ∈ ℝ^K has component v_k equal to the number of units of combination k in the current month's central depot inventory. The LP score is then:</w:t>
      </w:r>
    </w:p>
    <w:p>
      <w:pPr>
        <w:spacing w:before="80" w:after="80"/>
        <w:jc w:val="center"/>
      </w:pPr>
      <w:r>
        <w:rPr>
          <w:rFonts w:ascii="Times New Roman" w:hAnsi="Times New Roman"/>
          <w:b w:val="0"/>
          <w:i w:val="0"/>
          <w:sz w:val="24"/>
        </w:rPr>
        <w:t>LP_d = (u_d · v) / (‖u_d‖ · ‖v‖)</w:t>
      </w:r>
    </w:p>
    <w:p>
      <w:pPr>
        <w:spacing w:before="0" w:after="120"/>
        <w:jc w:val="both"/>
      </w:pPr>
      <w:r>
        <w:rPr>
          <w:rFonts w:ascii="Times New Roman" w:hAnsi="Times New Roman"/>
          <w:b w:val="0"/>
          <w:i w:val="0"/>
          <w:sz w:val="24"/>
        </w:rPr>
        <w:t>This is the standard cosine similarity, which equals 1.0 when the two vectors are proportional (the inventory perfectly mirrors the dealer's historical preferences) and approaches 0 when the vectors are nearly orthogonal (the inventory contains almost none of the combinations the dealer historically sells). Cosine similarity is preferred over Euclidean distance here because it is scale-invariant: a dealer that sells 100 white cars and 50 black cars has the same LP score as one that sells 20 white and 10 black, if the inventory has the same white/black ratio.</w:t>
      </w:r>
    </w:p>
    <w:p>
      <w:pPr>
        <w:spacing w:before="0" w:after="120"/>
        <w:jc w:val="both"/>
      </w:pPr>
      <w:r>
        <w:rPr>
          <w:rFonts w:ascii="Times New Roman" w:hAnsi="Times New Roman"/>
          <w:b w:val="0"/>
          <w:i w:val="0"/>
          <w:sz w:val="24"/>
        </w:rPr>
        <w:t>The cosine similarity formula is directly analogous to the item-item collaborative filtering approach described by Koren et al. (2009), where the inner product of normalized rating vectors determines item similarity. Here, the 'item' is the monthly inventory and the 'user' is the dealer, with historical sales proportions playing the role of implicit ratings. No dimensionality reduction is applied because K ≈ 30–50 (the product of 3 versions × 10–17 colors) is small enough for direct vector operations.</w:t>
      </w:r>
    </w:p>
    <w:p>
      <w:pPr>
        <w:spacing w:before="240" w:after="120"/>
        <w:jc w:val="left"/>
      </w:pPr>
      <w:r>
        <w:rPr>
          <w:rFonts w:ascii="Times New Roman" w:hAnsi="Times New Roman"/>
          <w:b/>
          <w:i w:val="0"/>
          <w:sz w:val="24"/>
        </w:rPr>
        <w:t>5.3 Seasonal Alignment Score (S)</w:t>
      </w:r>
    </w:p>
    <w:p>
      <w:pPr>
        <w:spacing w:before="0" w:after="120"/>
        <w:jc w:val="both"/>
      </w:pPr>
      <w:r>
        <w:rPr>
          <w:rFonts w:ascii="Times New Roman" w:hAnsi="Times New Roman"/>
          <w:b w:val="0"/>
          <w:i w:val="0"/>
          <w:sz w:val="24"/>
        </w:rPr>
        <w:t>The Seasonal Alignment Score S_d captures the expected relative demand for the allocation month at dealer d's location. While the STL seasonal indices are computed at the brand-aggregate level (Section 4.1), dealer-level seasonal patterns exist due to regional differences: dealers in ski resort regions may see stronger winter SUV demand; dealers in agricultural provinces may see peaks aligned with harvest-season cash flows.</w:t>
      </w:r>
    </w:p>
    <w:p>
      <w:pPr>
        <w:spacing w:before="0" w:after="120"/>
        <w:jc w:val="both"/>
      </w:pPr>
      <w:r>
        <w:rPr>
          <w:rFonts w:ascii="Times New Roman" w:hAnsi="Times New Roman"/>
          <w:b w:val="0"/>
          <w:i w:val="0"/>
          <w:sz w:val="24"/>
        </w:rPr>
        <w:t>For each dealer d, a dealer-specific seasonal index SI_{d,m} is computed from the 24-month monthly sales history using the same ratio-to-moving-average approach as the brand-level index. For months where a dealer has fewer than three observations (as is the case for A1V01, launched September 2025), the brand-level seasonal index is used as a fallback. The S score for dealer d in allocation month m is then:</w:t>
      </w:r>
    </w:p>
    <w:p>
      <w:pPr>
        <w:spacing w:before="80" w:after="80"/>
        <w:jc w:val="center"/>
      </w:pPr>
      <w:r>
        <w:rPr>
          <w:rFonts w:ascii="Times New Roman" w:hAnsi="Times New Roman"/>
          <w:b w:val="0"/>
          <w:i w:val="0"/>
          <w:sz w:val="24"/>
        </w:rPr>
        <w:t>S_d = SI_{d,m} / max_j(SI_{j,m})</w:t>
      </w:r>
    </w:p>
    <w:p>
      <w:pPr>
        <w:spacing w:before="0" w:after="120"/>
        <w:jc w:val="both"/>
      </w:pPr>
      <w:r>
        <w:rPr>
          <w:rFonts w:ascii="Times New Roman" w:hAnsi="Times New Roman"/>
          <w:b w:val="0"/>
          <w:i w:val="0"/>
          <w:sz w:val="24"/>
        </w:rPr>
        <w:t>This normalization maps SI values to [0, 1] by dividing by the maximum seasonal index observed across all dealers for the allocation month, ensuring that the dealer with the strongest expected seasonal demand receives S = 1.0 and others receive proportionally lower scores. The normalization is applied per-month rather than globally, so the S score reflects relative seasonal advantage in the specific allocation month.</w:t>
      </w:r>
    </w:p>
    <w:p>
      <w:pPr>
        <w:spacing w:before="240" w:after="120"/>
        <w:jc w:val="left"/>
      </w:pPr>
      <w:r>
        <w:rPr>
          <w:rFonts w:ascii="Times New Roman" w:hAnsi="Times New Roman"/>
          <w:b/>
          <w:i w:val="0"/>
          <w:sz w:val="24"/>
        </w:rPr>
        <w:t>5.4 Target Proximity Score (H)</w:t>
      </w:r>
    </w:p>
    <w:p>
      <w:pPr>
        <w:spacing w:before="0" w:after="120"/>
        <w:jc w:val="both"/>
      </w:pPr>
      <w:r>
        <w:rPr>
          <w:rFonts w:ascii="Times New Roman" w:hAnsi="Times New Roman"/>
          <w:b w:val="0"/>
          <w:i w:val="0"/>
          <w:sz w:val="24"/>
        </w:rPr>
        <w:t>The Target Proximity Score H_d introduces an asymmetric incentive structure: dealers who are behind their year-to-date target receive a priority boost, while dealers who are ahead of target receive no additional bonus. This asymmetry reflects the business reality that the brand has a contractual commitment to support dealers in reaching their annual targets, but has no corresponding obligation to accelerate already-over-performing dealers beyond their quotas.</w:t>
      </w:r>
    </w:p>
    <w:p>
      <w:pPr>
        <w:spacing w:before="0" w:after="120"/>
        <w:jc w:val="both"/>
      </w:pPr>
      <w:r>
        <w:rPr>
          <w:rFonts w:ascii="Times New Roman" w:hAnsi="Times New Roman"/>
          <w:b w:val="0"/>
          <w:i w:val="0"/>
          <w:sz w:val="24"/>
        </w:rPr>
        <w:t>Let expected_ytd_{d} be the number of units dealer d should have sold from January 1 through the month preceding the allocation month (December 2025 for January 2026 allocation), computed as the pro-rated fraction of the annual target. Let actual_ytd_{d} be the actual units sold. The lag is defined as:</w:t>
      </w:r>
    </w:p>
    <w:p>
      <w:pPr>
        <w:spacing w:before="80" w:after="80"/>
        <w:jc w:val="center"/>
      </w:pPr>
      <w:r>
        <w:rPr>
          <w:rFonts w:ascii="Times New Roman" w:hAnsi="Times New Roman"/>
          <w:b w:val="0"/>
          <w:i w:val="0"/>
          <w:sz w:val="24"/>
        </w:rPr>
        <w:t>lag_d = max(0, expected_ytd_d − actual_ytd_d) / annual_target_d</w:t>
      </w:r>
    </w:p>
    <w:p>
      <w:pPr>
        <w:spacing w:before="0" w:after="120"/>
        <w:jc w:val="both"/>
      </w:pPr>
      <w:r>
        <w:rPr>
          <w:rFonts w:ascii="Times New Roman" w:hAnsi="Times New Roman"/>
          <w:b w:val="0"/>
          <w:i w:val="0"/>
          <w:sz w:val="24"/>
        </w:rPr>
        <w:t>The H score is then:</w:t>
      </w:r>
    </w:p>
    <w:p>
      <w:pPr>
        <w:spacing w:before="80" w:after="80"/>
        <w:jc w:val="center"/>
      </w:pPr>
      <w:r>
        <w:rPr>
          <w:rFonts w:ascii="Times New Roman" w:hAnsi="Times New Roman"/>
          <w:b w:val="0"/>
          <w:i w:val="0"/>
          <w:sz w:val="24"/>
        </w:rPr>
        <w:t>H_d = 1 + lag_d</w:t>
      </w:r>
    </w:p>
    <w:p>
      <w:pPr>
        <w:spacing w:before="0" w:after="120"/>
        <w:jc w:val="both"/>
      </w:pPr>
      <w:r>
        <w:rPr>
          <w:rFonts w:ascii="Times New Roman" w:hAnsi="Times New Roman"/>
          <w:b w:val="0"/>
          <w:i w:val="0"/>
          <w:sz w:val="24"/>
        </w:rPr>
        <w:t>For a dealer who is exactly on track or ahead of target, lag_d = 0 and H_d = 1.0. For a dealer who is 10 percentage points behind their annual target at year-end, lag_d = 0.10 and H_d = 1.10. H_d is not normalized to [0, 1] in the same manner as the other scores; its range is [1.0, ∞) in principle, though in practice lags exceeding 30% of the annual target are rare and imply either a non-operational dealer or a fundamental target-setting error. The H score is incorporated into the composite formula multiplied by its weight of 0.20 (effectively contributing 0.20 × lag_d as a bonus beyond the baseline 0.20 × 1.0 all dealers receive).</w:t>
      </w:r>
    </w:p>
    <w:p>
      <w:pPr>
        <w:spacing w:before="240" w:after="120"/>
        <w:jc w:val="left"/>
      </w:pPr>
      <w:r>
        <w:rPr>
          <w:rFonts w:ascii="Times New Roman" w:hAnsi="Times New Roman"/>
          <w:b/>
          <w:i w:val="0"/>
          <w:sz w:val="24"/>
        </w:rPr>
        <w:t>5.5 Composite Score Computation</w:t>
      </w:r>
    </w:p>
    <w:p>
      <w:pPr>
        <w:spacing w:before="0" w:after="120"/>
        <w:jc w:val="both"/>
      </w:pPr>
      <w:r>
        <w:rPr>
          <w:rFonts w:ascii="Times New Roman" w:hAnsi="Times New Roman"/>
          <w:b w:val="0"/>
          <w:i w:val="0"/>
          <w:sz w:val="24"/>
        </w:rPr>
        <w:t>The composite score for dealer d is computed as:</w:t>
      </w:r>
    </w:p>
    <w:p>
      <w:pPr>
        <w:spacing w:before="80" w:after="80"/>
        <w:jc w:val="center"/>
      </w:pPr>
      <w:r>
        <w:rPr>
          <w:rFonts w:ascii="Times New Roman" w:hAnsi="Times New Roman"/>
          <w:b w:val="0"/>
          <w:i w:val="0"/>
          <w:sz w:val="24"/>
        </w:rPr>
        <w:t>C_d = 0.25 × P_d + 0.35 × LP_d + 0.20 × S_d + 0.20 × H_d</w:t>
      </w:r>
    </w:p>
    <w:p>
      <w:pPr>
        <w:spacing w:before="0" w:after="120"/>
        <w:jc w:val="both"/>
      </w:pPr>
      <w:r>
        <w:rPr>
          <w:rFonts w:ascii="Times New Roman" w:hAnsi="Times New Roman"/>
          <w:b w:val="0"/>
          <w:i w:val="0"/>
          <w:sz w:val="24"/>
        </w:rPr>
        <w:t>For the January 2026 instance, the H component is computed relative to December 2025 year-end results. Since December is the last month of the target year, expected_ytd_{d} = annual_target_{d} for all dealers, and lag_d = max(0, 1 − actual_ytd_{d}/annual_target_{d}). This simplification means that H_d for the first allocation of a new target year is based on the previous year's final performance gap rather than an in-year lag, which provides a meaningful starting condition that carries over prior-year under-performance into the new allocation cycle.</w:t>
      </w:r>
    </w:p>
    <w:p>
      <w:pPr>
        <w:spacing w:before="0" w:after="120"/>
        <w:jc w:val="both"/>
      </w:pPr>
      <w:r>
        <w:rPr>
          <w:rFonts w:ascii="Times New Roman" w:hAnsi="Times New Roman"/>
          <w:b w:val="0"/>
          <w:i w:val="0"/>
          <w:sz w:val="24"/>
        </w:rPr>
        <w:t>The weights (0.25, 0.35, 0.20, 0.20) were determined through a structured consultation with the brand's national sales director. A pairwise comparison exercise (analogous to AHP weighting) was conducted with three decision-makers (national sales director, regional sales manager, dealer relations manager) and the resulting weights were averaged. The LP criterion's weight (0.35) reflects the universal consensus that mismatched inventory—sending the wrong colors or versions to dealers—is the most frequent and costly operational error in the current manual allocation process.</w:t>
      </w:r>
    </w:p>
    <w:p>
      <w:pPr>
        <w:spacing w:before="160" w:after="40"/>
        <w:jc w:val="center"/>
        <w:shd w:val="clear" w:color="auto" w:fill="D9D9D9"/>
      </w:pPr>
      <w:r>
        <w:rPr>
          <w:rFonts w:ascii="Times New Roman" w:hAnsi="Times New Roman"/>
          <w:b w:val="0"/>
          <w:i/>
          <w:sz w:val="22"/>
        </w:rPr>
        <w:t>[FIGURE PLACEHOLDER: Horizontal bar chart sorted by composite score C_d (descending). 28 bars, each color-coded into four stacked segments showing the contribution of P×0.25, LP×0.35, S×0.20, and H×0.20 to the total composite score. X-axis: 0.0 to 1.0 (composite score). Y-axis: dealer label (Bayi 01 – Bayi 28). Top dealer score annotated: 0.856. Median score ≈ 0.62.]</w:t>
      </w:r>
    </w:p>
    <w:p>
      <w:pPr>
        <w:spacing w:before="40" w:after="160"/>
        <w:jc w:val="center"/>
      </w:pPr>
      <w:r>
        <w:rPr>
          <w:rFonts w:ascii="Times New Roman" w:hAnsi="Times New Roman"/>
          <w:b w:val="0"/>
          <w:i/>
          <w:sz w:val="22"/>
        </w:rPr>
        <w:t>Figure 5. MCDM Composite Score Distribution Across 28 Dealers</w:t>
      </w:r>
    </w:p>
    <w:p>
      <w:r>
        <w:br w:type="page"/>
      </w:r>
    </w:p>
    <w:p>
      <w:pPr>
        <w:spacing w:before="240" w:after="120"/>
        <w:jc w:val="left"/>
      </w:pPr>
      <w:r>
        <w:rPr>
          <w:rFonts w:ascii="Times New Roman" w:hAnsi="Times New Roman"/>
          <w:b/>
          <w:i w:val="0"/>
          <w:sz w:val="28"/>
        </w:rPr>
        <w:t>6. LAYER 3: MILP ALLOCATION MODEL</w:t>
      </w:r>
    </w:p>
    <w:p>
      <w:pPr>
        <w:spacing w:before="240" w:after="120"/>
        <w:jc w:val="left"/>
      </w:pPr>
      <w:r>
        <w:rPr>
          <w:rFonts w:ascii="Times New Roman" w:hAnsi="Times New Roman"/>
          <w:b/>
          <w:i w:val="0"/>
          <w:sz w:val="24"/>
        </w:rPr>
        <w:t>6.1 Problem Formulation</w:t>
      </w:r>
    </w:p>
    <w:p>
      <w:pPr>
        <w:spacing w:before="0" w:after="120"/>
        <w:jc w:val="both"/>
      </w:pPr>
      <w:r>
        <w:rPr>
          <w:rFonts w:ascii="Times New Roman" w:hAnsi="Times New Roman"/>
          <w:b w:val="0"/>
          <w:i w:val="0"/>
          <w:sz w:val="24"/>
        </w:rPr>
        <w:t>The monthly vehicle allocation problem is formulated as a Mixed-Integer Linear Program. Let D = {1, …, 28} be the set of dealers and V be the set of vehicle variants. In January 2026, V is partitioned into two independent groups: V_A = {A1V01, A2V02, A3V02} (the A model group) and V_B = {B1V01} (the B model group). The groups are solved as separate MILP instances to respect the brand's internal product segmentation policy, which dictates that A-group and B-group quotas are managed independently. Table 1 summarizes the sets and parameters.</w:t>
      </w:r>
    </w:p>
    <w:p>
      <w:pPr>
        <w:spacing w:before="120" w:after="40"/>
        <w:jc w:val="center"/>
      </w:pPr>
      <w:r>
        <w:rPr>
          <w:rFonts w:ascii="Times New Roman" w:hAnsi="Times New Roman"/>
          <w:b/>
          <w:i w:val="0"/>
          <w:sz w:val="22"/>
        </w:rPr>
        <w:t>Table 1. Sets and Parameters of the MILP Model</w:t>
      </w:r>
    </w:p>
    <w:tbl>
      <w:tblPr>
        <w:tblStyle w:val="TableGrid"/>
        <w:tblW w:type="auto" w:w="0"/>
        <w:tblLook w:firstColumn="1" w:firstRow="1" w:lastColumn="0" w:lastRow="0" w:noHBand="0" w:noVBand="1" w:val="04A0"/>
      </w:tblPr>
      <w:tblGrid>
        <w:gridCol w:w="3135"/>
        <w:gridCol w:w="3135"/>
        <w:gridCol w:w="3135"/>
      </w:tblGrid>
      <w:tr>
        <w:tc>
          <w:tcPr>
            <w:tcW w:type="dxa" w:w="1984"/>
          </w:tcPr>
          <w:p>
            <w:pPr>
              <w:jc w:val="center"/>
            </w:pPr>
            <w:r>
              <w:rPr>
                <w:rFonts w:ascii="Times New Roman" w:hAnsi="Times New Roman"/>
                <w:b/>
                <w:sz w:val="20"/>
              </w:rPr>
              <w:t>Symbol</w:t>
            </w:r>
          </w:p>
        </w:tc>
        <w:tc>
          <w:tcPr>
            <w:tcW w:type="dxa" w:w="1701"/>
          </w:tcPr>
          <w:p>
            <w:pPr>
              <w:jc w:val="center"/>
            </w:pPr>
            <w:r>
              <w:rPr>
                <w:rFonts w:ascii="Times New Roman" w:hAnsi="Times New Roman"/>
                <w:b/>
                <w:sz w:val="20"/>
              </w:rPr>
              <w:t>Type</w:t>
            </w:r>
          </w:p>
        </w:tc>
        <w:tc>
          <w:tcPr>
            <w:tcW w:type="dxa" w:w="4535"/>
          </w:tcPr>
          <w:p>
            <w:pPr>
              <w:jc w:val="center"/>
            </w:pPr>
            <w:r>
              <w:rPr>
                <w:rFonts w:ascii="Times New Roman" w:hAnsi="Times New Roman"/>
                <w:b/>
                <w:sz w:val="20"/>
              </w:rPr>
              <w:t>Definition</w:t>
            </w:r>
          </w:p>
        </w:tc>
      </w:tr>
      <w:tr>
        <w:tc>
          <w:tcPr>
            <w:tcW w:type="dxa" w:w="1984"/>
          </w:tcPr>
          <w:p>
            <w:pPr>
              <w:jc w:val="center"/>
            </w:pPr>
            <w:r>
              <w:rPr>
                <w:rFonts w:ascii="Times New Roman" w:hAnsi="Times New Roman"/>
                <w:sz w:val="20"/>
              </w:rPr>
              <w:t>D</w:t>
            </w:r>
          </w:p>
        </w:tc>
        <w:tc>
          <w:tcPr>
            <w:tcW w:type="dxa" w:w="1701"/>
          </w:tcPr>
          <w:p>
            <w:pPr>
              <w:jc w:val="center"/>
            </w:pPr>
            <w:r>
              <w:rPr>
                <w:rFonts w:ascii="Times New Roman" w:hAnsi="Times New Roman"/>
                <w:sz w:val="20"/>
              </w:rPr>
              <w:t>Set</w:t>
            </w:r>
          </w:p>
        </w:tc>
        <w:tc>
          <w:tcPr>
            <w:tcW w:type="dxa" w:w="4535"/>
          </w:tcPr>
          <w:p>
            <w:pPr>
              <w:jc w:val="center"/>
            </w:pPr>
            <w:r>
              <w:rPr>
                <w:rFonts w:ascii="Times New Roman" w:hAnsi="Times New Roman"/>
                <w:sz w:val="20"/>
              </w:rPr>
              <w:t>Set of dealers, |D| = 28</w:t>
            </w:r>
          </w:p>
        </w:tc>
      </w:tr>
      <w:tr>
        <w:tc>
          <w:tcPr>
            <w:tcW w:type="dxa" w:w="1984"/>
          </w:tcPr>
          <w:p>
            <w:pPr>
              <w:jc w:val="center"/>
            </w:pPr>
            <w:r>
              <w:rPr>
                <w:rFonts w:ascii="Times New Roman" w:hAnsi="Times New Roman"/>
                <w:sz w:val="20"/>
              </w:rPr>
              <w:t>V</w:t>
            </w:r>
          </w:p>
        </w:tc>
        <w:tc>
          <w:tcPr>
            <w:tcW w:type="dxa" w:w="1701"/>
          </w:tcPr>
          <w:p>
            <w:pPr>
              <w:jc w:val="center"/>
            </w:pPr>
            <w:r>
              <w:rPr>
                <w:rFonts w:ascii="Times New Roman" w:hAnsi="Times New Roman"/>
                <w:sz w:val="20"/>
              </w:rPr>
              <w:t>Set</w:t>
            </w:r>
          </w:p>
        </w:tc>
        <w:tc>
          <w:tcPr>
            <w:tcW w:type="dxa" w:w="4535"/>
          </w:tcPr>
          <w:p>
            <w:pPr>
              <w:jc w:val="center"/>
            </w:pPr>
            <w:r>
              <w:rPr>
                <w:rFonts w:ascii="Times New Roman" w:hAnsi="Times New Roman"/>
                <w:sz w:val="20"/>
              </w:rPr>
              <w:t>Set of vehicle variants {A1V01, A2V02, A3V02, B1V01}</w:t>
            </w:r>
          </w:p>
        </w:tc>
      </w:tr>
      <w:tr>
        <w:tc>
          <w:tcPr>
            <w:tcW w:type="dxa" w:w="1984"/>
          </w:tcPr>
          <w:p>
            <w:pPr>
              <w:jc w:val="center"/>
            </w:pPr>
            <w:r>
              <w:rPr>
                <w:rFonts w:ascii="Times New Roman" w:hAnsi="Times New Roman"/>
                <w:sz w:val="20"/>
              </w:rPr>
              <w:t>V_A, V_B</w:t>
            </w:r>
          </w:p>
        </w:tc>
        <w:tc>
          <w:tcPr>
            <w:tcW w:type="dxa" w:w="1701"/>
          </w:tcPr>
          <w:p>
            <w:pPr>
              <w:jc w:val="center"/>
            </w:pPr>
            <w:r>
              <w:rPr>
                <w:rFonts w:ascii="Times New Roman" w:hAnsi="Times New Roman"/>
                <w:sz w:val="20"/>
              </w:rPr>
              <w:t>Sets</w:t>
            </w:r>
          </w:p>
        </w:tc>
        <w:tc>
          <w:tcPr>
            <w:tcW w:type="dxa" w:w="4535"/>
          </w:tcPr>
          <w:p>
            <w:pPr>
              <w:jc w:val="center"/>
            </w:pPr>
            <w:r>
              <w:rPr>
                <w:rFonts w:ascii="Times New Roman" w:hAnsi="Times New Roman"/>
                <w:sz w:val="20"/>
              </w:rPr>
              <w:t>A-group and B-group variant subsets</w:t>
            </w:r>
          </w:p>
        </w:tc>
      </w:tr>
      <w:tr>
        <w:tc>
          <w:tcPr>
            <w:tcW w:type="dxa" w:w="1984"/>
          </w:tcPr>
          <w:p>
            <w:pPr>
              <w:jc w:val="center"/>
            </w:pPr>
            <w:r>
              <w:rPr>
                <w:rFonts w:ascii="Times New Roman" w:hAnsi="Times New Roman"/>
                <w:sz w:val="20"/>
              </w:rPr>
              <w:t>x[v][d]</w:t>
            </w:r>
          </w:p>
        </w:tc>
        <w:tc>
          <w:tcPr>
            <w:tcW w:type="dxa" w:w="1701"/>
          </w:tcPr>
          <w:p>
            <w:pPr>
              <w:jc w:val="center"/>
            </w:pPr>
            <w:r>
              <w:rPr>
                <w:rFonts w:ascii="Times New Roman" w:hAnsi="Times New Roman"/>
                <w:sz w:val="20"/>
              </w:rPr>
              <w:t>Decision variable</w:t>
            </w:r>
          </w:p>
        </w:tc>
        <w:tc>
          <w:tcPr>
            <w:tcW w:type="dxa" w:w="4535"/>
          </w:tcPr>
          <w:p>
            <w:pPr>
              <w:jc w:val="center"/>
            </w:pPr>
            <w:r>
              <w:rPr>
                <w:rFonts w:ascii="Times New Roman" w:hAnsi="Times New Roman"/>
                <w:sz w:val="20"/>
              </w:rPr>
              <w:t>Number of variant v allocated to dealer d (integer ≥ 0)</w:t>
            </w:r>
          </w:p>
        </w:tc>
      </w:tr>
      <w:tr>
        <w:tc>
          <w:tcPr>
            <w:tcW w:type="dxa" w:w="1984"/>
          </w:tcPr>
          <w:p>
            <w:pPr>
              <w:jc w:val="center"/>
            </w:pPr>
            <w:r>
              <w:rPr>
                <w:rFonts w:ascii="Times New Roman" w:hAnsi="Times New Roman"/>
                <w:sz w:val="20"/>
              </w:rPr>
              <w:t>C_d</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Composite MCDM score for dealer d (from Layer 2)</w:t>
            </w:r>
          </w:p>
        </w:tc>
      </w:tr>
      <w:tr>
        <w:tc>
          <w:tcPr>
            <w:tcW w:type="dxa" w:w="1984"/>
          </w:tcPr>
          <w:p>
            <w:pPr>
              <w:jc w:val="center"/>
            </w:pPr>
            <w:r>
              <w:rPr>
                <w:rFonts w:ascii="Times New Roman" w:hAnsi="Times New Roman"/>
                <w:sz w:val="20"/>
              </w:rPr>
              <w:t>avail_v</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Available units of variant v in central depot</w:t>
            </w:r>
          </w:p>
        </w:tc>
      </w:tr>
      <w:tr>
        <w:tc>
          <w:tcPr>
            <w:tcW w:type="dxa" w:w="1984"/>
          </w:tcPr>
          <w:p>
            <w:pPr>
              <w:jc w:val="center"/>
            </w:pPr>
            <w:r>
              <w:rPr>
                <w:rFonts w:ascii="Times New Roman" w:hAnsi="Times New Roman"/>
                <w:sz w:val="20"/>
              </w:rPr>
              <w:t>quota_d</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Monthly unit quota for dealer d (from Layer 1 / market share)</w:t>
            </w:r>
          </w:p>
        </w:tc>
      </w:tr>
      <w:tr>
        <w:tc>
          <w:tcPr>
            <w:tcW w:type="dxa" w:w="1984"/>
          </w:tcPr>
          <w:p>
            <w:pPr>
              <w:jc w:val="center"/>
            </w:pPr>
            <w:r>
              <w:rPr>
                <w:rFonts w:ascii="Times New Roman" w:hAnsi="Times New Roman"/>
                <w:sz w:val="20"/>
              </w:rPr>
              <w:t>lb_d = 0.80 × quota_d</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Lower bound on total allocation to dealer d</w:t>
            </w:r>
          </w:p>
        </w:tc>
      </w:tr>
      <w:tr>
        <w:tc>
          <w:tcPr>
            <w:tcW w:type="dxa" w:w="1984"/>
          </w:tcPr>
          <w:p>
            <w:pPr>
              <w:jc w:val="center"/>
            </w:pPr>
            <w:r>
              <w:rPr>
                <w:rFonts w:ascii="Times New Roman" w:hAnsi="Times New Roman"/>
                <w:sz w:val="20"/>
              </w:rPr>
              <w:t>ub_d = 1.20 × quota_d</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Upper bound on total allocation to dealer d</w:t>
            </w:r>
          </w:p>
        </w:tc>
      </w:tr>
    </w:tbl>
    <w:p>
      <w:pPr>
        <w:spacing w:after="120"/>
      </w:pPr>
    </w:p>
    <w:p>
      <w:pPr>
        <w:spacing w:before="0" w:after="120"/>
        <w:jc w:val="both"/>
      </w:pPr>
      <w:r>
        <w:rPr>
          <w:rFonts w:ascii="Times New Roman" w:hAnsi="Times New Roman"/>
          <w:b w:val="0"/>
          <w:i w:val="0"/>
          <w:sz w:val="24"/>
        </w:rPr>
        <w:t>The MILP is formulated as follows:</w:t>
      </w:r>
    </w:p>
    <w:p>
      <w:pPr>
        <w:spacing w:before="80" w:after="80"/>
        <w:jc w:val="center"/>
      </w:pPr>
      <w:r>
        <w:rPr>
          <w:rFonts w:ascii="Times New Roman" w:hAnsi="Times New Roman"/>
          <w:b w:val="0"/>
          <w:i w:val="0"/>
          <w:sz w:val="24"/>
        </w:rPr>
        <w:t>Maximize:  Z = Σ_{v∈V} Σ_{d∈D} C_d · x[v][d]</w:t>
      </w:r>
    </w:p>
    <w:p>
      <w:pPr>
        <w:spacing w:before="0" w:after="120"/>
        <w:jc w:val="both"/>
      </w:pPr>
      <w:r>
        <w:rPr>
          <w:rFonts w:ascii="Times New Roman" w:hAnsi="Times New Roman"/>
          <w:b w:val="0"/>
          <w:i w:val="0"/>
          <w:sz w:val="24"/>
        </w:rPr>
        <w:t>Subject to:</w:t>
      </w:r>
    </w:p>
    <w:p>
      <w:pPr>
        <w:spacing w:before="60" w:after="60"/>
      </w:pPr>
      <w:r>
        <w:rPr>
          <w:rFonts w:ascii="Times New Roman" w:hAnsi="Times New Roman"/>
          <w:b/>
          <w:i w:val="0"/>
          <w:sz w:val="24"/>
        </w:rPr>
        <w:t xml:space="preserve">(C1) Inventory constraint:  </w:t>
      </w:r>
      <w:r>
        <w:rPr>
          <w:rFonts w:ascii="Times New Roman" w:hAnsi="Times New Roman"/>
          <w:b w:val="0"/>
          <w:i w:val="0"/>
          <w:sz w:val="24"/>
        </w:rPr>
        <w:t>Σ_{d∈D} x[v][d] ≤ avail_v   ∀v ∈ V  —  Total allocation of each variant does not exceed available inventory.</w:t>
      </w:r>
    </w:p>
    <w:p>
      <w:pPr>
        <w:spacing w:before="60" w:after="60"/>
      </w:pPr>
      <w:r>
        <w:rPr>
          <w:rFonts w:ascii="Times New Roman" w:hAnsi="Times New Roman"/>
          <w:b/>
          <w:i w:val="0"/>
          <w:sz w:val="24"/>
        </w:rPr>
        <w:t xml:space="preserve">(C2) Quota lower bound:  </w:t>
      </w:r>
      <w:r>
        <w:rPr>
          <w:rFonts w:ascii="Times New Roman" w:hAnsi="Times New Roman"/>
          <w:b w:val="0"/>
          <w:i w:val="0"/>
          <w:sz w:val="24"/>
        </w:rPr>
        <w:t>Σ_{v∈V_g} x[v][d] ≥ 0.80 × quota_d^g   ∀d ∈ D, g ∈ {A, B}  —  Each dealer receives at least 80% of its group quota.</w:t>
      </w:r>
    </w:p>
    <w:p>
      <w:pPr>
        <w:spacing w:before="60" w:after="60"/>
      </w:pPr>
      <w:r>
        <w:rPr>
          <w:rFonts w:ascii="Times New Roman" w:hAnsi="Times New Roman"/>
          <w:b/>
          <w:i w:val="0"/>
          <w:sz w:val="24"/>
        </w:rPr>
        <w:t xml:space="preserve">(C3) Quota upper bound:  </w:t>
      </w:r>
      <w:r>
        <w:rPr>
          <w:rFonts w:ascii="Times New Roman" w:hAnsi="Times New Roman"/>
          <w:b w:val="0"/>
          <w:i w:val="0"/>
          <w:sz w:val="24"/>
        </w:rPr>
        <w:t>Σ_{v∈V_g} x[v][d] ≤ 1.20 × quota_d^g   ∀d ∈ D, g ∈ {A, B}  —  No dealer receives more than 120% of its group quota.</w:t>
      </w:r>
    </w:p>
    <w:p>
      <w:pPr>
        <w:spacing w:before="60" w:after="60"/>
      </w:pPr>
      <w:r>
        <w:rPr>
          <w:rFonts w:ascii="Times New Roman" w:hAnsi="Times New Roman"/>
          <w:b/>
          <w:i w:val="0"/>
          <w:sz w:val="24"/>
        </w:rPr>
        <w:t xml:space="preserve">(C4) Integrality:  </w:t>
      </w:r>
      <w:r>
        <w:rPr>
          <w:rFonts w:ascii="Times New Roman" w:hAnsi="Times New Roman"/>
          <w:b w:val="0"/>
          <w:i w:val="0"/>
          <w:sz w:val="24"/>
        </w:rPr>
        <w:t>x[v][d] ∈ ℤ_{≥0}   ∀v ∈ V, d ∈ D  —  Allocation quantities are non-negative integers.</w:t>
      </w:r>
    </w:p>
    <w:p>
      <w:pPr>
        <w:spacing w:before="0" w:after="120"/>
        <w:jc w:val="both"/>
      </w:pPr>
      <w:r>
        <w:rPr>
          <w:rFonts w:ascii="Times New Roman" w:hAnsi="Times New Roman"/>
          <w:b w:val="0"/>
          <w:i w:val="0"/>
          <w:sz w:val="24"/>
        </w:rPr>
        <w:t>The objective function maximizes the total composite-score-weighted allocation. Because C_d is constant across variants for a given dealer (the composite score is dealer-specific, not variant-specific), the objective is equivalent to maximizing the weighted sum of total units allocated to each dealer, with high-scoring dealers having a stronger marginal contribution to the objective. This structure ensures that, when inventory is scarce, the CBC solver preferentially fills the quotas of high-scoring dealers before low-scoring ones, within the feasibility region defined by constraints C1–C4.</w:t>
      </w:r>
    </w:p>
    <w:p>
      <w:pPr>
        <w:spacing w:before="0" w:after="120"/>
        <w:jc w:val="both"/>
      </w:pPr>
      <w:r>
        <w:rPr>
          <w:rFonts w:ascii="Times New Roman" w:hAnsi="Times New Roman"/>
          <w:b w:val="0"/>
          <w:i w:val="0"/>
          <w:sz w:val="24"/>
        </w:rPr>
        <w:t>Note that variant-level allocation within a dealer's total allocation is not determined by the MILP; once the total quantity Σ_v x[v][d] is set, the variant mix sent to each dealer follows the LP cosine-similarity ranking: variants most aligned with the dealer's historical profile are prioritized. This two-step approach (total allocation via MILP, variant mix via LP ranking) simplifies the formulation and is computationally advantageous because variant-level preferences are already captured in the LP sub-score.</w:t>
      </w:r>
    </w:p>
    <w:p>
      <w:pPr>
        <w:spacing w:before="240" w:after="120"/>
        <w:jc w:val="left"/>
      </w:pPr>
      <w:r>
        <w:rPr>
          <w:rFonts w:ascii="Times New Roman" w:hAnsi="Times New Roman"/>
          <w:b/>
          <w:i w:val="0"/>
          <w:sz w:val="24"/>
        </w:rPr>
        <w:t>6.2 Market-Share-Based Quota Distribution</w:t>
      </w:r>
    </w:p>
    <w:p>
      <w:pPr>
        <w:spacing w:before="0" w:after="120"/>
        <w:jc w:val="both"/>
      </w:pPr>
      <w:r>
        <w:rPr>
          <w:rFonts w:ascii="Times New Roman" w:hAnsi="Times New Roman"/>
          <w:b w:val="0"/>
          <w:i w:val="0"/>
          <w:sz w:val="24"/>
        </w:rPr>
        <w:t>The dealer monthly quota q_d required by constraints C2 and C3 is derived from a market-share-based target allocation formula. The formula distributes the brand's projected 2026 annual volume across dealers in proportion to each dealer's expected market share, computed as a 50/50 blend of two components:</w:t>
      </w:r>
    </w:p>
    <w:p>
      <w:pPr>
        <w:spacing w:before="80" w:after="80"/>
        <w:jc w:val="center"/>
      </w:pPr>
      <w:r>
        <w:rPr>
          <w:rFonts w:ascii="Times New Roman" w:hAnsi="Times New Roman"/>
          <w:b w:val="0"/>
          <w:i w:val="0"/>
          <w:sz w:val="24"/>
        </w:rPr>
        <w:t>target_pay_d = 0.5 × brand_sales_share_2025_d + 0.5 × (catchment_stock_d / Σ_{j∈catchment_d} 1/n_d)</w:t>
      </w:r>
    </w:p>
    <w:p>
      <w:pPr>
        <w:spacing w:before="0" w:after="120"/>
        <w:jc w:val="both"/>
      </w:pPr>
      <w:r>
        <w:rPr>
          <w:rFonts w:ascii="Times New Roman" w:hAnsi="Times New Roman"/>
          <w:b w:val="0"/>
          <w:i w:val="0"/>
          <w:sz w:val="24"/>
        </w:rPr>
        <w:t>where brand_sales_share_2025_d = units_sold_{d,2025} / Σ_j units_sold_{j,2025} is dealer d's share of total brand sales in 2025, and catchment_stock_d is the total registered automobile count (TÜİK, 2026) in the provinces forming dealer d's catchment area (the dealer's own province plus geographically adjacent provinces), divided by the number of same-brand dealers in that catchment.</w:t>
      </w:r>
    </w:p>
    <w:p>
      <w:pPr>
        <w:spacing w:before="0" w:after="120"/>
        <w:jc w:val="both"/>
      </w:pPr>
      <w:r>
        <w:rPr>
          <w:rFonts w:ascii="Times New Roman" w:hAnsi="Times New Roman"/>
          <w:b w:val="0"/>
          <w:i w:val="0"/>
          <w:sz w:val="24"/>
        </w:rPr>
        <w:t>The catchment definition recognizes that a dealer competes for customers within a geographic territory whose boundaries are fuzzy but approximate the set of provinces from which that dealer reasonably draws customers. Using TÜİK's December 2025 registered automobile count (17,373,581 units nationally) as a proxy for the latent replacement-demand pool, the per-dealer catchment stock captures geographic market potential independently of historical brand sales. The 50/50 blend balances past brand performance (which may reflect historical capacity constraints rather than true potential) against geographic market potential.</w:t>
      </w:r>
    </w:p>
    <w:p>
      <w:pPr>
        <w:spacing w:before="0" w:after="120"/>
        <w:jc w:val="both"/>
      </w:pPr>
      <w:r>
        <w:rPr>
          <w:rFonts w:ascii="Times New Roman" w:hAnsi="Times New Roman"/>
          <w:b w:val="0"/>
          <w:i w:val="0"/>
          <w:sz w:val="24"/>
        </w:rPr>
        <w:t>Monthly quotas are obtained by multiplying the annual target by the model-group seasonal index SI_m for the allocation month, then distributing across dealers according to target_pay_d. For January 2026, SI_1 ≈ 0.76 for A-group models and SI_1 ≈ 0.82 for the B-group, reflecting the subdued January registration season in Turkey.</w:t>
      </w:r>
    </w:p>
    <w:p>
      <w:pPr>
        <w:spacing w:before="240" w:after="120"/>
        <w:jc w:val="left"/>
      </w:pPr>
      <w:r>
        <w:rPr>
          <w:rFonts w:ascii="Times New Roman" w:hAnsi="Times New Roman"/>
          <w:b/>
          <w:i w:val="0"/>
          <w:sz w:val="24"/>
        </w:rPr>
        <w:t>6.3 Implementation with PuLP and CBC</w:t>
      </w:r>
    </w:p>
    <w:p>
      <w:pPr>
        <w:spacing w:before="0" w:after="120"/>
        <w:jc w:val="both"/>
      </w:pPr>
      <w:r>
        <w:rPr>
          <w:rFonts w:ascii="Times New Roman" w:hAnsi="Times New Roman"/>
          <w:b w:val="0"/>
          <w:i w:val="0"/>
          <w:sz w:val="24"/>
        </w:rPr>
        <w:t>The MILP is implemented in Python using PuLP 2.x, which provides a declarative modeling API that closely mirrors the mathematical formulation above. The model construction follows three phases: (a) variable declaration using pulp.LpVariable.dicts() with lowBound=0 and cat='Integer', (b) objective and constraint addition using standard PuLP operator overloading, and (c) solution via pulp.COIN_CMD() referencing the CBC binary bundled with the pulp package.</w:t>
      </w:r>
    </w:p>
    <w:p>
      <w:pPr>
        <w:spacing w:before="0" w:after="120"/>
        <w:jc w:val="both"/>
      </w:pPr>
      <w:r>
        <w:rPr>
          <w:rFonts w:ascii="Times New Roman" w:hAnsi="Times New Roman"/>
          <w:b w:val="0"/>
          <w:i w:val="0"/>
          <w:sz w:val="24"/>
        </w:rPr>
        <w:t>The January 2026 A-group instance has 3 variants × 28 dealers = 84 integer decision variables, 3 inventory constraints, and 56 quota bound constraints (28 lower + 28 upper). The B-group instance has 1 variant × 28 dealers = 28 integer decision variables, 1 inventory constraint, and 56 quota bound constraints. Combined, the problem has 112 integer variables and 116 constraints, which CBC solves to certified optimality (MIP gap = 0.0%) in under 0.3 seconds on a standard cloud compute instance.</w:t>
      </w:r>
    </w:p>
    <w:p>
      <w:pPr>
        <w:spacing w:before="0" w:after="120"/>
        <w:jc w:val="both"/>
      </w:pPr>
      <w:r>
        <w:rPr>
          <w:rFonts w:ascii="Times New Roman" w:hAnsi="Times New Roman"/>
          <w:b w:val="0"/>
          <w:i w:val="0"/>
          <w:sz w:val="24"/>
        </w:rPr>
        <w:t>When the MILP is infeasible—which can occur if the sum of lower quota bounds exceeds total inventory—the system automatically relaxes the lower quota bounds proportionally (reducing 0.80 toward 0.70, then 0.60) until a feasible solution is found or the user is notified that inventory is insufficient to serve all dealers. This fallback logic is implemented in src/optimization/solver.py and is logged with a warning in the dashboard.</w:t>
      </w:r>
    </w:p>
    <w:p>
      <w:r>
        <w:br w:type="page"/>
      </w:r>
    </w:p>
    <w:p>
      <w:pPr>
        <w:spacing w:before="240" w:after="120"/>
        <w:jc w:val="left"/>
      </w:pPr>
      <w:r>
        <w:rPr>
          <w:rFonts w:ascii="Times New Roman" w:hAnsi="Times New Roman"/>
          <w:b/>
          <w:i w:val="0"/>
          <w:sz w:val="28"/>
        </w:rPr>
        <w:t>7. JANUARY 2026 CASE STUDY</w:t>
      </w:r>
    </w:p>
    <w:p>
      <w:pPr>
        <w:spacing w:before="240" w:after="120"/>
        <w:jc w:val="left"/>
      </w:pPr>
      <w:r>
        <w:rPr>
          <w:rFonts w:ascii="Times New Roman" w:hAnsi="Times New Roman"/>
          <w:b/>
          <w:i w:val="0"/>
          <w:sz w:val="24"/>
        </w:rPr>
        <w:t>7.1 Input Data and Parameters</w:t>
      </w:r>
    </w:p>
    <w:p>
      <w:pPr>
        <w:spacing w:before="0" w:after="120"/>
        <w:jc w:val="both"/>
      </w:pPr>
      <w:r>
        <w:rPr>
          <w:rFonts w:ascii="Times New Roman" w:hAnsi="Times New Roman"/>
          <w:b w:val="0"/>
          <w:i w:val="0"/>
          <w:sz w:val="24"/>
        </w:rPr>
        <w:t>The January 2026 allocation run was executed on December 31, 2025 using the following inputs: the inventory_2026_01.csv file containing 603 vehicles in the central depot, the December 2025 monthly performance data (the most recent month for which complete data was available), the 2025 final year-end performance records for the H score computation, and the TÜİK December 2025 provincial automobile registration dataset.</w:t>
      </w:r>
    </w:p>
    <w:p>
      <w:pPr>
        <w:spacing w:before="0" w:after="120"/>
        <w:jc w:val="both"/>
      </w:pPr>
      <w:r>
        <w:rPr>
          <w:rFonts w:ascii="Times New Roman" w:hAnsi="Times New Roman"/>
          <w:b w:val="0"/>
          <w:i w:val="0"/>
          <w:sz w:val="24"/>
        </w:rPr>
        <w:t>The EWMA smoothing (W=5) was applied to the 5-month window of August–December 2025 achievement ratios for each dealer. Composite scores C_d were computed for all 28 dealers. The full score range in this instance was [0.41, 0.856], with a mean of 0.623 and a standard deviation of 0.108. The top-scoring dealer (composite 0.856) had high LP alignment (the depot's January inventory was unusually rich in the specific model-version-color combinations this dealer historically sells), strong recent performance (P ≈ 0.87), and significant year-end target lag (H = 1.21, indicating it fell 21% behind its annual target in 2025, primarily due to supply constraints in Q3 2025).</w:t>
      </w:r>
    </w:p>
    <w:p>
      <w:pPr>
        <w:spacing w:before="0" w:after="120"/>
        <w:jc w:val="both"/>
      </w:pPr>
      <w:r>
        <w:rPr>
          <w:rFonts w:ascii="Times New Roman" w:hAnsi="Times New Roman"/>
          <w:b w:val="0"/>
          <w:i w:val="0"/>
          <w:sz w:val="24"/>
        </w:rPr>
        <w:t>Monthly quotas for January 2026 were derived from the Prophet annual projection and the market-share formula (Section 6.2). The aggregate group quotas were: A-group total quota 517 units, B-group total quota 224 units. Since available A-group inventory (35 + 291 + 97 = 423 units) was below the A-group lower quota bound (0.80 × 517 = 414 units), the solver was operating near the lower feasibility boundary for the A group. The B-group inventory (180 units) was well below the B-group lower quota (0.80 × 224 = 179 units), making the B-group instance nearly fully constrained.</w:t>
      </w:r>
    </w:p>
    <w:p>
      <w:pPr>
        <w:spacing w:before="240" w:after="120"/>
        <w:jc w:val="left"/>
      </w:pPr>
      <w:r>
        <w:rPr>
          <w:rFonts w:ascii="Times New Roman" w:hAnsi="Times New Roman"/>
          <w:b/>
          <w:i w:val="0"/>
          <w:sz w:val="24"/>
        </w:rPr>
        <w:t>7.2 Allocation Results</w:t>
      </w:r>
    </w:p>
    <w:p>
      <w:pPr>
        <w:spacing w:before="0" w:after="120"/>
        <w:jc w:val="both"/>
      </w:pPr>
      <w:r>
        <w:rPr>
          <w:rFonts w:ascii="Times New Roman" w:hAnsi="Times New Roman"/>
          <w:b w:val="0"/>
          <w:i w:val="0"/>
          <w:sz w:val="24"/>
        </w:rPr>
        <w:t>The MILP solver returned optimal solutions for both groups within the 0.3-second time budget. The combined allocation matrix assigned vehicles to all 28 dealers, with per-dealer totals ranging from 14 to 47 units. Table 4 summarizes the results by model group.</w:t>
      </w:r>
    </w:p>
    <w:p>
      <w:pPr>
        <w:spacing w:before="120" w:after="40"/>
        <w:jc w:val="center"/>
      </w:pPr>
      <w:r>
        <w:rPr>
          <w:rFonts w:ascii="Times New Roman" w:hAnsi="Times New Roman"/>
          <w:b/>
          <w:i w:val="0"/>
          <w:sz w:val="22"/>
        </w:rPr>
        <w:t>Table 4. January 2026 Allocation Summary by Model Group</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tcPr>
          <w:p>
            <w:pPr>
              <w:jc w:val="center"/>
            </w:pPr>
            <w:r>
              <w:rPr>
                <w:rFonts w:ascii="Times New Roman" w:hAnsi="Times New Roman"/>
                <w:b/>
                <w:sz w:val="20"/>
              </w:rPr>
              <w:t>Model</w:t>
            </w:r>
          </w:p>
        </w:tc>
        <w:tc>
          <w:tcPr>
            <w:tcW w:type="dxa" w:w="1984"/>
          </w:tcPr>
          <w:p>
            <w:pPr>
              <w:jc w:val="center"/>
            </w:pPr>
            <w:r>
              <w:rPr>
                <w:rFonts w:ascii="Times New Roman" w:hAnsi="Times New Roman"/>
                <w:b/>
                <w:sz w:val="20"/>
              </w:rPr>
              <w:t>Available (units)</w:t>
            </w:r>
          </w:p>
        </w:tc>
        <w:tc>
          <w:tcPr>
            <w:tcW w:type="dxa" w:w="1984"/>
          </w:tcPr>
          <w:p>
            <w:pPr>
              <w:jc w:val="center"/>
            </w:pPr>
            <w:r>
              <w:rPr>
                <w:rFonts w:ascii="Times New Roman" w:hAnsi="Times New Roman"/>
                <w:b/>
                <w:sz w:val="20"/>
              </w:rPr>
              <w:t>Allocated (units)</w:t>
            </w:r>
          </w:p>
        </w:tc>
        <w:tc>
          <w:tcPr>
            <w:tcW w:type="dxa" w:w="1701"/>
          </w:tcPr>
          <w:p>
            <w:pPr>
              <w:jc w:val="center"/>
            </w:pPr>
            <w:r>
              <w:rPr>
                <w:rFonts w:ascii="Times New Roman" w:hAnsi="Times New Roman"/>
                <w:b/>
                <w:sz w:val="20"/>
              </w:rPr>
              <w:t>Dealers Served</w:t>
            </w:r>
          </w:p>
        </w:tc>
        <w:tc>
          <w:tcPr>
            <w:tcW w:type="dxa" w:w="1701"/>
          </w:tcPr>
          <w:p>
            <w:pPr>
              <w:jc w:val="center"/>
            </w:pPr>
            <w:r>
              <w:rPr>
                <w:rFonts w:ascii="Times New Roman" w:hAnsi="Times New Roman"/>
                <w:b/>
                <w:sz w:val="20"/>
              </w:rPr>
              <w:t>Avg per Dealer</w:t>
            </w:r>
          </w:p>
        </w:tc>
        <w:tc>
          <w:tcPr>
            <w:tcW w:type="dxa" w:w="1701"/>
          </w:tcPr>
          <w:p>
            <w:pPr>
              <w:jc w:val="center"/>
            </w:pPr>
            <w:r>
              <w:rPr>
                <w:rFonts w:ascii="Times New Roman" w:hAnsi="Times New Roman"/>
                <w:b/>
                <w:sz w:val="20"/>
              </w:rPr>
              <w:t>Solver Status</w:t>
            </w:r>
          </w:p>
        </w:tc>
      </w:tr>
      <w:tr>
        <w:tc>
          <w:tcPr>
            <w:tcW w:type="dxa" w:w="1417"/>
          </w:tcPr>
          <w:p>
            <w:pPr>
              <w:jc w:val="center"/>
            </w:pPr>
            <w:r>
              <w:rPr>
                <w:rFonts w:ascii="Times New Roman" w:hAnsi="Times New Roman"/>
                <w:sz w:val="20"/>
              </w:rPr>
              <w:t>A1V01</w:t>
            </w:r>
          </w:p>
        </w:tc>
        <w:tc>
          <w:tcPr>
            <w:tcW w:type="dxa" w:w="1984"/>
          </w:tcPr>
          <w:p>
            <w:pPr>
              <w:jc w:val="center"/>
            </w:pPr>
            <w:r>
              <w:rPr>
                <w:rFonts w:ascii="Times New Roman" w:hAnsi="Times New Roman"/>
                <w:sz w:val="20"/>
              </w:rPr>
              <w:t>35</w:t>
            </w:r>
          </w:p>
        </w:tc>
        <w:tc>
          <w:tcPr>
            <w:tcW w:type="dxa" w:w="1984"/>
          </w:tcPr>
          <w:p>
            <w:pPr>
              <w:jc w:val="center"/>
            </w:pPr>
            <w:r>
              <w:rPr>
                <w:rFonts w:ascii="Times New Roman" w:hAnsi="Times New Roman"/>
                <w:sz w:val="20"/>
              </w:rPr>
              <w:t>35</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1.25</w:t>
            </w:r>
          </w:p>
        </w:tc>
        <w:tc>
          <w:tcPr>
            <w:tcW w:type="dxa" w:w="1701"/>
          </w:tcPr>
          <w:p>
            <w:pPr>
              <w:jc w:val="center"/>
            </w:pPr>
            <w:r>
              <w:rPr>
                <w:rFonts w:ascii="Times New Roman" w:hAnsi="Times New Roman"/>
                <w:sz w:val="20"/>
              </w:rPr>
              <w:t>Optimal</w:t>
            </w:r>
          </w:p>
        </w:tc>
      </w:tr>
      <w:tr>
        <w:tc>
          <w:tcPr>
            <w:tcW w:type="dxa" w:w="1417"/>
          </w:tcPr>
          <w:p>
            <w:pPr>
              <w:jc w:val="center"/>
            </w:pPr>
            <w:r>
              <w:rPr>
                <w:rFonts w:ascii="Times New Roman" w:hAnsi="Times New Roman"/>
                <w:sz w:val="20"/>
              </w:rPr>
              <w:t>A2V02</w:t>
            </w:r>
          </w:p>
        </w:tc>
        <w:tc>
          <w:tcPr>
            <w:tcW w:type="dxa" w:w="1984"/>
          </w:tcPr>
          <w:p>
            <w:pPr>
              <w:jc w:val="center"/>
            </w:pPr>
            <w:r>
              <w:rPr>
                <w:rFonts w:ascii="Times New Roman" w:hAnsi="Times New Roman"/>
                <w:sz w:val="20"/>
              </w:rPr>
              <w:t>291</w:t>
            </w:r>
          </w:p>
        </w:tc>
        <w:tc>
          <w:tcPr>
            <w:tcW w:type="dxa" w:w="1984"/>
          </w:tcPr>
          <w:p>
            <w:pPr>
              <w:jc w:val="center"/>
            </w:pPr>
            <w:r>
              <w:rPr>
                <w:rFonts w:ascii="Times New Roman" w:hAnsi="Times New Roman"/>
                <w:sz w:val="20"/>
              </w:rPr>
              <w:t>291</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10.39</w:t>
            </w:r>
          </w:p>
        </w:tc>
        <w:tc>
          <w:tcPr>
            <w:tcW w:type="dxa" w:w="1701"/>
          </w:tcPr>
          <w:p>
            <w:pPr>
              <w:jc w:val="center"/>
            </w:pPr>
            <w:r>
              <w:rPr>
                <w:rFonts w:ascii="Times New Roman" w:hAnsi="Times New Roman"/>
                <w:sz w:val="20"/>
              </w:rPr>
              <w:t>Optimal</w:t>
            </w:r>
          </w:p>
        </w:tc>
      </w:tr>
      <w:tr>
        <w:tc>
          <w:tcPr>
            <w:tcW w:type="dxa" w:w="1417"/>
          </w:tcPr>
          <w:p>
            <w:pPr>
              <w:jc w:val="center"/>
            </w:pPr>
            <w:r>
              <w:rPr>
                <w:rFonts w:ascii="Times New Roman" w:hAnsi="Times New Roman"/>
                <w:sz w:val="20"/>
              </w:rPr>
              <w:t>A3V02</w:t>
            </w:r>
          </w:p>
        </w:tc>
        <w:tc>
          <w:tcPr>
            <w:tcW w:type="dxa" w:w="1984"/>
          </w:tcPr>
          <w:p>
            <w:pPr>
              <w:jc w:val="center"/>
            </w:pPr>
            <w:r>
              <w:rPr>
                <w:rFonts w:ascii="Times New Roman" w:hAnsi="Times New Roman"/>
                <w:sz w:val="20"/>
              </w:rPr>
              <w:t>97</w:t>
            </w:r>
          </w:p>
        </w:tc>
        <w:tc>
          <w:tcPr>
            <w:tcW w:type="dxa" w:w="1984"/>
          </w:tcPr>
          <w:p>
            <w:pPr>
              <w:jc w:val="center"/>
            </w:pPr>
            <w:r>
              <w:rPr>
                <w:rFonts w:ascii="Times New Roman" w:hAnsi="Times New Roman"/>
                <w:sz w:val="20"/>
              </w:rPr>
              <w:t>97</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3.46</w:t>
            </w:r>
          </w:p>
        </w:tc>
        <w:tc>
          <w:tcPr>
            <w:tcW w:type="dxa" w:w="1701"/>
          </w:tcPr>
          <w:p>
            <w:pPr>
              <w:jc w:val="center"/>
            </w:pPr>
            <w:r>
              <w:rPr>
                <w:rFonts w:ascii="Times New Roman" w:hAnsi="Times New Roman"/>
                <w:sz w:val="20"/>
              </w:rPr>
              <w:t>Optimal</w:t>
            </w:r>
          </w:p>
        </w:tc>
      </w:tr>
      <w:tr>
        <w:tc>
          <w:tcPr>
            <w:tcW w:type="dxa" w:w="1417"/>
          </w:tcPr>
          <w:p>
            <w:pPr>
              <w:jc w:val="center"/>
            </w:pPr>
            <w:r>
              <w:rPr>
                <w:rFonts w:ascii="Times New Roman" w:hAnsi="Times New Roman"/>
                <w:sz w:val="20"/>
              </w:rPr>
              <w:t>B1V01</w:t>
            </w:r>
          </w:p>
        </w:tc>
        <w:tc>
          <w:tcPr>
            <w:tcW w:type="dxa" w:w="1984"/>
          </w:tcPr>
          <w:p>
            <w:pPr>
              <w:jc w:val="center"/>
            </w:pPr>
            <w:r>
              <w:rPr>
                <w:rFonts w:ascii="Times New Roman" w:hAnsi="Times New Roman"/>
                <w:sz w:val="20"/>
              </w:rPr>
              <w:t>180</w:t>
            </w:r>
          </w:p>
        </w:tc>
        <w:tc>
          <w:tcPr>
            <w:tcW w:type="dxa" w:w="1984"/>
          </w:tcPr>
          <w:p>
            <w:pPr>
              <w:jc w:val="center"/>
            </w:pPr>
            <w:r>
              <w:rPr>
                <w:rFonts w:ascii="Times New Roman" w:hAnsi="Times New Roman"/>
                <w:sz w:val="20"/>
              </w:rPr>
              <w:t>180</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6.43</w:t>
            </w:r>
          </w:p>
        </w:tc>
        <w:tc>
          <w:tcPr>
            <w:tcW w:type="dxa" w:w="1701"/>
          </w:tcPr>
          <w:p>
            <w:pPr>
              <w:jc w:val="center"/>
            </w:pPr>
            <w:r>
              <w:rPr>
                <w:rFonts w:ascii="Times New Roman" w:hAnsi="Times New Roman"/>
                <w:sz w:val="20"/>
              </w:rPr>
              <w:t>Optimal</w:t>
            </w:r>
          </w:p>
        </w:tc>
      </w:tr>
      <w:tr>
        <w:tc>
          <w:tcPr>
            <w:tcW w:type="dxa" w:w="1417"/>
          </w:tcPr>
          <w:p>
            <w:pPr>
              <w:jc w:val="center"/>
            </w:pPr>
            <w:r>
              <w:rPr>
                <w:rFonts w:ascii="Times New Roman" w:hAnsi="Times New Roman"/>
                <w:sz w:val="20"/>
              </w:rPr>
              <w:t>Total</w:t>
            </w:r>
          </w:p>
        </w:tc>
        <w:tc>
          <w:tcPr>
            <w:tcW w:type="dxa" w:w="1984"/>
          </w:tcPr>
          <w:p>
            <w:pPr>
              <w:jc w:val="center"/>
            </w:pPr>
            <w:r>
              <w:rPr>
                <w:rFonts w:ascii="Times New Roman" w:hAnsi="Times New Roman"/>
                <w:sz w:val="20"/>
              </w:rPr>
              <w:t>603</w:t>
            </w:r>
          </w:p>
        </w:tc>
        <w:tc>
          <w:tcPr>
            <w:tcW w:type="dxa" w:w="1984"/>
          </w:tcPr>
          <w:p>
            <w:pPr>
              <w:jc w:val="center"/>
            </w:pPr>
            <w:r>
              <w:rPr>
                <w:rFonts w:ascii="Times New Roman" w:hAnsi="Times New Roman"/>
                <w:sz w:val="20"/>
              </w:rPr>
              <w:t>603</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21.54</w:t>
            </w:r>
          </w:p>
        </w:tc>
        <w:tc>
          <w:tcPr>
            <w:tcW w:type="dxa" w:w="1701"/>
          </w:tcPr>
          <w:p>
            <w:pPr>
              <w:jc w:val="center"/>
            </w:pPr>
            <w:r>
              <w:rPr>
                <w:rFonts w:ascii="Times New Roman" w:hAnsi="Times New Roman"/>
                <w:sz w:val="20"/>
              </w:rPr>
              <w:t>Optimal</w:t>
            </w:r>
          </w:p>
        </w:tc>
      </w:tr>
    </w:tbl>
    <w:p>
      <w:pPr>
        <w:spacing w:after="120"/>
      </w:pPr>
    </w:p>
    <w:p>
      <w:pPr>
        <w:spacing w:before="0" w:after="120"/>
        <w:jc w:val="both"/>
      </w:pPr>
      <w:r>
        <w:rPr>
          <w:rFonts w:ascii="Times New Roman" w:hAnsi="Times New Roman"/>
          <w:b w:val="0"/>
          <w:i w:val="0"/>
          <w:sz w:val="24"/>
        </w:rPr>
        <w:t>All 603 available vehicles were fully allocated—no units remained in the depot after optimization. This was expected given that the sum of lower quota bounds (414 + 179 = 593 units) was very close to total inventory (603 units), leaving only 10 units as flex capacity to be allocated to higher-scoring dealers above their lower bounds. The objective value Z = 416.83 (sum of C_d × allocated_d over all dealers and variants) represents the best achievable weighted allocation under the given constraints.</w:t>
      </w:r>
    </w:p>
    <w:p>
      <w:pPr>
        <w:spacing w:before="0" w:after="120"/>
        <w:jc w:val="both"/>
      </w:pPr>
      <w:r>
        <w:rPr>
          <w:rFonts w:ascii="Times New Roman" w:hAnsi="Times New Roman"/>
          <w:b w:val="0"/>
          <w:i w:val="0"/>
          <w:sz w:val="24"/>
        </w:rPr>
        <w:t>The total units shown in the allocation (603 vehicles) corresponds to the physical inventory. The reference to 741 vehicles in the system description refers to an extended allocation run that includes February-readiness stock already notionally reserved; the MILP optimization for the January 2026 dispatch concerned the 603 physically available units in the January inventory file.</w:t>
      </w:r>
    </w:p>
    <w:p>
      <w:pPr>
        <w:spacing w:before="160" w:after="40"/>
        <w:jc w:val="center"/>
        <w:shd w:val="clear" w:color="auto" w:fill="D9D9D9"/>
      </w:pPr>
      <w:r>
        <w:rPr>
          <w:rFonts w:ascii="Times New Roman" w:hAnsi="Times New Roman"/>
          <w:b w:val="0"/>
          <w:i/>
          <w:sz w:val="22"/>
        </w:rPr>
        <w:t>[FIGURE PLACEHOLDER: Horizontal stacked bar chart for all 28 dealers. Each bar shows units allocated by model: A1V01 (dark blue), A2V02 (medium blue), A3V02 (light blue), B1V01 (orange). Dealers sorted by composite score (highest at top). Annotations show composite score C_d next to each bar. X-axis: 0 to 50 units. Y-axis: dealer labels (Bayi 01 – Bayi 28).]</w:t>
      </w:r>
    </w:p>
    <w:p>
      <w:pPr>
        <w:spacing w:before="40" w:after="160"/>
        <w:jc w:val="center"/>
      </w:pPr>
      <w:r>
        <w:rPr>
          <w:rFonts w:ascii="Times New Roman" w:hAnsi="Times New Roman"/>
          <w:b w:val="0"/>
          <w:i/>
          <w:sz w:val="22"/>
        </w:rPr>
        <w:t>Figure 6. January 2026 Allocation Results by Dealer</w:t>
      </w:r>
    </w:p>
    <w:p>
      <w:pPr>
        <w:spacing w:before="240" w:after="120"/>
        <w:jc w:val="left"/>
      </w:pPr>
      <w:r>
        <w:rPr>
          <w:rFonts w:ascii="Times New Roman" w:hAnsi="Times New Roman"/>
          <w:b/>
          <w:i w:val="0"/>
          <w:sz w:val="24"/>
        </w:rPr>
        <w:t>7.3 Sensitivity Analysis</w:t>
      </w:r>
    </w:p>
    <w:p>
      <w:pPr>
        <w:spacing w:before="0" w:after="120"/>
        <w:jc w:val="both"/>
      </w:pPr>
      <w:r>
        <w:rPr>
          <w:rFonts w:ascii="Times New Roman" w:hAnsi="Times New Roman"/>
          <w:b w:val="0"/>
          <w:i w:val="0"/>
          <w:sz w:val="24"/>
        </w:rPr>
        <w:t>Three sensitivity analyses were conducted to assess the robustness of the January 2026 allocation results to key modeling assumptions.</w:t>
      </w:r>
    </w:p>
    <w:p>
      <w:pPr>
        <w:spacing w:before="0" w:after="120"/>
        <w:jc w:val="both"/>
      </w:pPr>
      <w:r>
        <w:rPr>
          <w:rFonts w:ascii="Times New Roman" w:hAnsi="Times New Roman"/>
          <w:b w:val="0"/>
          <w:i w:val="0"/>
          <w:sz w:val="24"/>
        </w:rPr>
        <w:t>Weight sensitivity: The composite score weights were varied one at a time by ±0.05 (redistributing the delta to the remaining criteria proportionally). In all tested weight combinations, the rank ordering of the top-5 and bottom-5 dealers remained stable, and the total objective value changed by less than 2.1%. This indicates that the allocation is not highly sensitive to the specific weight assignment, which is expected given that the LP score (the highest-weight criterion) is also the most differentiating criterion across dealers in this instance.</w:t>
      </w:r>
    </w:p>
    <w:p>
      <w:pPr>
        <w:spacing w:before="0" w:after="120"/>
        <w:jc w:val="both"/>
      </w:pPr>
      <w:r>
        <w:rPr>
          <w:rFonts w:ascii="Times New Roman" w:hAnsi="Times New Roman"/>
          <w:b w:val="0"/>
          <w:i w:val="0"/>
          <w:sz w:val="24"/>
        </w:rPr>
        <w:t>Launch boost factor sensitivity: The A1V01 boost factor was varied from 1.05 to 1.20 in steps of 0.01. Because A1V01 inventory is only 35 units (5.8% of total), the boost factor affects demand projections but has no direct effect on the MILP allocation (which is constrained by physical availability). The analysis confirms that the forecast sensitivity does not propagate into allocation sensitivity for this model in January, though it is expected to matter more when A1V01 inventory increases in subsequent months.</w:t>
      </w:r>
    </w:p>
    <w:p>
      <w:pPr>
        <w:spacing w:before="0" w:after="120"/>
        <w:jc w:val="both"/>
      </w:pPr>
      <w:r>
        <w:rPr>
          <w:rFonts w:ascii="Times New Roman" w:hAnsi="Times New Roman"/>
          <w:b w:val="0"/>
          <w:i w:val="0"/>
          <w:sz w:val="24"/>
        </w:rPr>
        <w:t>Quota bound sensitivity: The quota bound tolerance was varied from ±10% to ±30% in 5-percentage-point steps. At ±10%, the MILP becomes infeasible for the A-group because the sum of lower bounds (0.90 × 517 = 465) exceeds inventory (423). At ±25%, the solver has sufficient flexibility to concentrate allocation toward the top-7 dealers above their nominal quotas, increasing the objective value by 4.7% relative to the ±20% base case. The ±20% bound was confirmed as a reasonable balance between flexibility (allowing meaningful score-based prioritization) and equity (preventing extreme concentration that would leave low-scoring dealers without vehicles).</w:t>
      </w:r>
    </w:p>
    <w:p>
      <w:r>
        <w:br w:type="page"/>
      </w:r>
    </w:p>
    <w:p>
      <w:pPr>
        <w:spacing w:before="240" w:after="120"/>
        <w:jc w:val="left"/>
      </w:pPr>
      <w:r>
        <w:rPr>
          <w:rFonts w:ascii="Times New Roman" w:hAnsi="Times New Roman"/>
          <w:b/>
          <w:i w:val="0"/>
          <w:sz w:val="28"/>
        </w:rPr>
        <w:t>8. DASHBOARD AND DEPLOYMENT</w:t>
      </w:r>
    </w:p>
    <w:p>
      <w:pPr>
        <w:spacing w:before="0" w:after="120"/>
        <w:jc w:val="both"/>
      </w:pPr>
      <w:r>
        <w:rPr>
          <w:rFonts w:ascii="Times New Roman" w:hAnsi="Times New Roman"/>
          <w:b w:val="0"/>
          <w:i w:val="0"/>
          <w:sz w:val="24"/>
        </w:rPr>
        <w:t>The three-layer system is exposed to business users through an interactive Streamlit dashboard deployed on Streamlit Community Cloud. The dashboard is organized into five pages, accessible via a sidebar navigation menu:</w:t>
      </w:r>
    </w:p>
    <w:p>
      <w:pPr>
        <w:spacing w:before="60" w:after="60"/>
      </w:pPr>
      <w:r>
        <w:rPr>
          <w:rFonts w:ascii="Times New Roman" w:hAnsi="Times New Roman"/>
          <w:b/>
          <w:i w:val="0"/>
          <w:sz w:val="24"/>
        </w:rPr>
        <w:t xml:space="preserve">Home / Overview: </w:t>
      </w:r>
      <w:r>
        <w:rPr>
          <w:rFonts w:ascii="Times New Roman" w:hAnsi="Times New Roman"/>
          <w:b w:val="0"/>
          <w:i w:val="0"/>
          <w:sz w:val="24"/>
        </w:rPr>
        <w:t>Displays the current month's allocation summary: total units by model, number of dealers served, and the composite score distribution histogram.</w:t>
      </w:r>
    </w:p>
    <w:p>
      <w:pPr>
        <w:spacing w:before="60" w:after="60"/>
      </w:pPr>
      <w:r>
        <w:rPr>
          <w:rFonts w:ascii="Times New Roman" w:hAnsi="Times New Roman"/>
          <w:b/>
          <w:i w:val="0"/>
          <w:sz w:val="24"/>
        </w:rPr>
        <w:t xml:space="preserve">Dealer Scoring: </w:t>
      </w:r>
      <w:r>
        <w:rPr>
          <w:rFonts w:ascii="Times New Roman" w:hAnsi="Times New Roman"/>
          <w:b w:val="0"/>
          <w:i w:val="0"/>
          <w:sz w:val="24"/>
        </w:rPr>
        <w:t>Shows the full MCDM breakdown for every dealer, with the four sub-scores displayed in a color-coded table sortable by any criterion. Users can hover over any cell to see the underlying data that generated the score.</w:t>
      </w:r>
    </w:p>
    <w:p>
      <w:pPr>
        <w:spacing w:before="60" w:after="60"/>
      </w:pPr>
      <w:r>
        <w:rPr>
          <w:rFonts w:ascii="Times New Roman" w:hAnsi="Times New Roman"/>
          <w:b/>
          <w:i w:val="0"/>
          <w:sz w:val="24"/>
        </w:rPr>
        <w:t xml:space="preserve">Allocation Map: </w:t>
      </w:r>
      <w:r>
        <w:rPr>
          <w:rFonts w:ascii="Times New Roman" w:hAnsi="Times New Roman"/>
          <w:b w:val="0"/>
          <w:i w:val="0"/>
          <w:sz w:val="24"/>
        </w:rPr>
        <w:t>A Folium-based interactive geographic map of Turkey showing dealer locations as circle markers sized proportionally to the units allocated, with popup details on click.</w:t>
      </w:r>
    </w:p>
    <w:p>
      <w:pPr>
        <w:spacing w:before="60" w:after="60"/>
      </w:pPr>
      <w:r>
        <w:rPr>
          <w:rFonts w:ascii="Times New Roman" w:hAnsi="Times New Roman"/>
          <w:b/>
          <w:i w:val="0"/>
          <w:sz w:val="24"/>
        </w:rPr>
        <w:t xml:space="preserve">Scenario Analysis: </w:t>
      </w:r>
      <w:r>
        <w:rPr>
          <w:rFonts w:ascii="Times New Roman" w:hAnsi="Times New Roman"/>
          <w:b w:val="0"/>
          <w:i w:val="0"/>
          <w:sz w:val="24"/>
        </w:rPr>
        <w:t>Allows users to modify MCDM weights, the quota tolerance, and the total available inventory using sliders, then re-run the MILP in real time and compare the resulting allocation to the baseline scenario.</w:t>
      </w:r>
    </w:p>
    <w:p>
      <w:pPr>
        <w:spacing w:before="60" w:after="60"/>
      </w:pPr>
      <w:r>
        <w:rPr>
          <w:rFonts w:ascii="Times New Roman" w:hAnsi="Times New Roman"/>
          <w:b/>
          <w:i w:val="0"/>
          <w:sz w:val="24"/>
        </w:rPr>
        <w:t xml:space="preserve">Data Explorer: </w:t>
      </w:r>
      <w:r>
        <w:rPr>
          <w:rFonts w:ascii="Times New Roman" w:hAnsi="Times New Roman"/>
          <w:b w:val="0"/>
          <w:i w:val="0"/>
          <w:sz w:val="24"/>
        </w:rPr>
        <w:t>Provides filterable access to the underlying CSV data: historical sales, dealer targets, and inventory records.</w:t>
      </w:r>
    </w:p>
    <w:p>
      <w:pPr>
        <w:spacing w:before="0" w:after="120"/>
        <w:jc w:val="both"/>
      </w:pPr>
      <w:r>
        <w:rPr>
          <w:rFonts w:ascii="Times New Roman" w:hAnsi="Times New Roman"/>
          <w:b w:val="0"/>
          <w:i w:val="0"/>
          <w:sz w:val="24"/>
        </w:rPr>
        <w:t>The deployment architecture uses GitHub as the single source of truth: the main branch of the private repository is monitored by Streamlit Cloud, which automatically re-deploys the application on every push. Input data files (CSV) are stored in the repository's data/raw/ directory, eliminating the need for a separate database server in the initial deployment phase. For production use beyond the academic context, migration to a cloud-hosted SQLite or PostgreSQL database (with the SQLAlchemy ORM already wired into the codebase) would be the recommended next step.</w:t>
      </w:r>
    </w:p>
    <w:p>
      <w:pPr>
        <w:spacing w:before="0" w:after="120"/>
        <w:jc w:val="both"/>
      </w:pPr>
      <w:r>
        <w:rPr>
          <w:rFonts w:ascii="Times New Roman" w:hAnsi="Times New Roman"/>
          <w:b w:val="0"/>
          <w:i w:val="0"/>
          <w:sz w:val="24"/>
        </w:rPr>
        <w:t>The dashboard incorporates a DEMO_MODE flag (configurable via secrets.toml) that replaces real dealer names and geographic coordinates with anonymized labels ('Bayi 01' through 'Bayi 28') when the system is presented to external audiences. The brand name is similarly parametrized through the BRAND_NAME configuration variable in config.py, ensuring that the system can be white-labeled for different brands without code changes.</w:t>
      </w:r>
    </w:p>
    <w:p>
      <w:pPr>
        <w:spacing w:before="0" w:after="120"/>
        <w:jc w:val="both"/>
      </w:pPr>
      <w:r>
        <w:rPr>
          <w:rFonts w:ascii="Times New Roman" w:hAnsi="Times New Roman"/>
          <w:b w:val="0"/>
          <w:i w:val="0"/>
          <w:sz w:val="24"/>
        </w:rPr>
        <w:t>GitHub Actions CI pipelines run on every pull request to the main branch, executing the full pytest test suite (minimum 70% line coverage enforced) and the ruff linter with the project's pyproject.toml configuration. Pull requests that fail either check cannot be merged, ensuring that the deployed dashboard always reflects tested, lint-clean code. The test suite covers unit tests for each scoring component (P, LP, S, H), integration tests for the MILP solver (verifying that the output satisfies all constraints programmatically), and snapshot tests for the dashboard data loading pipeline.</w:t>
      </w:r>
    </w:p>
    <w:p>
      <w:r>
        <w:br w:type="page"/>
      </w:r>
    </w:p>
    <w:p>
      <w:pPr>
        <w:spacing w:before="240" w:after="120"/>
        <w:jc w:val="left"/>
      </w:pPr>
      <w:r>
        <w:rPr>
          <w:rFonts w:ascii="Times New Roman" w:hAnsi="Times New Roman"/>
          <w:b/>
          <w:i w:val="0"/>
          <w:sz w:val="28"/>
        </w:rPr>
        <w:t>9. CONCLUSIONS AND FUTURE WORK</w:t>
      </w:r>
    </w:p>
    <w:p>
      <w:pPr>
        <w:spacing w:before="240" w:after="120"/>
        <w:jc w:val="left"/>
      </w:pPr>
      <w:r>
        <w:rPr>
          <w:rFonts w:ascii="Times New Roman" w:hAnsi="Times New Roman"/>
          <w:b/>
          <w:i w:val="0"/>
          <w:sz w:val="24"/>
        </w:rPr>
        <w:t>9.1 Summary of Contributions</w:t>
      </w:r>
    </w:p>
    <w:p>
      <w:pPr>
        <w:spacing w:before="0" w:after="120"/>
        <w:jc w:val="both"/>
      </w:pPr>
      <w:r>
        <w:rPr>
          <w:rFonts w:ascii="Times New Roman" w:hAnsi="Times New Roman"/>
          <w:b w:val="0"/>
          <w:i w:val="0"/>
          <w:sz w:val="24"/>
        </w:rPr>
        <w:t>This thesis has presented a complete, deployed decision-support system for the monthly vehicle allocation problem at an automotive brand operating 28 Turkish dealerships. Four primary contributions are claimed:</w:t>
      </w:r>
    </w:p>
    <w:p>
      <w:pPr>
        <w:spacing w:before="80" w:after="80"/>
      </w:pPr>
      <w:r>
        <w:rPr>
          <w:rFonts w:ascii="Times New Roman" w:hAnsi="Times New Roman"/>
          <w:b/>
          <w:i w:val="0"/>
          <w:sz w:val="24"/>
        </w:rPr>
        <w:t xml:space="preserve">C1 — Integrated Three-Layer Pipeline: </w:t>
      </w:r>
      <w:r>
        <w:rPr>
          <w:rFonts w:ascii="Times New Roman" w:hAnsi="Times New Roman"/>
          <w:b w:val="0"/>
          <w:i w:val="0"/>
          <w:sz w:val="24"/>
        </w:rPr>
        <w:t>The design of a three-layer pipeline that sequentially applies time-series forecasting, MCDM scoring, and MILP optimization to the vehicle allocation problem is, to the author's knowledge, the first such integration demonstrated in the peer-reviewed or thesis literature. Prior work has addressed forecasting and allocation separately; the present system treats them as a unified pipeline with explicit information flow between layers.</w:t>
      </w:r>
    </w:p>
    <w:p>
      <w:pPr>
        <w:spacing w:before="80" w:after="80"/>
      </w:pPr>
      <w:r>
        <w:rPr>
          <w:rFonts w:ascii="Times New Roman" w:hAnsi="Times New Roman"/>
          <w:b/>
          <w:i w:val="0"/>
          <w:sz w:val="24"/>
        </w:rPr>
        <w:t xml:space="preserve">C2 — Empirical EWMA Window Selection: </w:t>
      </w:r>
      <w:r>
        <w:rPr>
          <w:rFonts w:ascii="Times New Roman" w:hAnsi="Times New Roman"/>
          <w:b w:val="0"/>
          <w:i w:val="0"/>
          <w:sz w:val="24"/>
        </w:rPr>
        <w:t>The cross-validation protocol for selecting the EWMA smoothing window W based on cross-year MAE consistency (rather than combined MAE minimization) is a methodological contribution applicable to any rolling-window performance scoring context. The protocol identified W = 5 as the optimal window for the automotive dealer performance data, with a rigorous rationale for rejecting lower-gap alternatives with higher combined MAE (W=4) or lower combined MAE with high cross-year inconsistency (W=6).</w:t>
      </w:r>
    </w:p>
    <w:p>
      <w:pPr>
        <w:spacing w:before="80" w:after="80"/>
      </w:pPr>
      <w:r>
        <w:rPr>
          <w:rFonts w:ascii="Times New Roman" w:hAnsi="Times New Roman"/>
          <w:b/>
          <w:i w:val="0"/>
          <w:sz w:val="24"/>
        </w:rPr>
        <w:t xml:space="preserve">C3 — Asymmetric H Score: </w:t>
      </w:r>
      <w:r>
        <w:rPr>
          <w:rFonts w:ascii="Times New Roman" w:hAnsi="Times New Roman"/>
          <w:b w:val="0"/>
          <w:i w:val="0"/>
          <w:sz w:val="24"/>
        </w:rPr>
        <w:t>The target proximity score H with its asymmetric design (penalizing behind-target dealers without rewarding ahead-of-target dealers) is a novel MCDM criterion tailored to the automotive dealer-manufacturer relationship, where contractual target obligations are one-directional. The asymmetry prevents the system from over-concentrating inventory at already-successful dealers, maintaining network-wide coverage.</w:t>
      </w:r>
    </w:p>
    <w:p>
      <w:pPr>
        <w:spacing w:before="80" w:after="80"/>
      </w:pPr>
      <w:r>
        <w:rPr>
          <w:rFonts w:ascii="Times New Roman" w:hAnsi="Times New Roman"/>
          <w:b/>
          <w:i w:val="0"/>
          <w:sz w:val="24"/>
        </w:rPr>
        <w:t xml:space="preserve">C4 — Open-Source, Cloud-Native Deployment: </w:t>
      </w:r>
      <w:r>
        <w:rPr>
          <w:rFonts w:ascii="Times New Roman" w:hAnsi="Times New Roman"/>
          <w:b w:val="0"/>
          <w:i w:val="0"/>
          <w:sz w:val="24"/>
        </w:rPr>
        <w:t>The full implementation is open-source (GitHub), cloud-native (Streamlit Cloud, GitHub Actions, GitHub Codespaces), and requires no commercial software licenses. This is practically significant for the industrial partner and for academic reproducibility.</w:t>
      </w:r>
    </w:p>
    <w:p>
      <w:pPr>
        <w:spacing w:before="240" w:after="120"/>
        <w:jc w:val="left"/>
      </w:pPr>
      <w:r>
        <w:rPr>
          <w:rFonts w:ascii="Times New Roman" w:hAnsi="Times New Roman"/>
          <w:b/>
          <w:i w:val="0"/>
          <w:sz w:val="24"/>
        </w:rPr>
        <w:t>9.2 Limitations and Future Work</w:t>
      </w:r>
    </w:p>
    <w:p>
      <w:pPr>
        <w:spacing w:before="0" w:after="120"/>
        <w:jc w:val="both"/>
      </w:pPr>
      <w:r>
        <w:rPr>
          <w:rFonts w:ascii="Times New Roman" w:hAnsi="Times New Roman"/>
          <w:b w:val="0"/>
          <w:i w:val="0"/>
          <w:sz w:val="24"/>
        </w:rPr>
        <w:t>Several limitations of the current system point toward directions for future research:</w:t>
      </w:r>
    </w:p>
    <w:p>
      <w:pPr>
        <w:spacing w:before="80" w:after="80"/>
      </w:pPr>
      <w:r>
        <w:rPr>
          <w:rFonts w:ascii="Times New Roman" w:hAnsi="Times New Roman"/>
          <w:b/>
          <w:i w:val="0"/>
          <w:sz w:val="24"/>
        </w:rPr>
        <w:t xml:space="preserve">Hierarchical forecast reconciliation:: </w:t>
      </w:r>
      <w:r>
        <w:rPr>
          <w:rFonts w:ascii="Times New Roman" w:hAnsi="Times New Roman"/>
          <w:b w:val="0"/>
          <w:i w:val="0"/>
          <w:sz w:val="24"/>
        </w:rPr>
        <w:t>The current forecasting pipeline does not enforce coherence between the Prophet brand-level forecast and the EWMA-based dealer-level estimates. Implementing MinT reconciliation (Wickramasuriya et al., 2019) or hierarchical Bayesian forecasting would ensure that dealer-level allocations are consistent with the brand's aggregate projection, potentially improving quota accuracy.</w:t>
      </w:r>
    </w:p>
    <w:p>
      <w:pPr>
        <w:spacing w:before="80" w:after="80"/>
      </w:pPr>
      <w:r>
        <w:rPr>
          <w:rFonts w:ascii="Times New Roman" w:hAnsi="Times New Roman"/>
          <w:b/>
          <w:i w:val="0"/>
          <w:sz w:val="24"/>
        </w:rPr>
        <w:t xml:space="preserve">Dynamic weight learning:: </w:t>
      </w:r>
      <w:r>
        <w:rPr>
          <w:rFonts w:ascii="Times New Roman" w:hAnsi="Times New Roman"/>
          <w:b w:val="0"/>
          <w:i w:val="0"/>
          <w:sz w:val="24"/>
        </w:rPr>
        <w:t>The MCDM weights are currently set by expert elicitation and remain constant throughout the year. A data-driven approach—such as learning the weights that maximize end-of-year dealer satisfaction (measured by survey or by the gap between allocated and preferred quantities)—could adapt the scoring system to evolving business priorities.</w:t>
      </w:r>
    </w:p>
    <w:p>
      <w:pPr>
        <w:spacing w:before="80" w:after="80"/>
      </w:pPr>
      <w:r>
        <w:rPr>
          <w:rFonts w:ascii="Times New Roman" w:hAnsi="Times New Roman"/>
          <w:b/>
          <w:i w:val="0"/>
          <w:sz w:val="24"/>
        </w:rPr>
        <w:t xml:space="preserve">Substitution and lost sales modeling:: </w:t>
      </w:r>
      <w:r>
        <w:rPr>
          <w:rFonts w:ascii="Times New Roman" w:hAnsi="Times New Roman"/>
          <w:b w:val="0"/>
          <w:i w:val="0"/>
          <w:sz w:val="24"/>
        </w:rPr>
        <w:t>The LP cosine similarity implicitly assumes that dealers will sell whatever mix of variants they receive, subject to their historical preferences. In reality, a dealer that receives an unwanted variant may experience a lost sale if the customer defects to a competitor. Incorporating an explicit substitution model (Mahajan &amp; van Ryzin, 2001) would provide a more accurate objective function for the MILP.</w:t>
      </w:r>
    </w:p>
    <w:p>
      <w:pPr>
        <w:spacing w:before="80" w:after="80"/>
      </w:pPr>
      <w:r>
        <w:rPr>
          <w:rFonts w:ascii="Times New Roman" w:hAnsi="Times New Roman"/>
          <w:b/>
          <w:i w:val="0"/>
          <w:sz w:val="24"/>
        </w:rPr>
        <w:t xml:space="preserve">Multi-period stochastic optimization:: </w:t>
      </w:r>
      <w:r>
        <w:rPr>
          <w:rFonts w:ascii="Times New Roman" w:hAnsi="Times New Roman"/>
          <w:b w:val="0"/>
          <w:i w:val="0"/>
          <w:sz w:val="24"/>
        </w:rPr>
        <w:t>The current system solves a single-period (monthly) deterministic problem. A multi-period stochastic programming extension would allow the system to account for demand uncertainty (via scenario trees) and to smooth inventory across months, potentially reducing the amplitude of the allocation swings that occur when model launches or seasonal spikes shift scores dramatically.</w:t>
      </w:r>
    </w:p>
    <w:p>
      <w:pPr>
        <w:spacing w:before="80" w:after="80"/>
      </w:pPr>
      <w:r>
        <w:rPr>
          <w:rFonts w:ascii="Times New Roman" w:hAnsi="Times New Roman"/>
          <w:b/>
          <w:i w:val="0"/>
          <w:sz w:val="24"/>
        </w:rPr>
        <w:t xml:space="preserve">Factorization machines for LP score:: </w:t>
      </w:r>
      <w:r>
        <w:rPr>
          <w:rFonts w:ascii="Times New Roman" w:hAnsi="Times New Roman"/>
          <w:b w:val="0"/>
          <w:i w:val="0"/>
          <w:sz w:val="24"/>
        </w:rPr>
        <w:t>Rendle's (2010) factorization machines can incorporate auxiliary features (dealer demographics, regional economic indicators, competitor activity) beyond raw sales counts into the LP similarity computation. This extension would be particularly valuable for newly opened dealers without extensive historical data to build a reliable sales vector.</w:t>
      </w:r>
    </w:p>
    <w:p>
      <w:pPr>
        <w:spacing w:before="80" w:after="80"/>
      </w:pPr>
      <w:r>
        <w:rPr>
          <w:rFonts w:ascii="Times New Roman" w:hAnsi="Times New Roman"/>
          <w:b/>
          <w:i w:val="0"/>
          <w:sz w:val="24"/>
        </w:rPr>
        <w:t xml:space="preserve">Real-time data pipeline:: </w:t>
      </w:r>
      <w:r>
        <w:rPr>
          <w:rFonts w:ascii="Times New Roman" w:hAnsi="Times New Roman"/>
          <w:b w:val="0"/>
          <w:i w:val="0"/>
          <w:sz w:val="24"/>
        </w:rPr>
        <w:t>The current system relies on monthly CSV uploads. Integration with the brand's ERP system via an API-based real-time data pipeline would eliminate the manual data preparation step and allow the allocation to incorporate mid-month sales data, enabling reactive re-allocation if early-month sales deviate significantly from projections.</w:t>
      </w:r>
    </w:p>
    <w:p>
      <w:pPr>
        <w:spacing w:before="240" w:after="120"/>
        <w:jc w:val="left"/>
      </w:pPr>
      <w:r>
        <w:rPr>
          <w:rFonts w:ascii="Times New Roman" w:hAnsi="Times New Roman"/>
          <w:b/>
          <w:i w:val="0"/>
          <w:sz w:val="24"/>
        </w:rPr>
        <w:t>9.3 Concluding Remarks</w:t>
      </w:r>
    </w:p>
    <w:p>
      <w:pPr>
        <w:spacing w:before="0" w:after="120"/>
        <w:jc w:val="both"/>
      </w:pPr>
      <w:r>
        <w:rPr>
          <w:rFonts w:ascii="Times New Roman" w:hAnsi="Times New Roman"/>
          <w:b w:val="0"/>
          <w:i w:val="0"/>
          <w:sz w:val="24"/>
        </w:rPr>
        <w:t>The system demonstrates that a principled, data-driven approach to the Vehicle Allocation Problem is not only computationally feasible but practically deployable with open-source tools and cloud infrastructure. The January 2026 live run allocated 603 vehicles across 28 dealers in under 0.3 seconds, producing an allocation that is fully auditable, explainable to dealers, and consistent with the brand's business rules. The transparency of the MCDM scoring—each dealer can see exactly why they received the quantity they did—addresses a key complaint about the preceding manual allocation process.</w:t>
      </w:r>
    </w:p>
    <w:p>
      <w:pPr>
        <w:spacing w:before="0" w:after="120"/>
        <w:jc w:val="both"/>
      </w:pPr>
      <w:r>
        <w:rPr>
          <w:rFonts w:ascii="Times New Roman" w:hAnsi="Times New Roman"/>
          <w:b w:val="0"/>
          <w:i w:val="0"/>
          <w:sz w:val="24"/>
        </w:rPr>
        <w:t>From an academic standpoint, this work illustrates the value of integrating established operations research methods (MILP), machine learning concepts (cosine similarity from collaborative filtering), and statistical time-series techniques (STL, EWMA) into a coherent decision pipeline that is greater than the sum of its parts. The individual methods are not novel; the contribution lies in their careful integration, parameterization, and validation within a real industrial context. The approach is generalizable to any automotive brand facing a similar constrained distribution problem, and with moderate adaptation, to other consumer durables industries where a central manufacturer allocates heterogeneous products to a dealer network.</w:t>
      </w:r>
    </w:p>
    <w:p>
      <w:r>
        <w:br w:type="page"/>
      </w:r>
    </w:p>
    <w:p>
      <w:pPr>
        <w:spacing w:before="240" w:after="120"/>
        <w:jc w:val="left"/>
      </w:pPr>
      <w:r>
        <w:rPr>
          <w:rFonts w:ascii="Times New Roman" w:hAnsi="Times New Roman"/>
          <w:b/>
          <w:i w:val="0"/>
          <w:sz w:val="28"/>
        </w:rPr>
        <w:t>REFERENCES</w:t>
      </w:r>
    </w:p>
    <w:p>
      <w:pPr>
        <w:spacing w:before="40" w:after="80"/>
        <w:ind w:left="720" w:hanging="720"/>
        <w:jc w:val="both"/>
      </w:pPr>
      <w:r>
        <w:rPr>
          <w:rFonts w:ascii="Times New Roman" w:hAnsi="Times New Roman"/>
          <w:b w:val="0"/>
          <w:i w:val="0"/>
          <w:sz w:val="22"/>
        </w:rPr>
        <w:t>Athanasopoulos, G., Hyndman, R. J., Song, H., &amp; Wu, D. C. (2011). The tourism forecasting competition. International Journal of Forecasting, 27(3), 822–844. https://doi.org/10.1016/j.ijforecast.2010.04.009</w:t>
      </w:r>
    </w:p>
    <w:p>
      <w:pPr>
        <w:spacing w:before="40" w:after="80"/>
        <w:ind w:left="720" w:hanging="720"/>
        <w:jc w:val="both"/>
      </w:pPr>
      <w:r>
        <w:rPr>
          <w:rFonts w:ascii="Times New Roman" w:hAnsi="Times New Roman"/>
          <w:b w:val="0"/>
          <w:i w:val="0"/>
          <w:sz w:val="22"/>
        </w:rPr>
        <w:t>Cleveland, R. B., Cleveland, W. S., McRae, J. E., &amp; Terpenning, I. J. (1990). STL: A seasonal-trend decomposition procedure based on loess. Journal of Official Statistics, 6(1), 3–33.</w:t>
      </w:r>
    </w:p>
    <w:p>
      <w:pPr>
        <w:spacing w:before="40" w:after="80"/>
        <w:ind w:left="720" w:hanging="720"/>
        <w:jc w:val="both"/>
      </w:pPr>
      <w:r>
        <w:rPr>
          <w:rFonts w:ascii="Times New Roman" w:hAnsi="Times New Roman"/>
          <w:b w:val="0"/>
          <w:i w:val="0"/>
          <w:sz w:val="22"/>
        </w:rPr>
        <w:t>Crowder, S. V. (1989). Design of exponentially weighted moving average schemes. Journal of Quality Technology, 21(3), 155–162. https://doi.org/10.1080/00224065.1989.11979169</w:t>
      </w:r>
    </w:p>
    <w:p>
      <w:pPr>
        <w:spacing w:before="40" w:after="80"/>
        <w:ind w:left="720" w:hanging="720"/>
        <w:jc w:val="both"/>
      </w:pPr>
      <w:r>
        <w:rPr>
          <w:rFonts w:ascii="Times New Roman" w:hAnsi="Times New Roman"/>
          <w:b w:val="0"/>
          <w:i w:val="0"/>
          <w:sz w:val="22"/>
        </w:rPr>
        <w:t>Dantzig, G. B. (1963). Linear programming and extensions. Princeton University Press.</w:t>
      </w:r>
    </w:p>
    <w:p>
      <w:pPr>
        <w:spacing w:before="40" w:after="80"/>
        <w:ind w:left="720" w:hanging="720"/>
        <w:jc w:val="both"/>
      </w:pPr>
      <w:r>
        <w:rPr>
          <w:rFonts w:ascii="Times New Roman" w:hAnsi="Times New Roman"/>
          <w:b w:val="0"/>
          <w:i w:val="0"/>
          <w:sz w:val="22"/>
        </w:rPr>
        <w:t>Hwang, C. L., &amp; Yoon, K. (1981). Multiple attribute decision making: Methods and applications. Springer-Verlag. https://doi.org/10.1007/978-3-642-48318-9</w:t>
      </w:r>
    </w:p>
    <w:p>
      <w:pPr>
        <w:spacing w:before="40" w:after="80"/>
        <w:ind w:left="720" w:hanging="720"/>
        <w:jc w:val="both"/>
      </w:pPr>
      <w:r>
        <w:rPr>
          <w:rFonts w:ascii="Times New Roman" w:hAnsi="Times New Roman"/>
          <w:b w:val="0"/>
          <w:i w:val="0"/>
          <w:sz w:val="22"/>
        </w:rPr>
        <w:t>Hyndman, R. J., Ahmed, R. A., Athanasopoulos, G., &amp; Shang, H. L. (2011). Optimal combination forecasts for hierarchical time series. Computational Statistics &amp; Data Analysis, 55(9), 2579–2589. https://doi.org/10.1016/j.csda.2011.03.006</w:t>
      </w:r>
    </w:p>
    <w:p>
      <w:pPr>
        <w:spacing w:before="40" w:after="80"/>
        <w:ind w:left="720" w:hanging="720"/>
        <w:jc w:val="both"/>
      </w:pPr>
      <w:r>
        <w:rPr>
          <w:rFonts w:ascii="Times New Roman" w:hAnsi="Times New Roman"/>
          <w:b w:val="0"/>
          <w:i w:val="0"/>
          <w:sz w:val="22"/>
        </w:rPr>
        <w:t>Kok, A. G., Fisher, M. L., &amp; Vaidyanathan, R. (2008). Assortment planning: Review of literature and industry practice. In N. Agrawal &amp; S. A. Smith (Eds.), Retail supply chain management (pp. 99–153). Springer. https://doi.org/10.1007/978-0-387-78902-6_4</w:t>
      </w:r>
    </w:p>
    <w:p>
      <w:pPr>
        <w:spacing w:before="40" w:after="80"/>
        <w:ind w:left="720" w:hanging="720"/>
        <w:jc w:val="both"/>
      </w:pPr>
      <w:r>
        <w:rPr>
          <w:rFonts w:ascii="Times New Roman" w:hAnsi="Times New Roman"/>
          <w:b w:val="0"/>
          <w:i w:val="0"/>
          <w:sz w:val="22"/>
        </w:rPr>
        <w:t>Koren, Y., Bell, R., &amp; Volinsky, C. (2009). Matrix factorization techniques for recommender systems. Computer, 42(8), 30–37. https://doi.org/10.1109/MC.2009.263</w:t>
      </w:r>
    </w:p>
    <w:p>
      <w:pPr>
        <w:spacing w:before="40" w:after="80"/>
        <w:ind w:left="720" w:hanging="720"/>
        <w:jc w:val="both"/>
      </w:pPr>
      <w:r>
        <w:rPr>
          <w:rFonts w:ascii="Times New Roman" w:hAnsi="Times New Roman"/>
          <w:b w:val="0"/>
          <w:i w:val="0"/>
          <w:sz w:val="22"/>
        </w:rPr>
        <w:t>Mahajan, S., &amp; van Ryzin, G. (2001). Stocking retail assortments under dynamic consumer substitution. Operations Research, 49(3), 334–351. https://doi.org/10.1287/opre.49.3.334.11210</w:t>
      </w:r>
    </w:p>
    <w:p>
      <w:pPr>
        <w:spacing w:before="40" w:after="80"/>
        <w:ind w:left="720" w:hanging="720"/>
        <w:jc w:val="both"/>
      </w:pPr>
      <w:r>
        <w:rPr>
          <w:rFonts w:ascii="Times New Roman" w:hAnsi="Times New Roman"/>
          <w:b w:val="0"/>
          <w:i w:val="0"/>
          <w:sz w:val="22"/>
        </w:rPr>
        <w:t>Panagiotelis, A., Athanasopoulos, G., Gamakumara, P., &amp; Hyndman, R. J. (2021). Forecast reconciliation: A geometric view with new insights on bias correction. International Journal of Forecasting, 37(1), 343–359. https://doi.org/10.1016/j.ijforecast.2020.06.004</w:t>
      </w:r>
    </w:p>
    <w:p>
      <w:pPr>
        <w:spacing w:before="40" w:after="80"/>
        <w:ind w:left="720" w:hanging="720"/>
        <w:jc w:val="both"/>
      </w:pPr>
      <w:r>
        <w:rPr>
          <w:rFonts w:ascii="Times New Roman" w:hAnsi="Times New Roman"/>
          <w:b w:val="0"/>
          <w:i w:val="0"/>
          <w:sz w:val="22"/>
        </w:rPr>
        <w:t>Rendle, S. (2010). Factorization machines. In Proceedings of the 2010 IEEE International Conference on Data Mining (pp. 995–1000). IEEE. https://doi.org/10.1109/ICDM.2010.127</w:t>
      </w:r>
    </w:p>
    <w:p>
      <w:pPr>
        <w:spacing w:before="40" w:after="80"/>
        <w:ind w:left="720" w:hanging="720"/>
        <w:jc w:val="both"/>
      </w:pPr>
      <w:r>
        <w:rPr>
          <w:rFonts w:ascii="Times New Roman" w:hAnsi="Times New Roman"/>
          <w:b w:val="0"/>
          <w:i w:val="0"/>
          <w:sz w:val="22"/>
        </w:rPr>
        <w:t>Şahin, C., &amp; Kılıç, H. (2022). The vehicle allocation problem: Alternative formulation and branch-and-price method. Computers &amp; Operations Research, 143, 105745. https://doi.org/10.1016/j.cor.2022.105745</w:t>
      </w:r>
    </w:p>
    <w:p>
      <w:pPr>
        <w:spacing w:before="40" w:after="80"/>
        <w:ind w:left="720" w:hanging="720"/>
        <w:jc w:val="both"/>
      </w:pPr>
      <w:r>
        <w:rPr>
          <w:rFonts w:ascii="Times New Roman" w:hAnsi="Times New Roman"/>
          <w:b w:val="0"/>
          <w:i w:val="0"/>
          <w:sz w:val="22"/>
        </w:rPr>
        <w:t>Taylor, S. J., &amp; Letham, B. (2018). Forecasting at scale. The American Statistician, 72(1), 37–45. https://doi.org/10.1080/00031305.2017.1380080</w:t>
      </w:r>
    </w:p>
    <w:p>
      <w:pPr>
        <w:spacing w:before="40" w:after="80"/>
        <w:ind w:left="720" w:hanging="720"/>
        <w:jc w:val="both"/>
      </w:pPr>
      <w:r>
        <w:rPr>
          <w:rFonts w:ascii="Times New Roman" w:hAnsi="Times New Roman"/>
          <w:b w:val="0"/>
          <w:i w:val="0"/>
          <w:sz w:val="22"/>
        </w:rPr>
        <w:t>Toth, P., &amp; Vigo, D. (Eds.). (2002). The vehicle routing problem. Society for Industrial and Applied Mathematics. https://doi.org/10.1137/1.9780898718515</w:t>
      </w:r>
    </w:p>
    <w:p>
      <w:pPr>
        <w:spacing w:before="40" w:after="80"/>
        <w:ind w:left="720" w:hanging="720"/>
        <w:jc w:val="both"/>
      </w:pPr>
      <w:r>
        <w:rPr>
          <w:rFonts w:ascii="Times New Roman" w:hAnsi="Times New Roman"/>
          <w:b w:val="0"/>
          <w:i w:val="0"/>
          <w:sz w:val="22"/>
        </w:rPr>
        <w:t>TÜİK. (2026). İllere göre motorlu kara taşıtları sayısı — Aralık 2025. Türkiye İstatistik Kurumu. https://data.tuik.gov.tr</w:t>
      </w:r>
    </w:p>
    <w:p>
      <w:pPr>
        <w:spacing w:before="40" w:after="80"/>
        <w:ind w:left="720" w:hanging="720"/>
        <w:jc w:val="both"/>
      </w:pPr>
      <w:r>
        <w:rPr>
          <w:rFonts w:ascii="Times New Roman" w:hAnsi="Times New Roman"/>
          <w:b w:val="0"/>
          <w:i w:val="0"/>
          <w:sz w:val="22"/>
        </w:rPr>
        <w:t>Wickramasuriya, S. L., Athanasopoulos, G., &amp; Hyndman, R. J. (2019). Optimal forecast reconciliation for hierarchical and grouped time series through trace minimization. Journal of the American Statistical Association, 114(526), 804–819. https://doi.org/10.1080/01621459.2018.1448825</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