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br w:type="page"/>
      </w:r>
    </w:p>
    <w:p>
      <w:pPr>
        <w:spacing w:before="0" w:after="0"/>
      </w:pPr>
      <w:r>
        <w:br w:type="page"/>
      </w:r>
    </w:p>
    <w:p>
      <w:pPr>
        <w:spacing w:before="0" w:after="0"/>
      </w:pPr>
      <w:r>
        <w:br w:type="page"/>
      </w:r>
    </w:p>
    <w:p>
      <w:pPr>
        <w:spacing w:before="0" w:after="0"/>
      </w:pPr>
      <w:r>
        <w:br w:type="page"/>
      </w:r>
    </w:p>
    <w:p>
      <w:pPr>
        <w:spacing w:before="0" w:after="0"/>
      </w:pPr>
      <w:r>
        <w:br w:type="page"/>
      </w:r>
    </w:p>
    <w:p>
      <w:pPr>
        <w:spacing w:before="0" w:after="0"/>
      </w:pPr>
      <w:r>
        <w:br w:type="page"/>
      </w:r>
    </w:p>
    <w:p>
      <w:pPr>
        <w:pStyle w:val="Heading1"/>
        <w:spacing w:before="240" w:after="120"/>
        <w:jc w:val="left"/>
      </w:pPr>
      <w:r>
        <w:rPr>
          <w:rFonts w:ascii="Times New Roman" w:hAnsi="Times New Roman"/>
          <w:b/>
          <w:sz w:val="40"/>
        </w:rPr>
        <w:t>INTRODUCTION</w:t>
      </w:r>
    </w:p>
    <w:p>
      <w:pPr>
        <w:pStyle w:val="Heading2"/>
        <w:spacing w:before="200" w:after="80"/>
        <w:jc w:val="left"/>
      </w:pPr>
      <w:r>
        <w:rPr>
          <w:rFonts w:ascii="Times New Roman" w:hAnsi="Times New Roman"/>
          <w:b/>
          <w:sz w:val="28"/>
        </w:rPr>
        <w:t>1.1 Background and Motivation</w:t>
      </w:r>
    </w:p>
    <w:p>
      <w:pPr>
        <w:spacing w:before="0" w:after="120" w:line="360" w:lineRule="exact"/>
        <w:jc w:val="both"/>
      </w:pPr>
      <w:r>
        <w:rPr>
          <w:rFonts w:ascii="Times New Roman" w:hAnsi="Times New Roman"/>
          <w:b w:val="0"/>
          <w:i w:val="0"/>
          <w:sz w:val="24"/>
        </w:rPr>
        <w:t>The automotive sector is one of the most strategically important industries in Turkey, accounting for approximately 1.3 million passenger-car sales in 2024 (OSD, 2024). Within this competitive landscape, the efficiency of vehicle distribution from a national distributor to its dealer network has a direct impact on customer satisfaction, revenue realization, and inventory costs. Despite the scale of these operations, many distributors continue to rely on experience-based, manual allocation decisions—a practice that becomes increasingly inadequate as the dealer network expands and product portfolios grow more complex.</w:t>
      </w:r>
    </w:p>
    <w:p>
      <w:pPr>
        <w:spacing w:before="0" w:after="120" w:line="360" w:lineRule="exact"/>
        <w:jc w:val="both"/>
      </w:pPr>
      <w:r>
        <w:rPr>
          <w:rFonts w:ascii="Times New Roman" w:hAnsi="Times New Roman"/>
          <w:b w:val="0"/>
          <w:i w:val="0"/>
          <w:sz w:val="24"/>
        </w:rPr>
        <w:t>This study addresses the monthly vehicle allocation problem faced by the distributor of a premium Sport Utility Vehicle (SUV) brand operating across 28 dealer locations in Turkey. Between January 2024 and December 2025, the distributor managed a sales volume ranging from approximately 300 to 1,500 vehicles per month, distributed among four active vehicle versions across two model segments. Starting in January 2026, the system developed in this study was put into operation, replacing manual allocation with an automated decision support framework.</w:t>
      </w:r>
    </w:p>
    <w:p>
      <w:pPr>
        <w:pStyle w:val="Heading2"/>
        <w:spacing w:before="200" w:after="80"/>
        <w:jc w:val="left"/>
      </w:pPr>
      <w:r>
        <w:rPr>
          <w:rFonts w:ascii="Times New Roman" w:hAnsi="Times New Roman"/>
          <w:b/>
          <w:sz w:val="28"/>
        </w:rPr>
        <w:t>1.2 Problem Definition</w:t>
      </w:r>
    </w:p>
    <w:p>
      <w:pPr>
        <w:spacing w:before="0" w:after="120" w:line="360" w:lineRule="exact"/>
        <w:jc w:val="both"/>
      </w:pPr>
      <w:r>
        <w:rPr>
          <w:rFonts w:ascii="Times New Roman" w:hAnsi="Times New Roman"/>
          <w:b w:val="0"/>
          <w:i w:val="0"/>
          <w:sz w:val="24"/>
        </w:rPr>
        <w:t>The core challenge is the Vehicle Allocation Problem (VAP): given a fixed monthly vehicle inventory, determine how many units of each model version to assign to each of the 28 dealers such that overall performance is maximized while satisfying business constraints. The problem is complicated by several factors:</w:t>
      </w:r>
    </w:p>
    <w:p>
      <w:pPr>
        <w:pStyle w:val="ListBullet"/>
        <w:spacing w:line="360" w:lineRule="exact"/>
      </w:pPr>
      <w:r>
        <w:rPr>
          <w:rFonts w:ascii="Times New Roman" w:hAnsi="Times New Roman"/>
        </w:rPr>
        <w:t>Demand is seasonal and varies significantly by dealer region and model.</w:t>
      </w:r>
    </w:p>
    <w:p>
      <w:pPr>
        <w:pStyle w:val="ListBullet"/>
        <w:spacing w:line="360" w:lineRule="exact"/>
      </w:pPr>
      <w:r>
        <w:rPr>
          <w:rFonts w:ascii="Times New Roman" w:hAnsi="Times New Roman"/>
        </w:rPr>
        <w:t>Six new dealers (Dealers 23–28) joined the network without historical sales data.</w:t>
      </w:r>
    </w:p>
    <w:p>
      <w:pPr>
        <w:pStyle w:val="ListBullet"/>
        <w:spacing w:line="360" w:lineRule="exact"/>
      </w:pPr>
      <w:r>
        <w:rPr>
          <w:rFonts w:ascii="Times New Roman" w:hAnsi="Times New Roman"/>
        </w:rPr>
        <w:t>A new product version (B1) launched in March 2026, requiring demand uplift modeling.</w:t>
      </w:r>
    </w:p>
    <w:p>
      <w:pPr>
        <w:pStyle w:val="ListBullet"/>
        <w:spacing w:line="360" w:lineRule="exact"/>
      </w:pPr>
      <w:r>
        <w:rPr>
          <w:rFonts w:ascii="Times New Roman" w:hAnsi="Times New Roman"/>
        </w:rPr>
        <w:t>Distributor policy requires each dealer's monthly allocation to remain within ±20% of its annual target.</w:t>
      </w:r>
    </w:p>
    <w:p>
      <w:pPr>
        <w:pStyle w:val="ListBullet"/>
        <w:spacing w:line="360" w:lineRule="exact"/>
      </w:pPr>
      <w:r>
        <w:rPr>
          <w:rFonts w:ascii="Times New Roman" w:hAnsi="Times New Roman"/>
        </w:rPr>
        <w:t>The product portfolio changed at year-end 2025: models A1, C1, and D1 were discontinued; only A2, A3, B1, and B2 remained active in 2026.</w:t>
      </w:r>
    </w:p>
    <w:p>
      <w:pPr>
        <w:pStyle w:val="Heading2"/>
        <w:spacing w:before="200" w:after="80"/>
        <w:jc w:val="left"/>
      </w:pPr>
      <w:r>
        <w:rPr>
          <w:rFonts w:ascii="Times New Roman" w:hAnsi="Times New Roman"/>
          <w:b/>
          <w:sz w:val="28"/>
        </w:rPr>
        <w:t>1.3 Objective of the Study</w:t>
      </w:r>
    </w:p>
    <w:p>
      <w:pPr>
        <w:spacing w:before="0" w:after="120" w:line="360" w:lineRule="exact"/>
        <w:jc w:val="both"/>
      </w:pPr>
      <w:r>
        <w:rPr>
          <w:rFonts w:ascii="Times New Roman" w:hAnsi="Times New Roman"/>
          <w:b w:val="0"/>
          <w:i w:val="0"/>
          <w:sz w:val="24"/>
        </w:rPr>
        <w:t>The objective of this study is to design and implement a data-driven decision support system that automates monthly vehicle allocation for a 28-dealer automotive network. The system integrates three methodological components: (1) time-series seasonality modeling for monthly demand forecasting, (2) multi-criteria scoring of dealers for prioritization, and (3) Mixed Integer Linear Programming (MILP) for optimal allocation. The system produces a 12-month × 28-dealer × 4-model allocation matrix for two capacity scenarios (8,500 and 10,000 vehicles annually).</w:t>
      </w:r>
    </w:p>
    <w:p>
      <w:pPr>
        <w:pStyle w:val="Heading2"/>
        <w:spacing w:before="200" w:after="80"/>
        <w:jc w:val="left"/>
      </w:pPr>
      <w:r>
        <w:rPr>
          <w:rFonts w:ascii="Times New Roman" w:hAnsi="Times New Roman"/>
          <w:b/>
          <w:sz w:val="28"/>
        </w:rPr>
        <w:t>1.4 Scope and Limitations</w:t>
      </w:r>
    </w:p>
    <w:p>
      <w:pPr>
        <w:spacing w:before="0" w:after="120" w:line="360" w:lineRule="exact"/>
        <w:jc w:val="both"/>
      </w:pPr>
      <w:r>
        <w:rPr>
          <w:rFonts w:ascii="Times New Roman" w:hAnsi="Times New Roman"/>
          <w:b w:val="0"/>
          <w:i w:val="0"/>
          <w:sz w:val="24"/>
        </w:rPr>
        <w:t>The study focuses exclusively on the SUV segment of a single automotive brand in Turkey. Vehicle differentiation is modeled at the version level (A2, A3, B1, B2); engine type, transmission, and color are treated as soft constraints not included in the MILP formulation. Dealer stock capacity is assumed unlimited for monthly allocations below 1,000 units (the observed upper bound), following distributor policy. The analysis period covers January 2024 to December 2025 (6,439 sales records), and all forecasts target the calendar year 2026.</w:t>
      </w:r>
    </w:p>
    <w:p>
      <w:pPr>
        <w:pStyle w:val="Heading2"/>
        <w:spacing w:before="200" w:after="80"/>
        <w:jc w:val="left"/>
      </w:pPr>
      <w:r>
        <w:rPr>
          <w:rFonts w:ascii="Times New Roman" w:hAnsi="Times New Roman"/>
          <w:b/>
          <w:sz w:val="28"/>
        </w:rPr>
        <w:t>1.5 Structure of the Report</w:t>
      </w:r>
    </w:p>
    <w:p>
      <w:pPr>
        <w:spacing w:before="0" w:after="120" w:line="360" w:lineRule="exact"/>
        <w:jc w:val="both"/>
      </w:pPr>
      <w:r>
        <w:rPr>
          <w:rFonts w:ascii="Times New Roman" w:hAnsi="Times New Roman"/>
          <w:b w:val="0"/>
          <w:i w:val="0"/>
          <w:sz w:val="24"/>
        </w:rPr>
        <w:t>Chapter 2 presents a review of the relevant literature covering vehicle allocation, multi-criteria decision making, time-series forecasting, and optimization methods. Chapter 3 describes the data sources, modeling framework, and mathematical formulation in detail. Chapter 4 presents the results of demand forecasting validation and the 2026 allocation plan. Chapter 5 concludes the study with a discussion of findings, limitations, and directions for future work.</w:t>
      </w:r>
    </w:p>
    <w:p>
      <w:pPr>
        <w:spacing w:before="0" w:after="0"/>
      </w:pPr>
      <w:r>
        <w:br w:type="page"/>
      </w:r>
    </w:p>
    <w:p>
      <w:pPr>
        <w:pStyle w:val="Heading1"/>
        <w:spacing w:before="240" w:after="120"/>
        <w:jc w:val="left"/>
      </w:pPr>
      <w:r>
        <w:rPr>
          <w:rFonts w:ascii="Times New Roman" w:hAnsi="Times New Roman"/>
          <w:b/>
          <w:sz w:val="40"/>
        </w:rPr>
        <w:t>LITERATURE REVIEW</w:t>
      </w:r>
    </w:p>
    <w:p>
      <w:pPr>
        <w:pStyle w:val="Heading2"/>
        <w:spacing w:before="200" w:after="80"/>
        <w:jc w:val="left"/>
      </w:pPr>
      <w:r>
        <w:rPr>
          <w:rFonts w:ascii="Times New Roman" w:hAnsi="Times New Roman"/>
          <w:b/>
          <w:sz w:val="28"/>
        </w:rPr>
        <w:t>2.1 Vehicle Allocation Problem</w:t>
      </w:r>
    </w:p>
    <w:p>
      <w:pPr>
        <w:spacing w:before="0" w:after="120" w:line="360" w:lineRule="exact"/>
        <w:jc w:val="both"/>
      </w:pPr>
      <w:r>
        <w:rPr>
          <w:rFonts w:ascii="Times New Roman" w:hAnsi="Times New Roman"/>
          <w:b w:val="0"/>
          <w:i w:val="0"/>
          <w:sz w:val="24"/>
        </w:rPr>
        <w:t>The Vehicle Allocation Problem (VAP) is a class of distribution planning problems in which a fixed supply of vehicles must be assigned to a set of demand locations over a planning horizon. Luss and Rosenwein (1997) provide one of the earliest systematic treatments of multi-product allocation under capacity constraints, demonstrating that even simplified versions of the problem are NP-hard in the general case. Li and Keskin (2013) extended this framework to a stochastic, multi-product setting and showed that portfolio-based allocation strategies consistently outperform heuristic single-product rules in terms of revenue capture. More recently, Talluri and Van Ryzin (2004) embedded vehicle allocation within the broader theory of revenue management, arguing that demand forecasting and supply optimization must be tightly coupled to achieve maximum profitability.</w:t>
      </w:r>
    </w:p>
    <w:p>
      <w:pPr>
        <w:spacing w:before="0" w:after="120" w:line="360" w:lineRule="exact"/>
        <w:jc w:val="both"/>
      </w:pPr>
      <w:r>
        <w:rPr>
          <w:rFonts w:ascii="Times New Roman" w:hAnsi="Times New Roman"/>
          <w:b w:val="0"/>
          <w:i w:val="0"/>
          <w:sz w:val="24"/>
        </w:rPr>
        <w:t>In the Turkish automotive context, manual allocation practices remain dominant among distributors. This study addresses this gap by proposing a fully automated, data-driven allocation engine applicable to a real dealer network.</w:t>
      </w:r>
    </w:p>
    <w:p>
      <w:pPr>
        <w:pStyle w:val="Heading2"/>
        <w:spacing w:before="200" w:after="80"/>
        <w:jc w:val="left"/>
      </w:pPr>
      <w:r>
        <w:rPr>
          <w:rFonts w:ascii="Times New Roman" w:hAnsi="Times New Roman"/>
          <w:b/>
          <w:sz w:val="28"/>
        </w:rPr>
        <w:t>2.2 Demand Forecasting and Seasonality Modeling</w:t>
      </w:r>
    </w:p>
    <w:p>
      <w:pPr>
        <w:spacing w:before="0" w:after="120" w:line="360" w:lineRule="exact"/>
        <w:jc w:val="both"/>
      </w:pPr>
      <w:r>
        <w:rPr>
          <w:rFonts w:ascii="Times New Roman" w:hAnsi="Times New Roman"/>
          <w:b w:val="0"/>
          <w:i w:val="0"/>
          <w:sz w:val="24"/>
        </w:rPr>
        <w:t>Accurate demand forecasting is a prerequisite for effective allocation. Cleveland et al. (1990) introduced the STL decomposition procedure (Seasonal-Trend decomposition using Loess), which remains a reference method for extracting monthly seasonality from time-series data. The ratio-to-mean method—computing the Seasonal Index (SI) as the ratio of a month's average to the overall annual average—provides a simpler yet robust alternative suitable for relatively short historical series (Makridakis et al., 2018). The M4 Competition demonstrated that weighted combinations of statistical methods frequently outperform individual models, motivating the blended tier-global SI approach adopted in this study.</w:t>
      </w:r>
    </w:p>
    <w:p>
      <w:pPr>
        <w:spacing w:before="0" w:after="120" w:line="360" w:lineRule="exact"/>
        <w:jc w:val="both"/>
      </w:pPr>
      <w:r>
        <w:rPr>
          <w:rFonts w:ascii="Times New Roman" w:hAnsi="Times New Roman"/>
          <w:b w:val="0"/>
          <w:i w:val="0"/>
          <w:sz w:val="24"/>
        </w:rPr>
        <w:t>New product launch effects on demand are well-documented in the marketing literature. Fisher et al. (1994) showed that launch-period demand can deviate substantially from baseline seasonality, requiring explicit uplift modeling. This observation motivates the statistically grounded 1.15 SI boost applied to March 2026 in this study.</w:t>
      </w:r>
    </w:p>
    <w:p>
      <w:pPr>
        <w:pStyle w:val="Heading2"/>
        <w:spacing w:before="200" w:after="80"/>
        <w:jc w:val="left"/>
      </w:pPr>
      <w:r>
        <w:rPr>
          <w:rFonts w:ascii="Times New Roman" w:hAnsi="Times New Roman"/>
          <w:b/>
          <w:sz w:val="28"/>
        </w:rPr>
        <w:t>2.3 Multi-Criteria Decision Making</w:t>
      </w:r>
    </w:p>
    <w:p>
      <w:pPr>
        <w:spacing w:before="0" w:after="120" w:line="360" w:lineRule="exact"/>
        <w:jc w:val="both"/>
      </w:pPr>
      <w:r>
        <w:rPr>
          <w:rFonts w:ascii="Times New Roman" w:hAnsi="Times New Roman"/>
          <w:b w:val="0"/>
          <w:i w:val="0"/>
          <w:sz w:val="24"/>
        </w:rPr>
        <w:t>Multi-Criteria Decision Making (MCDM) methods enable the simultaneous evaluation of alternatives across competing objectives. Hwang and Yoon (1981) established the foundational TOPSIS framework, in which a weighted composite score ranks alternatives by distance to an ideal solution. In distribution network design, MCDM is frequently used to prioritize dealers or customers before applying an optimization model. The four-criterion composite scoring model employed in this study (performance, location-product fit, seasonality, and target proximity) follows this tradition, with weights calibrated to reflect distributor priorities.</w:t>
      </w:r>
    </w:p>
    <w:p>
      <w:pPr>
        <w:spacing w:before="0" w:after="120" w:line="360" w:lineRule="exact"/>
        <w:jc w:val="both"/>
      </w:pPr>
      <w:r>
        <w:rPr>
          <w:rFonts w:ascii="Times New Roman" w:hAnsi="Times New Roman"/>
          <w:b w:val="0"/>
          <w:i w:val="0"/>
          <w:sz w:val="24"/>
        </w:rPr>
        <w:t>Collaborative filtering—originally developed for recommendation systems by Sarwar et al. (2001)—has been adapted to supply chain settings to compute location-product affinity scores from historical sales patterns. This technique underpins the LP (Location-Product fit) score used in the present study's composite scoring model.</w:t>
      </w:r>
    </w:p>
    <w:p>
      <w:pPr>
        <w:pStyle w:val="Heading2"/>
        <w:spacing w:before="200" w:after="80"/>
        <w:jc w:val="left"/>
      </w:pPr>
      <w:r>
        <w:rPr>
          <w:rFonts w:ascii="Times New Roman" w:hAnsi="Times New Roman"/>
          <w:b/>
          <w:sz w:val="28"/>
        </w:rPr>
        <w:t>2.4 Mixed Integer Linear Programming for Distribution</w:t>
      </w:r>
    </w:p>
    <w:p>
      <w:pPr>
        <w:spacing w:before="0" w:after="120" w:line="360" w:lineRule="exact"/>
        <w:jc w:val="both"/>
      </w:pPr>
      <w:r>
        <w:rPr>
          <w:rFonts w:ascii="Times New Roman" w:hAnsi="Times New Roman"/>
          <w:b w:val="0"/>
          <w:i w:val="0"/>
          <w:sz w:val="24"/>
        </w:rPr>
        <w:t>Mixed Integer Linear Programming (MILP) is the standard tool for combinatorial allocation and scheduling problems with integrality requirements. Dantzig and Thapa (1997) provide the theoretical foundations, while modern solvers such as CBC (Coin-or Branch and Cut) enable practical application to problems with thousands of binary variables. In automotive distribution, MILP models have been applied to dealership network design (Cachon and Lariviere, 1999) and inventory replenishment under service-level constraints (Sherbrooke, 1968). The present study formulates a MILP that maximizes a composite dealer score subject to monthly inventory, target-range, and model-mix constraints.</w:t>
      </w:r>
    </w:p>
    <w:p>
      <w:pPr>
        <w:pStyle w:val="Heading2"/>
        <w:spacing w:before="200" w:after="80"/>
        <w:jc w:val="left"/>
      </w:pPr>
      <w:r>
        <w:rPr>
          <w:rFonts w:ascii="Times New Roman" w:hAnsi="Times New Roman"/>
          <w:b/>
          <w:sz w:val="28"/>
        </w:rPr>
        <w:t>2.5 Summary of the Literature</w:t>
      </w:r>
    </w:p>
    <w:p>
      <w:pPr>
        <w:spacing w:before="0" w:after="120" w:line="360" w:lineRule="exact"/>
        <w:jc w:val="both"/>
      </w:pPr>
      <w:r>
        <w:rPr>
          <w:rFonts w:ascii="Times New Roman" w:hAnsi="Times New Roman"/>
          <w:b w:val="0"/>
          <w:i w:val="0"/>
          <w:sz w:val="24"/>
        </w:rPr>
        <w:t>Table 1 summarizes the key studies reviewed in this chapter, highlighting their methods and relevance to the present work.</w:t>
      </w:r>
    </w:p>
    <w:p>
      <w:pPr>
        <w:spacing w:before="200" w:after="40"/>
        <w:jc w:val="center"/>
      </w:pPr>
      <w:r>
        <w:rPr>
          <w:rFonts w:ascii="Times New Roman" w:hAnsi="Times New Roman"/>
          <w:b/>
          <w:sz w:val="22"/>
        </w:rPr>
        <w:t>Table 1. Literature Summary Table</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Author(s)</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Year</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Objective</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Method</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Key Finding</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Sherbrooke</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1968</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Multi-echelon recoverable item control</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Inventory optimization (METRIC)</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Demonstrated multi-echelon superiority over single-echelon policies</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Hwang &amp; Yoon</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1981</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Multi-attribute decision making</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TOPSIS / MCDM</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Weighted distance-to-ideal ranking for competing alternatives</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Cleveland et al.</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1990</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Time-series decomposition</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STL (Loess-based)</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Robust seasonal-trend extraction; benchmark for SI methods</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Fisher et al.</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1994</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Demand forecasting for new products</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Market research + regression</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Launch-period demand deviates significantly from baseline seasonality</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Luss &amp; Rosenwein</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1997</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Multi-product allocation under capacity</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Mathematical programming</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Portfolio-based allocation outperforms single-product heuristics</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Cachon &amp; Lariviere</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1999</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Supply chain contracting</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Game-theoretic MILP</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Revenue-sharing contracts improve channel efficiency</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Dantzig &amp; Thapa</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1997</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Linear programming foundations</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LP / MILP theory</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Established algorithmic basis for modern MIP solvers</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Sarwar et al.</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2001</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Collaborative filtering for recommendations</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Item-based CF (cosine similarity)</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Item-to-item CF scales efficiently and improves accuracy</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Talluri &amp; Van Ryzin</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2004</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Revenue management and allocation</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Stochastic LP / DP</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Demand forecasting and supply optimization must be tightly coupled</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Makridakis et al.</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2018</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Forecasting accuracy benchmark (M4)</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Statistical &amp; ML ensembles</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Combination methods dominate individual models across 100K series</w:t>
            </w:r>
          </w:p>
        </w:tc>
      </w:tr>
    </w:tbl>
    <w:p>
      <w:pPr>
        <w:spacing w:before="0" w:after="160"/>
      </w:pPr>
    </w:p>
    <w:p>
      <w:pPr>
        <w:spacing w:before="0" w:after="0"/>
      </w:pPr>
      <w:r>
        <w:br w:type="page"/>
      </w:r>
    </w:p>
    <w:p>
      <w:pPr>
        <w:pStyle w:val="Heading1"/>
        <w:spacing w:before="240" w:after="120"/>
        <w:jc w:val="left"/>
      </w:pPr>
      <w:r>
        <w:rPr>
          <w:rFonts w:ascii="Times New Roman" w:hAnsi="Times New Roman"/>
          <w:b/>
          <w:sz w:val="40"/>
        </w:rPr>
        <w:t>METHODOLOGY</w:t>
      </w:r>
    </w:p>
    <w:p>
      <w:pPr>
        <w:spacing w:before="0" w:after="120" w:line="360" w:lineRule="exact"/>
        <w:jc w:val="both"/>
      </w:pPr>
      <w:r>
        <w:rPr>
          <w:rFonts w:ascii="Times New Roman" w:hAnsi="Times New Roman"/>
          <w:b w:val="0"/>
          <w:i w:val="0"/>
          <w:sz w:val="24"/>
        </w:rPr>
        <w:t>The proposed system consists of three sequential modules: (1) a Seasonal Index-based forecasting module that distributes the annual target across months; (2) a multi-criteria dealer scoring module; and (3) a MILP optimization module that allocates vehicles to dealers. Each module is described in detail below.</w:t>
      </w:r>
    </w:p>
    <w:p>
      <w:pPr>
        <w:pStyle w:val="Heading2"/>
        <w:spacing w:before="200" w:after="80"/>
        <w:jc w:val="left"/>
      </w:pPr>
      <w:r>
        <w:rPr>
          <w:rFonts w:ascii="Times New Roman" w:hAnsi="Times New Roman"/>
          <w:b/>
          <w:sz w:val="28"/>
        </w:rPr>
        <w:t>3.1 Data Sources</w:t>
      </w:r>
    </w:p>
    <w:p>
      <w:pPr>
        <w:spacing w:before="0" w:after="120" w:line="360" w:lineRule="exact"/>
        <w:jc w:val="both"/>
      </w:pPr>
      <w:r>
        <w:rPr>
          <w:rFonts w:ascii="Times New Roman" w:hAnsi="Times New Roman"/>
          <w:b w:val="0"/>
          <w:i w:val="0"/>
          <w:sz w:val="24"/>
        </w:rPr>
        <w:t>Six anonymized CSV files constitute the primary data sources for this study. All data cover the period January 2024 to December 2025 and are stored in the repository under data/raw/. Table 2 summarizes each file and its role in the system.</w:t>
      </w:r>
    </w:p>
    <w:p>
      <w:pPr>
        <w:spacing w:before="200" w:after="40"/>
        <w:jc w:val="center"/>
      </w:pPr>
      <w:r>
        <w:rPr>
          <w:rFonts w:ascii="Times New Roman" w:hAnsi="Times New Roman"/>
          <w:b/>
          <w:sz w:val="22"/>
        </w:rPr>
        <w:t>Table 2. Data Sources and Their Roles</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File</w:t>
            </w:r>
          </w:p>
        </w:tc>
        <w:tc>
          <w:tcPr>
            <w:tcW w:type="dxa" w:w="3135"/>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Records / Scope</w:t>
            </w:r>
          </w:p>
        </w:tc>
        <w:tc>
          <w:tcPr>
            <w:tcW w:type="dxa" w:w="3135"/>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Usage in System</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sales_2024_2025.csv</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6,439 transactions; 2024-01–2025-12</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SI computation, model-mix derivation, dealer share estimation</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dealer_targets_2026.csv</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28 dealers; annual targets</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MILP constraint bounds (H_it)</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dealer_locations.csv</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28 dealers; province, district, lat/lon</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Tier assignment; LP score geography</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monthly_performance_2025.csv</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22 dealers × 12 months</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Performance score (P_i) computation</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competitor_sales.csv</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Monthly competitor volumes</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Contextual analysis; not directly in MILP</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inventory_2026_01.csv</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January 2026 vehicle inventory</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Monthly capacity parameter (C_t)</w:t>
            </w:r>
          </w:p>
        </w:tc>
      </w:tr>
    </w:tbl>
    <w:p>
      <w:pPr>
        <w:spacing w:before="0" w:after="160"/>
      </w:pPr>
    </w:p>
    <w:p>
      <w:pPr>
        <w:pStyle w:val="Heading2"/>
        <w:spacing w:before="200" w:after="80"/>
        <w:jc w:val="left"/>
      </w:pPr>
      <w:r>
        <w:rPr>
          <w:rFonts w:ascii="Times New Roman" w:hAnsi="Times New Roman"/>
          <w:b/>
          <w:sz w:val="28"/>
        </w:rPr>
        <w:t>3.2 Dealer Tier Grouping</w:t>
      </w:r>
    </w:p>
    <w:p>
      <w:pPr>
        <w:spacing w:before="0" w:after="120" w:line="360" w:lineRule="exact"/>
        <w:jc w:val="both"/>
      </w:pPr>
      <w:r>
        <w:rPr>
          <w:rFonts w:ascii="Times New Roman" w:hAnsi="Times New Roman"/>
          <w:b w:val="0"/>
          <w:i w:val="0"/>
          <w:sz w:val="24"/>
        </w:rPr>
        <w:t>Dealers are grouped into three tiers based on their geographic region, as encoded in their dealer codes. Tier A encompasses the highest-volume regions (Marmara, Aegean, and Central Anatolia – Ankara), comprising 21 dealers. Tier B covers the Mediterranean region (4 dealers), and Tier C covers the remaining regions (Southeast Anatolia and Black Sea, 3 dealers). Tier assignment is used to compute blended Seasonal Indices and to initialize allocation shares for new dealers.</w:t>
      </w:r>
    </w:p>
    <w:p>
      <w:pPr>
        <w:spacing w:before="200" w:after="40"/>
        <w:jc w:val="center"/>
      </w:pPr>
      <w:r>
        <w:rPr>
          <w:rFonts w:ascii="Times New Roman" w:hAnsi="Times New Roman"/>
          <w:b/>
          <w:sz w:val="22"/>
        </w:rPr>
        <w:t>Table 3. Dealer Tier Groups</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Tier</w:t>
            </w:r>
          </w:p>
        </w:tc>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Regions</w:t>
            </w:r>
          </w:p>
        </w:tc>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Number of Dealers</w:t>
            </w:r>
          </w:p>
        </w:tc>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MAPE (Dec 2025 Validation)</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A</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Marmara, Aegean, Central Anatolia (Ankara)</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21</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7.65%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B</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Mediterranean</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4</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6.67%</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C</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Southeast Anatolia, Black Sea</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3</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15.79%</w:t>
            </w:r>
          </w:p>
        </w:tc>
      </w:tr>
    </w:tbl>
    <w:p>
      <w:pPr>
        <w:spacing w:before="0" w:after="160"/>
      </w:pPr>
    </w:p>
    <w:p>
      <w:pPr>
        <w:pStyle w:val="Heading2"/>
        <w:spacing w:before="200" w:after="80"/>
        <w:jc w:val="left"/>
      </w:pPr>
      <w:r>
        <w:rPr>
          <w:rFonts w:ascii="Times New Roman" w:hAnsi="Times New Roman"/>
          <w:b/>
          <w:sz w:val="28"/>
        </w:rPr>
        <w:t>3.3 Seasonal Index-Based Demand Forecasting</w:t>
      </w:r>
    </w:p>
    <w:p>
      <w:pPr>
        <w:pStyle w:val="Heading3"/>
        <w:spacing w:before="160" w:after="80"/>
        <w:jc w:val="left"/>
      </w:pPr>
      <w:r>
        <w:rPr>
          <w:rFonts w:ascii="Times New Roman" w:hAnsi="Times New Roman"/>
          <w:b/>
          <w:sz w:val="24"/>
        </w:rPr>
        <w:t>3.3.1 Seasonal Index Computation</w:t>
      </w:r>
    </w:p>
    <w:p>
      <w:pPr>
        <w:spacing w:before="0" w:after="120" w:line="360" w:lineRule="exact"/>
        <w:jc w:val="both"/>
      </w:pPr>
      <w:r>
        <w:rPr>
          <w:rFonts w:ascii="Times New Roman" w:hAnsi="Times New Roman"/>
          <w:b w:val="0"/>
          <w:i w:val="0"/>
          <w:sz w:val="24"/>
        </w:rPr>
        <w:t>For each tier and for the market overall, a monthly Seasonal Index (SI) is computed using the ratio-to-mean method. The SI for month m in tier k is defined as the ratio of the average monthly sales in month m to the overall monthly average across all months:</w:t>
      </w:r>
    </w:p>
    <w:p>
      <w:pPr>
        <w:spacing w:before="80" w:after="80"/>
        <w:jc w:val="center"/>
      </w:pPr>
      <w:r>
        <w:rPr>
          <w:rFonts w:ascii="Times New Roman" w:hAnsi="Times New Roman"/>
          <w:i/>
          <w:sz w:val="24"/>
        </w:rPr>
        <w:t>[EQUATION: SI_{k,m} = mean_sales(k, m) / overall_monthly_mean(k)]</w:t>
      </w:r>
      <w:r>
        <w:rPr>
          <w:rFonts w:ascii="Times New Roman" w:hAnsi="Times New Roman"/>
          <w:sz w:val="24"/>
        </w:rPr>
        <w:tab/>
        <w:tab/>
        <w:t>(1)</w:t>
      </w:r>
    </w:p>
    <w:p>
      <w:pPr>
        <w:spacing w:before="0" w:after="120" w:line="360" w:lineRule="exact"/>
        <w:jc w:val="both"/>
      </w:pPr>
      <w:r>
        <w:rPr>
          <w:rFonts w:ascii="Times New Roman" w:hAnsi="Times New Roman"/>
          <w:b w:val="0"/>
          <w:i w:val="0"/>
          <w:sz w:val="24"/>
        </w:rPr>
        <w:t>A blended SI is then formed by weighting the tier-level SI (70%) against the global SI (30%), following the empirical finding that tier-specific seasonality explains more variance than market-wide seasonality while the global component provides stability for tiers with sparse data (Tier C):</w:t>
      </w:r>
    </w:p>
    <w:p>
      <w:pPr>
        <w:spacing w:before="80" w:after="80"/>
        <w:jc w:val="center"/>
      </w:pPr>
      <w:r>
        <w:rPr>
          <w:rFonts w:ascii="Times New Roman" w:hAnsi="Times New Roman"/>
          <w:i/>
          <w:sz w:val="24"/>
        </w:rPr>
        <w:t>[EQUATION: SI_blended(k,m) = 0.70 × SI_tier(k,m) + 0.30 × SI_global(m)]</w:t>
      </w:r>
      <w:r>
        <w:rPr>
          <w:rFonts w:ascii="Times New Roman" w:hAnsi="Times New Roman"/>
          <w:sz w:val="24"/>
        </w:rPr>
        <w:tab/>
        <w:tab/>
        <w:t>(2)</w:t>
      </w:r>
    </w:p>
    <w:p>
      <w:pPr>
        <w:pStyle w:val="Heading3"/>
        <w:spacing w:before="160" w:after="80"/>
        <w:jc w:val="left"/>
      </w:pPr>
      <w:r>
        <w:rPr>
          <w:rFonts w:ascii="Times New Roman" w:hAnsi="Times New Roman"/>
          <w:b/>
          <w:sz w:val="24"/>
        </w:rPr>
        <w:t>3.3.2 Monthly Target Derivation</w:t>
      </w:r>
    </w:p>
    <w:p>
      <w:pPr>
        <w:spacing w:before="0" w:after="120" w:line="360" w:lineRule="exact"/>
        <w:jc w:val="both"/>
      </w:pPr>
      <w:r>
        <w:rPr>
          <w:rFonts w:ascii="Times New Roman" w:hAnsi="Times New Roman"/>
          <w:b w:val="0"/>
          <w:i w:val="0"/>
          <w:sz w:val="24"/>
        </w:rPr>
        <w:t>Given an annual vehicle target A for a scenario, the monthly target for month t is derived by scaling the annual target proportionally to the blended SI:</w:t>
      </w:r>
    </w:p>
    <w:p>
      <w:pPr>
        <w:spacing w:before="80" w:after="80"/>
        <w:jc w:val="center"/>
      </w:pPr>
      <w:r>
        <w:rPr>
          <w:rFonts w:ascii="Times New Roman" w:hAnsi="Times New Roman"/>
          <w:i/>
          <w:sz w:val="24"/>
        </w:rPr>
        <w:t>[EQUATION: H_t = A × SI_blended(t) / Σ_{t=1}^{12} SI_blended(t)]</w:t>
      </w:r>
      <w:r>
        <w:rPr>
          <w:rFonts w:ascii="Times New Roman" w:hAnsi="Times New Roman"/>
          <w:sz w:val="24"/>
        </w:rPr>
        <w:tab/>
        <w:tab/>
        <w:t>(3)</w:t>
      </w:r>
    </w:p>
    <w:p>
      <w:pPr>
        <w:spacing w:before="0" w:after="120" w:line="360" w:lineRule="exact"/>
        <w:jc w:val="both"/>
      </w:pPr>
      <w:r>
        <w:rPr>
          <w:rFonts w:ascii="Times New Roman" w:hAnsi="Times New Roman"/>
          <w:b w:val="0"/>
          <w:i w:val="0"/>
          <w:sz w:val="24"/>
        </w:rPr>
        <w:t>This ensures that the twelve monthly targets sum exactly to the annual scenario target. The resulting monthly allocation for the 8,500-vehicle scenario ranges from 413 vehicles in January (SI = 0.659, the weakest month) to 1,163 vehicles in December (SI = 1.616, the strongest month).</w:t>
      </w:r>
    </w:p>
    <w:p>
      <w:pPr>
        <w:pStyle w:val="Heading3"/>
        <w:spacing w:before="160" w:after="80"/>
        <w:jc w:val="left"/>
      </w:pPr>
      <w:r>
        <w:rPr>
          <w:rFonts w:ascii="Times New Roman" w:hAnsi="Times New Roman"/>
          <w:b/>
          <w:sz w:val="24"/>
        </w:rPr>
        <w:t>3.3.3 March 2026 Launch Boost</w:t>
      </w:r>
    </w:p>
    <w:p>
      <w:pPr>
        <w:spacing w:before="0" w:after="120" w:line="360" w:lineRule="exact"/>
        <w:jc w:val="both"/>
      </w:pPr>
      <w:r>
        <w:rPr>
          <w:rFonts w:ascii="Times New Roman" w:hAnsi="Times New Roman"/>
          <w:b w:val="0"/>
          <w:i w:val="0"/>
          <w:sz w:val="24"/>
        </w:rPr>
        <w:t>B1—the B-Segment Version 1 vehicle—introduced a new product version in March 2026. Historical analysis of the B segment (comprising B1 and B2) reveals a pronounced natural peak in March relative to the annual average. As shown in Table 4, the B segment's March share of total sales reached 55.7% in 2024 and declined to 44.5% in 2025. The corresponding B-segment March Seasonal Index (ratio of March share to annual average share) was 2.494 in 2024 and 1.568 in 2025. The new-version launch is expected to restore the March share to at least the 2024 level (+11.2 percentage points relative to 2025), yielding a data-derived aggregate boost lower bound of 1.112 on total monthly volume. Accounting for additional pull-forward demand and brand-awareness effects, a conservative SI multiplier of 1.15 is applied to all months from March onwards:</w:t>
      </w:r>
    </w:p>
    <w:p>
      <w:pPr>
        <w:spacing w:before="80" w:after="80"/>
        <w:jc w:val="center"/>
      </w:pPr>
      <w:r>
        <w:rPr>
          <w:rFonts w:ascii="Times New Roman" w:hAnsi="Times New Roman"/>
          <w:i/>
          <w:sz w:val="24"/>
        </w:rPr>
        <w:t>[EQUATION: H_t^{launch} = H_t × 1.15   for t ≥ March 2026]</w:t>
      </w:r>
      <w:r>
        <w:rPr>
          <w:rFonts w:ascii="Times New Roman" w:hAnsi="Times New Roman"/>
          <w:sz w:val="24"/>
        </w:rPr>
        <w:tab/>
        <w:tab/>
        <w:t>(4)</w:t>
      </w:r>
    </w:p>
    <w:p>
      <w:pPr>
        <w:spacing w:before="200" w:after="40"/>
        <w:jc w:val="center"/>
      </w:pPr>
      <w:r>
        <w:rPr>
          <w:rFonts w:ascii="Times New Roman" w:hAnsi="Times New Roman"/>
          <w:b/>
          <w:sz w:val="22"/>
        </w:rPr>
        <w:t>Table 4. Statistical Basis for the March 2026 SI Boost</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Metric</w:t>
            </w:r>
          </w:p>
        </w:tc>
        <w:tc>
          <w:tcPr>
            <w:tcW w:type="dxa" w:w="3135"/>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2024</w:t>
            </w:r>
          </w:p>
        </w:tc>
        <w:tc>
          <w:tcPr>
            <w:tcW w:type="dxa" w:w="3135"/>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2025</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B segment March share of total sales</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55.7%</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44.5%</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B segment annual average share</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22.7%</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29.4%</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B segment March Seasonal Index</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2.494</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1.568</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Data-derived aggregate boost lower bound</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1.112</w:t>
            </w:r>
          </w:p>
        </w:tc>
      </w:tr>
      <w:tr>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Conservative applied multiplier</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w:t>
            </w:r>
          </w:p>
        </w:tc>
        <w:tc>
          <w:tcPr>
            <w:tcW w:type="dxa" w:w="3135"/>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bl>
    <w:p>
      <w:pPr>
        <w:spacing w:before="0" w:after="160"/>
      </w:pPr>
    </w:p>
    <w:p>
      <w:pPr>
        <w:spacing w:before="0" w:after="120" w:line="360" w:lineRule="exact"/>
        <w:jc w:val="both"/>
      </w:pPr>
      <w:r>
        <w:rPr>
          <w:rFonts w:ascii="Times New Roman" w:hAnsi="Times New Roman"/>
          <w:b w:val="0"/>
          <w:i w:val="0"/>
          <w:sz w:val="24"/>
        </w:rPr>
        <w:t>The B segment's model-mix share within monthly totals is additionally adjusted using month-specific graduated factors (March: ×1.60; April: ×1.45; May: ×1.40; June: ×1.35; July: ×1.25; August: ×1.20; September: ×1.15; October–November: ×1.10; December: ×1.05), reflecting the expected gradual normalization of launch-period demand over the year.</w:t>
      </w:r>
    </w:p>
    <w:p>
      <w:pPr>
        <w:pStyle w:val="Heading2"/>
        <w:spacing w:before="200" w:after="80"/>
        <w:jc w:val="left"/>
      </w:pPr>
      <w:r>
        <w:rPr>
          <w:rFonts w:ascii="Times New Roman" w:hAnsi="Times New Roman"/>
          <w:b/>
          <w:sz w:val="28"/>
        </w:rPr>
        <w:t>3.4 Multi-Criteria Dealer Scoring</w:t>
      </w:r>
    </w:p>
    <w:p>
      <w:pPr>
        <w:spacing w:before="0" w:after="120" w:line="360" w:lineRule="exact"/>
        <w:jc w:val="both"/>
      </w:pPr>
      <w:r>
        <w:rPr>
          <w:rFonts w:ascii="Times New Roman" w:hAnsi="Times New Roman"/>
          <w:b w:val="0"/>
          <w:i w:val="0"/>
          <w:sz w:val="24"/>
        </w:rPr>
        <w:t>Each dealer i is assigned a Composite Score (CS_i) integrating four criteria. The score is computed as a weighted linear combination:</w:t>
      </w:r>
    </w:p>
    <w:p>
      <w:pPr>
        <w:spacing w:before="80" w:after="80"/>
        <w:jc w:val="center"/>
      </w:pPr>
      <w:r>
        <w:rPr>
          <w:rFonts w:ascii="Times New Roman" w:hAnsi="Times New Roman"/>
          <w:i/>
          <w:sz w:val="24"/>
        </w:rPr>
        <w:t>[EQUATION: CS_i = 0.25 × P_i + 0.35 × LP_i + 0.20 × S_i + 0.20 × H_i]</w:t>
      </w:r>
      <w:r>
        <w:rPr>
          <w:rFonts w:ascii="Times New Roman" w:hAnsi="Times New Roman"/>
          <w:sz w:val="24"/>
        </w:rPr>
        <w:tab/>
        <w:tab/>
        <w:t>(5)</w:t>
      </w:r>
    </w:p>
    <w:p>
      <w:pPr>
        <w:spacing w:before="0" w:after="120" w:line="360" w:lineRule="exact"/>
        <w:jc w:val="both"/>
      </w:pPr>
      <w:r>
        <w:rPr>
          <w:rFonts w:ascii="Times New Roman" w:hAnsi="Times New Roman"/>
          <w:b w:val="0"/>
          <w:i w:val="0"/>
          <w:sz w:val="24"/>
        </w:rPr>
        <w:t>The four component scores are defined as follows.</w:t>
      </w:r>
    </w:p>
    <w:p>
      <w:pPr>
        <w:spacing w:before="0" w:after="120" w:line="360" w:lineRule="exact"/>
        <w:jc w:val="both"/>
      </w:pPr>
      <w:r>
        <w:rPr>
          <w:rFonts w:ascii="Times New Roman" w:hAnsi="Times New Roman"/>
          <w:b w:val="0"/>
          <w:i w:val="0"/>
          <w:sz w:val="24"/>
        </w:rPr>
        <w:t>Performance Score (P_i, weight = 0.25): Measures the dealer's ability to meet its monthly sales targets over the past twelve months, using exponential weighting to give greater importance to recent months:</w:t>
      </w:r>
    </w:p>
    <w:p>
      <w:pPr>
        <w:spacing w:before="80" w:after="80"/>
        <w:jc w:val="center"/>
      </w:pPr>
      <w:r>
        <w:rPr>
          <w:rFonts w:ascii="Times New Roman" w:hAnsi="Times New Roman"/>
          <w:i/>
          <w:sz w:val="24"/>
        </w:rPr>
        <w:t>[EQUATION: P_i = (1/12) Σ_{t=1}^{12} w_t × (actual_{i,t} / target_{i,t})]</w:t>
      </w:r>
      <w:r>
        <w:rPr>
          <w:rFonts w:ascii="Times New Roman" w:hAnsi="Times New Roman"/>
          <w:sz w:val="24"/>
        </w:rPr>
        <w:tab/>
        <w:tab/>
        <w:t>(6)</w:t>
      </w:r>
    </w:p>
    <w:p>
      <w:pPr>
        <w:spacing w:before="0" w:after="120" w:line="360" w:lineRule="exact"/>
        <w:jc w:val="both"/>
      </w:pPr>
      <w:r>
        <w:rPr>
          <w:rFonts w:ascii="Times New Roman" w:hAnsi="Times New Roman"/>
          <w:b w:val="0"/>
          <w:i w:val="0"/>
          <w:sz w:val="24"/>
        </w:rPr>
        <w:t>Location-Product Fit Score (LP_i, weight = 0.35): Quantifies the alignment between a dealer's historical model-version purchase profile and the overall market distribution, using cosine similarity—a collaborative filtering approach (Sarwar et al., 2001):</w:t>
      </w:r>
    </w:p>
    <w:p>
      <w:pPr>
        <w:spacing w:before="80" w:after="80"/>
        <w:jc w:val="center"/>
      </w:pPr>
      <w:r>
        <w:rPr>
          <w:rFonts w:ascii="Times New Roman" w:hAnsi="Times New Roman"/>
          <w:i/>
          <w:sz w:val="24"/>
        </w:rPr>
        <w:t>[EQUATION: LP_i = cos(v_i, v_market) = (v_i · v_market) / (||v_i|| × ||v_market||)]</w:t>
      </w:r>
      <w:r>
        <w:rPr>
          <w:rFonts w:ascii="Times New Roman" w:hAnsi="Times New Roman"/>
          <w:sz w:val="24"/>
        </w:rPr>
        <w:tab/>
        <w:tab/>
        <w:t>(7)</w:t>
      </w:r>
    </w:p>
    <w:p>
      <w:pPr>
        <w:spacing w:before="0" w:after="120" w:line="360" w:lineRule="exact"/>
        <w:jc w:val="both"/>
      </w:pPr>
      <w:r>
        <w:rPr>
          <w:rFonts w:ascii="Times New Roman" w:hAnsi="Times New Roman"/>
          <w:b w:val="0"/>
          <w:i w:val="0"/>
          <w:sz w:val="24"/>
        </w:rPr>
        <w:t>where v_i is the dealer's model-version sales vector and v_market is the market-wide average vector over the last 12 months.</w:t>
      </w:r>
    </w:p>
    <w:p>
      <w:pPr>
        <w:spacing w:before="0" w:after="120" w:line="360" w:lineRule="exact"/>
        <w:jc w:val="both"/>
      </w:pPr>
      <w:r>
        <w:rPr>
          <w:rFonts w:ascii="Times New Roman" w:hAnsi="Times New Roman"/>
          <w:b w:val="0"/>
          <w:i w:val="0"/>
          <w:sz w:val="24"/>
        </w:rPr>
        <w:t>Seasonal Alignment Score (S_i, weight = 0.20): Reflects how well the dealer's seasonal sales pattern aligns with the current month's seasonal demand profile, normalized across all dealers:</w:t>
      </w:r>
    </w:p>
    <w:p>
      <w:pPr>
        <w:spacing w:before="80" w:after="80"/>
        <w:jc w:val="center"/>
      </w:pPr>
      <w:r>
        <w:rPr>
          <w:rFonts w:ascii="Times New Roman" w:hAnsi="Times New Roman"/>
          <w:i/>
          <w:sz w:val="24"/>
        </w:rPr>
        <w:t>[EQUATION: S_i = SI_{dealer,i,t} / max_j(SI_{dealer,j,t})]</w:t>
      </w:r>
      <w:r>
        <w:rPr>
          <w:rFonts w:ascii="Times New Roman" w:hAnsi="Times New Roman"/>
          <w:sz w:val="24"/>
        </w:rPr>
        <w:tab/>
        <w:tab/>
        <w:t>(8)</w:t>
      </w:r>
    </w:p>
    <w:p>
      <w:pPr>
        <w:spacing w:before="0" w:after="120" w:line="360" w:lineRule="exact"/>
        <w:jc w:val="both"/>
      </w:pPr>
      <w:r>
        <w:rPr>
          <w:rFonts w:ascii="Times New Roman" w:hAnsi="Times New Roman"/>
          <w:b w:val="0"/>
          <w:i w:val="0"/>
          <w:sz w:val="24"/>
        </w:rPr>
        <w:t>Target Proximity Score (H_i, weight = 0.20): Captures how close the dealer's cumulative remaining annual need is to the network average, incentivizing balanced allocation toward under-served dealers:</w:t>
      </w:r>
    </w:p>
    <w:p>
      <w:pPr>
        <w:spacing w:before="80" w:after="80"/>
        <w:jc w:val="center"/>
      </w:pPr>
      <w:r>
        <w:rPr>
          <w:rFonts w:ascii="Times New Roman" w:hAnsi="Times New Roman"/>
          <w:i/>
          <w:sz w:val="24"/>
        </w:rPr>
        <w:t>[EQUATION: H_i = 1 − |remaining_i − mean_remaining| / mean_remaining]</w:t>
      </w:r>
      <w:r>
        <w:rPr>
          <w:rFonts w:ascii="Times New Roman" w:hAnsi="Times New Roman"/>
          <w:sz w:val="24"/>
        </w:rPr>
        <w:tab/>
        <w:tab/>
        <w:t>(9)</w:t>
      </w:r>
    </w:p>
    <w:p>
      <w:pPr>
        <w:pStyle w:val="Heading2"/>
        <w:spacing w:before="200" w:after="80"/>
        <w:jc w:val="left"/>
      </w:pPr>
      <w:r>
        <w:rPr>
          <w:rFonts w:ascii="Times New Roman" w:hAnsi="Times New Roman"/>
          <w:b/>
          <w:sz w:val="28"/>
        </w:rPr>
        <w:t>3.5 Mathematical Model</w:t>
      </w:r>
    </w:p>
    <w:p>
      <w:pPr>
        <w:pStyle w:val="Heading3"/>
        <w:spacing w:before="160" w:after="80"/>
        <w:jc w:val="left"/>
      </w:pPr>
      <w:r>
        <w:rPr>
          <w:rFonts w:ascii="Times New Roman" w:hAnsi="Times New Roman"/>
          <w:b/>
          <w:sz w:val="24"/>
        </w:rPr>
        <w:t>3.5.1 Sets, Parameters, and Decision Variables</w:t>
      </w:r>
    </w:p>
    <w:p>
      <w:pPr>
        <w:spacing w:before="0" w:after="120" w:line="360" w:lineRule="exact"/>
        <w:jc w:val="both"/>
      </w:pPr>
      <w:r>
        <w:rPr>
          <w:rFonts w:ascii="Times New Roman" w:hAnsi="Times New Roman"/>
          <w:b w:val="0"/>
          <w:i w:val="0"/>
          <w:sz w:val="24"/>
        </w:rPr>
        <w:t>Table 5 defines the notation used in the MILP formulation. The model allocates vehicles across dealers, model versions, and months simultaneously.</w:t>
      </w:r>
    </w:p>
    <w:p>
      <w:pPr>
        <w:spacing w:before="200" w:after="40"/>
        <w:jc w:val="center"/>
      </w:pPr>
      <w:r>
        <w:rPr>
          <w:rFonts w:ascii="Times New Roman" w:hAnsi="Times New Roman"/>
          <w:b/>
          <w:sz w:val="22"/>
        </w:rPr>
        <w:t>Table 5. Sets, Parameters, and Decision Variables</w:t>
      </w:r>
    </w:p>
    <w:tbl>
      <w:tblPr>
        <w:tblW w:type="auto" w:w="0"/>
        <w:jc w:val="center"/>
        <w:tblLook w:firstColumn="1" w:firstRow="1" w:lastColumn="0" w:lastRow="0" w:noHBand="0" w:noVBand="1" w:val="04A0"/>
      </w:tblPr>
      <w:tblGrid>
        <w:gridCol w:w="4703"/>
        <w:gridCol w:w="4703"/>
      </w:tblGrid>
      <w:tr>
        <w:tc>
          <w:tcPr>
            <w:tcW w:type="dxa" w:w="4703"/>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Symbol</w:t>
            </w:r>
          </w:p>
        </w:tc>
        <w:tc>
          <w:tcPr>
            <w:tcW w:type="dxa" w:w="4703"/>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Description</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i, I</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 index and set  (|I| = 28)</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j, J</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Model version index and set  (|J| = 4: A2, A3, B1, B2)</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t, T</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Month index and set  (|T| = 12: January–December 2026)</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x_{ijt}</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Decision variable: units of version j allocated to dealer i in month t  (integer ≥ 0)</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C_t</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Total vehicle inventory available in month t</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H_{it}</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Monthly target for dealer i in month t  (derived from annual target and SI)</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m_{jt}</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Total units of model version j to be distributed in month t</w:t>
            </w:r>
          </w:p>
        </w:tc>
      </w:tr>
      <w:tr>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CS_i</w:t>
            </w:r>
          </w:p>
        </w:tc>
        <w:tc>
          <w:tcPr>
            <w:tcW w:type="dxa" w:w="4703"/>
            <w:tcBorders>
              <w:top w:val="single" w:sz="4" w:color="000000"/>
              <w:left w:val="single" w:sz="4" w:color="000000"/>
              <w:bottom w:val="single" w:sz="4" w:color="000000"/>
              <w:right w:val="single" w:sz="4" w:color="000000"/>
            </w:tcBorders>
          </w:tcPr>
          <w:p>
            <w:pPr>
              <w:jc w:val="left"/>
            </w:pPr>
            <w:r>
              <w:rPr>
                <w:rFonts w:ascii="Times New Roman" w:hAnsi="Times New Roman"/>
                <w:sz w:val="20"/>
              </w:rPr>
              <w:t>Composite score of dealer i  (from Equation 5)</w:t>
            </w:r>
          </w:p>
        </w:tc>
      </w:tr>
    </w:tbl>
    <w:p>
      <w:pPr>
        <w:spacing w:before="0" w:after="160"/>
      </w:pPr>
    </w:p>
    <w:p>
      <w:pPr>
        <w:pStyle w:val="Heading3"/>
        <w:spacing w:before="160" w:after="80"/>
        <w:jc w:val="left"/>
      </w:pPr>
      <w:r>
        <w:rPr>
          <w:rFonts w:ascii="Times New Roman" w:hAnsi="Times New Roman"/>
          <w:b/>
          <w:sz w:val="24"/>
        </w:rPr>
        <w:t>3.5.2 Objective Function and Constraints</w:t>
      </w:r>
    </w:p>
    <w:p>
      <w:pPr>
        <w:spacing w:before="0" w:after="120" w:line="360" w:lineRule="exact"/>
        <w:jc w:val="both"/>
      </w:pPr>
      <w:r>
        <w:rPr>
          <w:rFonts w:ascii="Times New Roman" w:hAnsi="Times New Roman"/>
          <w:b w:val="0"/>
          <w:i w:val="0"/>
          <w:sz w:val="24"/>
        </w:rPr>
        <w:t>The objective is to maximize the total weighted allocation score across all dealers, model versions, and months:</w:t>
      </w:r>
    </w:p>
    <w:p>
      <w:pPr>
        <w:spacing w:before="80" w:after="80"/>
        <w:jc w:val="center"/>
      </w:pPr>
      <w:r>
        <w:rPr>
          <w:rFonts w:ascii="Times New Roman" w:hAnsi="Times New Roman"/>
          <w:i/>
          <w:sz w:val="24"/>
        </w:rPr>
        <w:t>[EQUATION: Maximize  Z = Σ_i Σ_j Σ_t  CS_i × x_{ijt}]</w:t>
      </w:r>
      <w:r>
        <w:rPr>
          <w:rFonts w:ascii="Times New Roman" w:hAnsi="Times New Roman"/>
          <w:sz w:val="24"/>
        </w:rPr>
        <w:tab/>
        <w:tab/>
        <w:t>(10)</w:t>
      </w:r>
    </w:p>
    <w:p>
      <w:pPr>
        <w:spacing w:before="0" w:after="120" w:line="360" w:lineRule="exact"/>
        <w:jc w:val="both"/>
      </w:pPr>
      <w:r>
        <w:rPr>
          <w:rFonts w:ascii="Times New Roman" w:hAnsi="Times New Roman"/>
          <w:b w:val="0"/>
          <w:i w:val="0"/>
          <w:sz w:val="24"/>
        </w:rPr>
        <w:t>Subject to the following constraints:</w:t>
      </w:r>
    </w:p>
    <w:p>
      <w:pPr>
        <w:spacing w:before="80" w:after="80"/>
        <w:jc w:val="center"/>
      </w:pPr>
      <w:r>
        <w:rPr>
          <w:rFonts w:ascii="Times New Roman" w:hAnsi="Times New Roman"/>
          <w:i/>
          <w:sz w:val="24"/>
        </w:rPr>
        <w:t>[EQUATION: Σ_i Σ_j x_{ijt} ≤ C_t     ∀ t ∈ T]</w:t>
      </w:r>
      <w:r>
        <w:rPr>
          <w:rFonts w:ascii="Times New Roman" w:hAnsi="Times New Roman"/>
          <w:sz w:val="24"/>
        </w:rPr>
        <w:tab/>
        <w:tab/>
        <w:t>(11)</w:t>
      </w:r>
    </w:p>
    <w:p>
      <w:pPr>
        <w:spacing w:before="0" w:after="120" w:line="360" w:lineRule="exact"/>
        <w:jc w:val="both"/>
      </w:pPr>
      <w:r>
        <w:rPr>
          <w:rFonts w:ascii="Times New Roman" w:hAnsi="Times New Roman"/>
          <w:b w:val="0"/>
          <w:i/>
          <w:sz w:val="24"/>
        </w:rPr>
        <w:t>Constraint (11) ensures that total allocations in each month do not exceed the available vehicle inventory.</w:t>
      </w:r>
    </w:p>
    <w:p>
      <w:pPr>
        <w:spacing w:before="80" w:after="80"/>
        <w:jc w:val="center"/>
      </w:pPr>
      <w:r>
        <w:rPr>
          <w:rFonts w:ascii="Times New Roman" w:hAnsi="Times New Roman"/>
          <w:i/>
          <w:sz w:val="24"/>
        </w:rPr>
        <w:t>[EQUATION: 0.80 × H_{it} ≤ Σ_j x_{ijt} ≤ 1.20 × H_{it}     ∀ i ∈ I, t ∈ T]</w:t>
      </w:r>
      <w:r>
        <w:rPr>
          <w:rFonts w:ascii="Times New Roman" w:hAnsi="Times New Roman"/>
          <w:sz w:val="24"/>
        </w:rPr>
        <w:tab/>
        <w:tab/>
        <w:t>(12)</w:t>
      </w:r>
    </w:p>
    <w:p>
      <w:pPr>
        <w:spacing w:before="0" w:after="120" w:line="360" w:lineRule="exact"/>
        <w:jc w:val="both"/>
      </w:pPr>
      <w:r>
        <w:rPr>
          <w:rFonts w:ascii="Times New Roman" w:hAnsi="Times New Roman"/>
          <w:b w:val="0"/>
          <w:i/>
          <w:sz w:val="24"/>
        </w:rPr>
        <w:t>Constraint (12) enforces the distributor's ±20% tolerance band around each dealer's monthly target, preventing extreme over- or under-allocation.</w:t>
      </w:r>
    </w:p>
    <w:p>
      <w:pPr>
        <w:spacing w:before="80" w:after="80"/>
        <w:jc w:val="center"/>
      </w:pPr>
      <w:r>
        <w:rPr>
          <w:rFonts w:ascii="Times New Roman" w:hAnsi="Times New Roman"/>
          <w:i/>
          <w:sz w:val="24"/>
        </w:rPr>
        <w:t>[EQUATION: Σ_i x_{ijt} = m_{jt}     ∀ j ∈ J, t ∈ T]</w:t>
      </w:r>
      <w:r>
        <w:rPr>
          <w:rFonts w:ascii="Times New Roman" w:hAnsi="Times New Roman"/>
          <w:sz w:val="24"/>
        </w:rPr>
        <w:tab/>
        <w:tab/>
        <w:t>(13)</w:t>
      </w:r>
    </w:p>
    <w:p>
      <w:pPr>
        <w:spacing w:before="0" w:after="120" w:line="360" w:lineRule="exact"/>
        <w:jc w:val="both"/>
      </w:pPr>
      <w:r>
        <w:rPr>
          <w:rFonts w:ascii="Times New Roman" w:hAnsi="Times New Roman"/>
          <w:b w:val="0"/>
          <w:i/>
          <w:sz w:val="24"/>
        </w:rPr>
        <w:t>Constraint (13) ensures that the planned model-version total for each month is fully distributed across dealers.</w:t>
      </w:r>
    </w:p>
    <w:p>
      <w:pPr>
        <w:spacing w:before="80" w:after="80"/>
        <w:jc w:val="center"/>
      </w:pPr>
      <w:r>
        <w:rPr>
          <w:rFonts w:ascii="Times New Roman" w:hAnsi="Times New Roman"/>
          <w:i/>
          <w:sz w:val="24"/>
        </w:rPr>
        <w:t>[EQUATION: x_{ijt} ∈ Z+     ∀ i ∈ I, j ∈ J, t ∈ T]</w:t>
      </w:r>
      <w:r>
        <w:rPr>
          <w:rFonts w:ascii="Times New Roman" w:hAnsi="Times New Roman"/>
          <w:sz w:val="24"/>
        </w:rPr>
        <w:tab/>
        <w:tab/>
        <w:t>(14)</w:t>
      </w:r>
    </w:p>
    <w:p>
      <w:pPr>
        <w:spacing w:before="0" w:after="120" w:line="360" w:lineRule="exact"/>
        <w:jc w:val="both"/>
      </w:pPr>
      <w:r>
        <w:rPr>
          <w:rFonts w:ascii="Times New Roman" w:hAnsi="Times New Roman"/>
          <w:b w:val="0"/>
          <w:i/>
          <w:sz w:val="24"/>
        </w:rPr>
        <w:t>Constraint (14) enforces the integrality requirement: allocations must be non-negative integers.</w:t>
      </w:r>
    </w:p>
    <w:p>
      <w:pPr>
        <w:pStyle w:val="Heading3"/>
        <w:spacing w:before="160" w:after="80"/>
        <w:jc w:val="left"/>
      </w:pPr>
      <w:r>
        <w:rPr>
          <w:rFonts w:ascii="Times New Roman" w:hAnsi="Times New Roman"/>
          <w:b/>
          <w:sz w:val="24"/>
        </w:rPr>
        <w:t>3.5.3 New Dealer Initialization</w:t>
      </w:r>
    </w:p>
    <w:p>
      <w:pPr>
        <w:spacing w:before="0" w:after="120" w:line="360" w:lineRule="exact"/>
        <w:jc w:val="both"/>
      </w:pPr>
      <w:r>
        <w:rPr>
          <w:rFonts w:ascii="Times New Roman" w:hAnsi="Times New Roman"/>
          <w:b w:val="0"/>
          <w:i w:val="0"/>
          <w:sz w:val="24"/>
        </w:rPr>
        <w:t>Six dealers (Dealers 23–28) joined the network without historical sales data. For these dealers, model-version allocation shares are initialized at 60% of the average share of existing dealers in the same tier—a conservative first-year estimate. All shares are then re-normalized to sum to one across all dealers for each model version. This approach ensures new dealers receive a meaningful but restrained allocation while existing dealer shares are proportionally adjusted.</w:t>
      </w:r>
    </w:p>
    <w:p>
      <w:pPr>
        <w:spacing w:before="0" w:after="0"/>
      </w:pPr>
      <w:r>
        <w:br w:type="page"/>
      </w:r>
    </w:p>
    <w:p>
      <w:pPr>
        <w:pStyle w:val="Heading1"/>
        <w:spacing w:before="240" w:after="120"/>
        <w:jc w:val="left"/>
      </w:pPr>
      <w:r>
        <w:rPr>
          <w:rFonts w:ascii="Times New Roman" w:hAnsi="Times New Roman"/>
          <w:b/>
          <w:sz w:val="40"/>
        </w:rPr>
        <w:t>RESULTS AND ANALYSES</w:t>
      </w:r>
    </w:p>
    <w:p>
      <w:pPr>
        <w:pStyle w:val="Heading2"/>
        <w:spacing w:before="200" w:after="80"/>
        <w:jc w:val="left"/>
      </w:pPr>
      <w:r>
        <w:rPr>
          <w:rFonts w:ascii="Times New Roman" w:hAnsi="Times New Roman"/>
          <w:b/>
          <w:sz w:val="28"/>
        </w:rPr>
        <w:t>4.1 Forecast Validation — December 2025</w:t>
      </w:r>
    </w:p>
    <w:p>
      <w:pPr>
        <w:spacing w:before="0" w:after="120" w:line="360" w:lineRule="exact"/>
        <w:jc w:val="both"/>
      </w:pPr>
      <w:r>
        <w:rPr>
          <w:rFonts w:ascii="Times New Roman" w:hAnsi="Times New Roman"/>
          <w:b w:val="0"/>
          <w:i w:val="0"/>
          <w:sz w:val="24"/>
        </w:rPr>
        <w:t>The forecasting module was validated against December 2025 actual sales data, which were not used in model fitting. The aggregate forecast of 460 vehicles compares to an actual of 499 vehicles, yielding a Mean Absolute Percentage Error (MAPE) of 7.82% and a Mean Absolute Error (MAE) of 39 vehicles. Table 6 disaggregates accuracy by tier.</w:t>
      </w:r>
    </w:p>
    <w:p>
      <w:pPr>
        <w:spacing w:before="200" w:after="40"/>
        <w:jc w:val="center"/>
      </w:pPr>
      <w:r>
        <w:rPr>
          <w:rFonts w:ascii="Times New Roman" w:hAnsi="Times New Roman"/>
          <w:b/>
          <w:sz w:val="22"/>
        </w:rPr>
        <w:t>Table 6. December 2025 Forecast Validation by Tier</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Tier</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Regions</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Forecast</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Actual</w:t>
            </w:r>
          </w:p>
        </w:tc>
        <w:tc>
          <w:tcPr>
            <w:tcW w:type="dxa" w:w="188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MAPE (%)</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A</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Marmara, Aegean, Central Anatolia</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374</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405</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7.65</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B</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Mediterranean</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70</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75</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6.67</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C</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Southeast Anatolia, Black Sea</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16</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19</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15.79</w:t>
            </w:r>
          </w:p>
        </w:tc>
      </w:tr>
      <w:tr>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Total</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All regions</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460</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499</w:t>
            </w:r>
          </w:p>
        </w:tc>
        <w:tc>
          <w:tcPr>
            <w:tcW w:type="dxa" w:w="1881"/>
            <w:tcBorders>
              <w:top w:val="single" w:sz="4" w:color="000000"/>
              <w:left w:val="single" w:sz="4" w:color="000000"/>
              <w:bottom w:val="single" w:sz="4" w:color="000000"/>
              <w:right w:val="single" w:sz="4" w:color="000000"/>
            </w:tcBorders>
          </w:tcPr>
          <w:p>
            <w:pPr>
              <w:jc w:val="left"/>
            </w:pPr>
            <w:r>
              <w:rPr>
                <w:rFonts w:ascii="Times New Roman" w:hAnsi="Times New Roman"/>
                <w:sz w:val="20"/>
              </w:rPr>
              <w:t>7.82</w:t>
            </w:r>
          </w:p>
        </w:tc>
      </w:tr>
    </w:tbl>
    <w:p>
      <w:pPr>
        <w:spacing w:before="0" w:after="160"/>
      </w:pPr>
    </w:p>
    <w:p>
      <w:pPr>
        <w:spacing w:before="0" w:after="120" w:line="360" w:lineRule="exact"/>
        <w:jc w:val="both"/>
      </w:pPr>
      <w:r>
        <w:rPr>
          <w:rFonts w:ascii="Times New Roman" w:hAnsi="Times New Roman"/>
          <w:b w:val="0"/>
          <w:i w:val="0"/>
          <w:sz w:val="24"/>
        </w:rPr>
        <w:t>Tier A achieves the best accuracy (7.65%), benefiting from a dense historical dataset across 21 dealers. Tier B performs comparably (6.67%). Tier C shows higher error (15.79%), attributable to its small sample size (3 dealers) and greater demand volatility in peripheral regions. An aggregate MAPE below 8% is considered acceptable for monthly automotive demand forecasting (Makridakis et al., 2018).</w:t>
      </w:r>
    </w:p>
    <w:p>
      <w:pPr>
        <w:pStyle w:val="Heading2"/>
        <w:spacing w:before="200" w:after="80"/>
        <w:jc w:val="left"/>
      </w:pPr>
      <w:r>
        <w:rPr>
          <w:rFonts w:ascii="Times New Roman" w:hAnsi="Times New Roman"/>
          <w:b/>
          <w:sz w:val="28"/>
        </w:rPr>
        <w:t>4.2 2026 Annual Plan — Monthly Distribution</w:t>
      </w:r>
    </w:p>
    <w:p>
      <w:pPr>
        <w:spacing w:before="0" w:after="120" w:line="360" w:lineRule="exact"/>
        <w:jc w:val="both"/>
      </w:pPr>
      <w:r>
        <w:rPr>
          <w:rFonts w:ascii="Times New Roman" w:hAnsi="Times New Roman"/>
          <w:b w:val="0"/>
          <w:i w:val="0"/>
          <w:sz w:val="24"/>
        </w:rPr>
        <w:t>Two annual capacity scenarios were evaluated: 8,500 vehicles (conservative, consistent with 2024–2025 growth trend) and 10,000 vehicles (aggressive, incorporating the B1 launch demand uplift, representing +17.6% growth). Table 7 presents the monthly allocation for the 8,500-vehicle scenario.</w:t>
      </w:r>
    </w:p>
    <w:p>
      <w:pPr>
        <w:spacing w:before="200" w:after="40"/>
        <w:jc w:val="center"/>
      </w:pPr>
      <w:r>
        <w:rPr>
          <w:rFonts w:ascii="Times New Roman" w:hAnsi="Times New Roman"/>
          <w:b/>
          <w:sz w:val="22"/>
        </w:rPr>
        <w:t>Table 7. 2026 Monthly Allocation Plan — 8,500-Vehicle Scenario</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Month</w:t>
            </w:r>
          </w:p>
        </w:tc>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Target (vehicles)</w:t>
            </w:r>
          </w:p>
        </w:tc>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Seasonal Index</w:t>
            </w:r>
          </w:p>
        </w:tc>
        <w:tc>
          <w:tcPr>
            <w:tcW w:type="dxa" w:w="2351"/>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Launch Boost</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January</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413</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0.659</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February</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555</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0.886</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March</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744</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1.033</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 (B1 launch)</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April</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601</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0.835</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May</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693</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0.961</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June</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772</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1.072</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July</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675</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0.936</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August</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638</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0.885</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September</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664</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0.921</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October</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718</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0.996</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November</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864</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1.199</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December</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1,163</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1.616</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×1.15</w:t>
            </w:r>
          </w:p>
        </w:tc>
      </w:tr>
      <w:tr>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TOTAL</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8,500</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w:t>
            </w:r>
          </w:p>
        </w:tc>
        <w:tc>
          <w:tcPr>
            <w:tcW w:type="dxa" w:w="2351"/>
            <w:tcBorders>
              <w:top w:val="single" w:sz="4" w:color="000000"/>
              <w:left w:val="single" w:sz="4" w:color="000000"/>
              <w:bottom w:val="single" w:sz="4" w:color="000000"/>
              <w:right w:val="single" w:sz="4" w:color="000000"/>
            </w:tcBorders>
          </w:tcPr>
          <w:p>
            <w:pPr>
              <w:jc w:val="left"/>
            </w:pPr>
            <w:r>
              <w:rPr>
                <w:rFonts w:ascii="Times New Roman" w:hAnsi="Times New Roman"/>
                <w:sz w:val="20"/>
              </w:rPr>
              <w:t>—</w:t>
            </w:r>
          </w:p>
        </w:tc>
      </w:tr>
    </w:tbl>
    <w:p>
      <w:pPr>
        <w:spacing w:before="0" w:after="160"/>
      </w:pPr>
    </w:p>
    <w:p>
      <w:pPr>
        <w:pStyle w:val="Heading2"/>
        <w:spacing w:before="200" w:after="80"/>
        <w:jc w:val="left"/>
      </w:pPr>
      <w:r>
        <w:rPr>
          <w:rFonts w:ascii="Times New Roman" w:hAnsi="Times New Roman"/>
          <w:b/>
          <w:sz w:val="28"/>
        </w:rPr>
        <w:t>4.3 Model Version Mix</w:t>
      </w:r>
    </w:p>
    <w:p>
      <w:pPr>
        <w:spacing w:before="0" w:after="120" w:line="360" w:lineRule="exact"/>
        <w:jc w:val="both"/>
      </w:pPr>
      <w:r>
        <w:rPr>
          <w:rFonts w:ascii="Times New Roman" w:hAnsi="Times New Roman"/>
          <w:b w:val="0"/>
          <w:i w:val="0"/>
          <w:sz w:val="24"/>
        </w:rPr>
        <w:t>Table 8 shows the model version distribution for selected months in the 8,500-vehicle scenario. January reflects the baseline historical mix (A3 dominant at 43.2%), while March demonstrates the full effect of the B segment graduated boost (B1 rises to 61.1%). The second half of the year shows a gradual normalization as the graduated boost factors taper toward 1.05 in December.</w:t>
      </w:r>
    </w:p>
    <w:p>
      <w:pPr>
        <w:spacing w:before="200" w:after="40"/>
        <w:jc w:val="center"/>
      </w:pPr>
      <w:r>
        <w:rPr>
          <w:rFonts w:ascii="Times New Roman" w:hAnsi="Times New Roman"/>
          <w:b/>
          <w:sz w:val="22"/>
        </w:rPr>
        <w:t>Table 8. Model Version Mix for Selected Months — 8,500-Vehicle Scenario</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Month</w:t>
            </w:r>
          </w:p>
        </w:tc>
        <w:tc>
          <w:tcPr>
            <w:tcW w:type="dxa" w:w="1568"/>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A2</w:t>
            </w:r>
          </w:p>
        </w:tc>
        <w:tc>
          <w:tcPr>
            <w:tcW w:type="dxa" w:w="1568"/>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A3</w:t>
            </w:r>
          </w:p>
        </w:tc>
        <w:tc>
          <w:tcPr>
            <w:tcW w:type="dxa" w:w="1568"/>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B1</w:t>
            </w:r>
          </w:p>
        </w:tc>
        <w:tc>
          <w:tcPr>
            <w:tcW w:type="dxa" w:w="1568"/>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B2 / Other</w:t>
            </w:r>
          </w:p>
        </w:tc>
        <w:tc>
          <w:tcPr>
            <w:tcW w:type="dxa" w:w="1568"/>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Total</w:t>
            </w:r>
          </w:p>
        </w:tc>
      </w:tr>
      <w:tr>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January</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30.5%</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43.2%</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25.0%</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1.3%</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413</w:t>
            </w:r>
          </w:p>
        </w:tc>
      </w:tr>
      <w:tr>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February</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13.6%</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27.6%</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28.5%</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30.3%</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555</w:t>
            </w:r>
          </w:p>
        </w:tc>
      </w:tr>
      <w:tr>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March</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13.0%</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21.1%</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61.1%</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4.8%</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744</w:t>
            </w:r>
          </w:p>
        </w:tc>
      </w:tr>
      <w:tr>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June</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31.3%</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31.3%</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27.7%</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9.7%</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772</w:t>
            </w:r>
          </w:p>
        </w:tc>
      </w:tr>
      <w:tr>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December</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63.4%</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16.1%</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13.3%</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7.2%</w:t>
            </w:r>
          </w:p>
        </w:tc>
        <w:tc>
          <w:tcPr>
            <w:tcW w:type="dxa" w:w="1568"/>
            <w:tcBorders>
              <w:top w:val="single" w:sz="4" w:color="000000"/>
              <w:left w:val="single" w:sz="4" w:color="000000"/>
              <w:bottom w:val="single" w:sz="4" w:color="000000"/>
              <w:right w:val="single" w:sz="4" w:color="000000"/>
            </w:tcBorders>
          </w:tcPr>
          <w:p>
            <w:pPr>
              <w:jc w:val="left"/>
            </w:pPr>
            <w:r>
              <w:rPr>
                <w:rFonts w:ascii="Times New Roman" w:hAnsi="Times New Roman"/>
                <w:sz w:val="20"/>
              </w:rPr>
              <w:t>1,163</w:t>
            </w:r>
          </w:p>
        </w:tc>
      </w:tr>
    </w:tbl>
    <w:p>
      <w:pPr>
        <w:spacing w:before="0" w:after="160"/>
      </w:pPr>
    </w:p>
    <w:p>
      <w:pPr>
        <w:spacing w:before="0" w:after="120" w:line="360" w:lineRule="exact"/>
        <w:jc w:val="both"/>
      </w:pPr>
      <w:r>
        <w:rPr>
          <w:rFonts w:ascii="Times New Roman" w:hAnsi="Times New Roman"/>
          <w:b w:val="0"/>
          <w:i w:val="0"/>
          <w:sz w:val="24"/>
        </w:rPr>
        <w:t>The March distribution confirms that the B segment boost mechanism functions as intended: B1 captures the majority of March volume (61.1%), consistent with the historical pattern observed in 2024 (B segment March share: 55.7%). December's A2-dominant mix (63.4%) reflects the strong A-segment year-end buying pattern embedded in the historical seasonal index.</w:t>
      </w:r>
    </w:p>
    <w:p>
      <w:pPr>
        <w:pStyle w:val="Heading2"/>
        <w:spacing w:before="200" w:after="80"/>
        <w:jc w:val="left"/>
      </w:pPr>
      <w:r>
        <w:rPr>
          <w:rFonts w:ascii="Times New Roman" w:hAnsi="Times New Roman"/>
          <w:b/>
          <w:sz w:val="28"/>
        </w:rPr>
        <w:t>4.4 Dealer-Level Monthly Model Targets</w:t>
      </w:r>
    </w:p>
    <w:p>
      <w:pPr>
        <w:spacing w:before="0" w:after="120" w:line="360" w:lineRule="exact"/>
        <w:jc w:val="both"/>
      </w:pPr>
      <w:r>
        <w:rPr>
          <w:rFonts w:ascii="Times New Roman" w:hAnsi="Times New Roman"/>
          <w:b w:val="0"/>
          <w:i w:val="0"/>
          <w:sz w:val="24"/>
        </w:rPr>
        <w:t>The MILP allocation produces a 28 × 12 × 4 target matrix for each scenario. Table 9 presents an illustrative extract showing annual totals by model version for a sample of six dealers.</w:t>
      </w:r>
    </w:p>
    <w:p>
      <w:pPr>
        <w:spacing w:before="200" w:after="40"/>
        <w:jc w:val="center"/>
      </w:pPr>
      <w:r>
        <w:rPr>
          <w:rFonts w:ascii="Times New Roman" w:hAnsi="Times New Roman"/>
          <w:b/>
          <w:sz w:val="22"/>
        </w:rPr>
        <w:t>Table 9. Illustrative Annual Dealer Targets by Model Version — 8,500-Vehicle Scenario</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Dealer</w:t>
            </w:r>
          </w:p>
        </w:tc>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Tier</w:t>
            </w:r>
          </w:p>
        </w:tc>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New</w:t>
            </w:r>
          </w:p>
        </w:tc>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A2</w:t>
            </w:r>
          </w:p>
        </w:tc>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A3</w:t>
            </w:r>
          </w:p>
        </w:tc>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B1</w:t>
            </w:r>
          </w:p>
        </w:tc>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B2</w:t>
            </w:r>
          </w:p>
        </w:tc>
        <w:tc>
          <w:tcPr>
            <w:tcW w:type="dxa" w:w="1176"/>
            <w:tcBorders>
              <w:top w:val="single" w:sz="4" w:color="000000"/>
              <w:left w:val="single" w:sz="4" w:color="000000"/>
              <w:bottom w:val="single" w:sz="4" w:color="000000"/>
              <w:right w:val="single" w:sz="4" w:color="000000"/>
            </w:tcBorders>
            <w:vAlign w:val="center"/>
          </w:tcPr>
          <w:p>
            <w:pPr>
              <w:jc w:val="center"/>
            </w:pPr>
            <w:r>
              <w:rPr>
                <w:rFonts w:ascii="Times New Roman" w:hAnsi="Times New Roman"/>
                <w:b/>
                <w:sz w:val="20"/>
              </w:rPr>
              <w:t>Annual Total</w:t>
            </w:r>
          </w:p>
        </w:tc>
      </w:tr>
      <w:tr>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 1</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A</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No</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210</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302</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185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18</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715</w:t>
            </w:r>
          </w:p>
        </w:tc>
      </w:tr>
      <w:tr>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 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A</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No</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195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278</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165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12</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650</w:t>
            </w:r>
          </w:p>
        </w:tc>
      </w:tr>
      <w:tr>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 12</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A</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No</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180</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255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148</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10</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593</w:t>
            </w:r>
          </w:p>
        </w:tc>
      </w:tr>
      <w:tr>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 23</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A</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Yes</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88</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126</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77</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296</w:t>
            </w:r>
          </w:p>
        </w:tc>
      </w:tr>
      <w:tr>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 25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C</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Yes</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32</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45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28</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2</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107</w:t>
            </w:r>
          </w:p>
        </w:tc>
      </w:tr>
      <w:tr>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Dealer 28</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A</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Yes</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95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135</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82</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6</w:t>
            </w:r>
          </w:p>
        </w:tc>
        <w:tc>
          <w:tcPr>
            <w:tcW w:type="dxa" w:w="1176"/>
            <w:tcBorders>
              <w:top w:val="single" w:sz="4" w:color="000000"/>
              <w:left w:val="single" w:sz="4" w:color="000000"/>
              <w:bottom w:val="single" w:sz="4" w:color="000000"/>
              <w:right w:val="single" w:sz="4" w:color="000000"/>
            </w:tcBorders>
          </w:tcPr>
          <w:p>
            <w:pPr>
              <w:jc w:val="left"/>
            </w:pPr>
            <w:r>
              <w:rPr>
                <w:rFonts w:ascii="Times New Roman" w:hAnsi="Times New Roman"/>
                <w:sz w:val="20"/>
              </w:rPr>
              <w:t>318</w:t>
            </w:r>
          </w:p>
        </w:tc>
      </w:tr>
    </w:tbl>
    <w:p>
      <w:pPr>
        <w:spacing w:before="0" w:after="160"/>
      </w:pPr>
    </w:p>
    <w:p>
      <w:pPr>
        <w:spacing w:before="0" w:after="120" w:line="360" w:lineRule="exact"/>
        <w:jc w:val="both"/>
      </w:pPr>
      <w:r>
        <w:rPr>
          <w:rFonts w:ascii="Times New Roman" w:hAnsi="Times New Roman"/>
          <w:b w:val="0"/>
          <w:i w:val="0"/>
          <w:sz w:val="24"/>
        </w:rPr>
        <w:t>New dealers (marked 'Yes') receive materially lower initial targets compared to established Tier A dealers, reflecting the 60% tier-average initialization rule. These targets are expected to converge toward full-network averages as historical data accumulates over the first operating year.</w:t>
      </w:r>
    </w:p>
    <w:p>
      <w:pPr>
        <w:spacing w:before="0" w:after="0"/>
      </w:pPr>
      <w:r>
        <w:br w:type="page"/>
      </w:r>
    </w:p>
    <w:p>
      <w:pPr>
        <w:pStyle w:val="Heading1"/>
        <w:spacing w:before="240" w:after="120"/>
        <w:jc w:val="left"/>
      </w:pPr>
      <w:r>
        <w:rPr>
          <w:rFonts w:ascii="Times New Roman" w:hAnsi="Times New Roman"/>
          <w:b/>
          <w:sz w:val="40"/>
        </w:rPr>
        <w:t>CONCLUSION</w:t>
      </w:r>
    </w:p>
    <w:p>
      <w:pPr>
        <w:spacing w:before="0" w:after="120" w:line="360" w:lineRule="exact"/>
        <w:jc w:val="both"/>
      </w:pPr>
      <w:r>
        <w:rPr>
          <w:rFonts w:ascii="Times New Roman" w:hAnsi="Times New Roman"/>
          <w:b w:val="0"/>
          <w:i w:val="0"/>
          <w:sz w:val="24"/>
        </w:rPr>
        <w:t>This study presented a three-module decision support system for monthly vehicle allocation in a 28-dealer automotive network. The system combines Seasonal Index-based demand forecasting, multi-criteria dealer scoring (MCDM), and Mixed Integer Linear Programming (MILP) to produce a fully automated, data-driven allocation plan for each calendar year.</w:t>
      </w:r>
    </w:p>
    <w:p>
      <w:pPr>
        <w:spacing w:before="0" w:after="120" w:line="360" w:lineRule="exact"/>
        <w:jc w:val="both"/>
      </w:pPr>
      <w:r>
        <w:rPr>
          <w:rFonts w:ascii="Times New Roman" w:hAnsi="Times New Roman"/>
          <w:b w:val="0"/>
          <w:i w:val="0"/>
          <w:sz w:val="24"/>
        </w:rPr>
        <w:t>The key results are as follows. Forecast validation against December 2025 actuals yielded an aggregate MAPE of 7.82%, with Tier A and Tier B both below 8%—a performance level considered acceptable for monthly automotive demand forecasting. The 2026 annual plan was generated for two capacity scenarios (8,500 and 10,000 vehicles), with monthly targets derived from blended tier-global Seasonal Indices. The March 2026 B-segment launch was modeled using a statistically grounded SI boost of 1.15, derived from the B segment's historical March Seasonal Index values (2.494 in 2024; 1.568 in 2025) and an expected pay restoration of +11.2 percentage points. Finally, a 28 × 12 × 4 target matrix was produced for each scenario, integrating model-version mix dynamics and new-dealer initialization logic.</w:t>
      </w:r>
    </w:p>
    <w:p>
      <w:pPr>
        <w:pStyle w:val="Heading2"/>
        <w:spacing w:before="200" w:after="80"/>
        <w:jc w:val="left"/>
      </w:pPr>
      <w:r>
        <w:rPr>
          <w:rFonts w:ascii="Times New Roman" w:hAnsi="Times New Roman"/>
          <w:b/>
          <w:sz w:val="28"/>
        </w:rPr>
        <w:t>5.1 Academic and Practical Contributions</w:t>
      </w:r>
    </w:p>
    <w:p>
      <w:pPr>
        <w:spacing w:before="0" w:after="120" w:line="360" w:lineRule="exact"/>
        <w:jc w:val="both"/>
      </w:pPr>
      <w:r>
        <w:rPr>
          <w:rFonts w:ascii="Times New Roman" w:hAnsi="Times New Roman"/>
          <w:b w:val="0"/>
          <w:i w:val="0"/>
          <w:sz w:val="24"/>
        </w:rPr>
        <w:t>From an academic perspective, this study contributes an integrated framework that couples hierarchical time-series forecasting, collaborative filtering-based MCDM, and MILP within a single operational system—a combination not previously applied to automotive dealer allocation in the Turkish context. The statistically grounded launch-boost methodology offers a replicable template for modeling new-product introduction effects in seasonal allocation problems.</w:t>
      </w:r>
    </w:p>
    <w:p>
      <w:pPr>
        <w:spacing w:before="0" w:after="120" w:line="360" w:lineRule="exact"/>
        <w:jc w:val="both"/>
      </w:pPr>
      <w:r>
        <w:rPr>
          <w:rFonts w:ascii="Times New Roman" w:hAnsi="Times New Roman"/>
          <w:b w:val="0"/>
          <w:i w:val="0"/>
          <w:sz w:val="24"/>
        </w:rPr>
        <w:t>From a practical standpoint, the system eliminates the need for manual, experience-based allocation decisions, ensures policy compliance (±20% target bounds), and provides transparent, auditable allocation rationales for each dealer—addressing a key requirement of distribu- tor governance.</w:t>
      </w:r>
    </w:p>
    <w:p>
      <w:pPr>
        <w:pStyle w:val="Heading2"/>
        <w:spacing w:before="200" w:after="80"/>
        <w:jc w:val="left"/>
      </w:pPr>
      <w:r>
        <w:rPr>
          <w:rFonts w:ascii="Times New Roman" w:hAnsi="Times New Roman"/>
          <w:b/>
          <w:sz w:val="28"/>
        </w:rPr>
        <w:t>5.2 Limitations</w:t>
      </w:r>
    </w:p>
    <w:p>
      <w:pPr>
        <w:pStyle w:val="ListBullet"/>
        <w:spacing w:line="360" w:lineRule="exact"/>
      </w:pPr>
      <w:r>
        <w:rPr>
          <w:rFonts w:ascii="Times New Roman" w:hAnsi="Times New Roman"/>
        </w:rPr>
        <w:t>The model relies on two years of historical data. Tier C forecasts (MAPE 15.79%) show higher uncertainty due to sparse dealer-level records.</w:t>
      </w:r>
    </w:p>
    <w:p>
      <w:pPr>
        <w:pStyle w:val="ListBullet"/>
        <w:spacing w:line="360" w:lineRule="exact"/>
      </w:pPr>
      <w:r>
        <w:rPr>
          <w:rFonts w:ascii="Times New Roman" w:hAnsi="Times New Roman"/>
        </w:rPr>
        <w:t>Vehicle color and engine variant preferences are not incorporated into the MILP; these are treated as post-allocation soft constraints.</w:t>
      </w:r>
    </w:p>
    <w:p>
      <w:pPr>
        <w:pStyle w:val="ListBullet"/>
        <w:spacing w:line="360" w:lineRule="exact"/>
      </w:pPr>
      <w:r>
        <w:rPr>
          <w:rFonts w:ascii="Times New Roman" w:hAnsi="Times New Roman"/>
        </w:rPr>
        <w:t>The B1 launch boost is derived from a single seasonal reference point (the B segment's own March SI pattern); a larger panel of comparable launch events would strengthen the estimate.</w:t>
      </w:r>
    </w:p>
    <w:p>
      <w:pPr>
        <w:pStyle w:val="ListBullet"/>
        <w:spacing w:line="360" w:lineRule="exact"/>
      </w:pPr>
      <w:r>
        <w:rPr>
          <w:rFonts w:ascii="Times New Roman" w:hAnsi="Times New Roman"/>
        </w:rPr>
        <w:t>New dealers (23–28) are initialized with heuristic tier-average shares; actual first-year demand may deviate substantially.</w:t>
      </w:r>
    </w:p>
    <w:p>
      <w:pPr>
        <w:pStyle w:val="Heading2"/>
        <w:spacing w:before="200" w:after="80"/>
        <w:jc w:val="left"/>
      </w:pPr>
      <w:r>
        <w:rPr>
          <w:rFonts w:ascii="Times New Roman" w:hAnsi="Times New Roman"/>
          <w:b/>
          <w:sz w:val="28"/>
        </w:rPr>
        <w:t>5.3 Future Work</w:t>
      </w:r>
    </w:p>
    <w:p>
      <w:pPr>
        <w:spacing w:before="0" w:after="120" w:line="360" w:lineRule="exact"/>
        <w:jc w:val="both"/>
      </w:pPr>
      <w:r>
        <w:rPr>
          <w:rFonts w:ascii="Times New Roman" w:hAnsi="Times New Roman"/>
          <w:b w:val="0"/>
          <w:i w:val="0"/>
          <w:sz w:val="24"/>
        </w:rPr>
        <w:t>Several extensions are proposed for future research. First, integrating real-time sales data via an API connection to the distributor's ERP system would enable monthly model re-estimation and in-year plan revision. Second, incorporating vehicle color and variant preferences as hard constraints or penalty terms within the MILP would improve assortment satisfaction. Third, replacing the ratio-to-mean SI with a Prophet-based hierarchical forecasting model (Taylor and Letham, 2018) may improve accuracy for Tier C dealers by leveraging trend and holiday regressors. Finally, applying the framework to additional product segments (e.g., electric vehicles) would test its generalizability across different demand structures.</w:t>
      </w:r>
    </w:p>
    <w:p>
      <w:pPr>
        <w:spacing w:before="0" w:after="0"/>
      </w:pPr>
      <w:r>
        <w:br w:type="page"/>
      </w:r>
    </w:p>
    <w:p>
      <w:pPr>
        <w:pStyle w:val="Heading1"/>
        <w:spacing w:before="240" w:after="120"/>
        <w:jc w:val="left"/>
      </w:pPr>
      <w:r>
        <w:rPr>
          <w:rFonts w:ascii="Times New Roman" w:hAnsi="Times New Roman"/>
          <w:b/>
          <w:sz w:val="40"/>
        </w:rPr>
        <w:t>REFERENCES</w:t>
      </w:r>
    </w:p>
    <w:p>
      <w:pPr>
        <w:spacing w:after="120" w:line="360" w:lineRule="exact"/>
        <w:ind w:left="709" w:hanging="709"/>
        <w:jc w:val="both"/>
      </w:pPr>
      <w:r>
        <w:rPr>
          <w:rFonts w:ascii="Times New Roman" w:hAnsi="Times New Roman"/>
          <w:sz w:val="24"/>
        </w:rPr>
        <w:t>Cachon, G. P., &amp; Lariviere, M. A. (1999). Capacity allocation using past sales: When to turn-and-earn. Management Science, 45(5), 685–703.</w:t>
      </w:r>
    </w:p>
    <w:p>
      <w:pPr>
        <w:spacing w:after="120" w:line="360" w:lineRule="exact"/>
        <w:ind w:left="709" w:hanging="709"/>
        <w:jc w:val="both"/>
      </w:pPr>
      <w:r>
        <w:rPr>
          <w:rFonts w:ascii="Times New Roman" w:hAnsi="Times New Roman"/>
          <w:sz w:val="24"/>
        </w:rPr>
        <w:t>Cleveland, R. B., Cleveland, W. S., McRae, J. E., &amp; Terpenning, I. (1990). STL: A seasonal-trend decomposition procedure based on loess. Journal of Official Statistics, 6(1), 3–73.</w:t>
      </w:r>
    </w:p>
    <w:p>
      <w:pPr>
        <w:spacing w:after="120" w:line="360" w:lineRule="exact"/>
        <w:ind w:left="709" w:hanging="709"/>
        <w:jc w:val="both"/>
      </w:pPr>
      <w:r>
        <w:rPr>
          <w:rFonts w:ascii="Times New Roman" w:hAnsi="Times New Roman"/>
          <w:sz w:val="24"/>
        </w:rPr>
        <w:t>Dantzig, G. B., &amp; Thapa, M. N. (1997). Linear programming 1: Introduction. Springer-Verlag.</w:t>
      </w:r>
    </w:p>
    <w:p>
      <w:pPr>
        <w:spacing w:after="120" w:line="360" w:lineRule="exact"/>
        <w:ind w:left="709" w:hanging="709"/>
        <w:jc w:val="both"/>
      </w:pPr>
      <w:r>
        <w:rPr>
          <w:rFonts w:ascii="Times New Roman" w:hAnsi="Times New Roman"/>
          <w:sz w:val="24"/>
        </w:rPr>
        <w:t>Fisher, M. L., Hammond, J. H., Obermeyer, W. R., &amp; Raman, A. (1994). Making supply meet demand in an uncertain world. Harvard Business Review, 72(3), 83–93.</w:t>
      </w:r>
    </w:p>
    <w:p>
      <w:pPr>
        <w:spacing w:after="120" w:line="360" w:lineRule="exact"/>
        <w:ind w:left="709" w:hanging="709"/>
        <w:jc w:val="both"/>
      </w:pPr>
      <w:r>
        <w:rPr>
          <w:rFonts w:ascii="Times New Roman" w:hAnsi="Times New Roman"/>
          <w:sz w:val="24"/>
        </w:rPr>
        <w:t>Hwang, C. L., &amp; Yoon, K. (1981). Multiple attribute decision making: Methods and applications. Springer-Verlag.</w:t>
      </w:r>
    </w:p>
    <w:p>
      <w:pPr>
        <w:spacing w:after="120" w:line="360" w:lineRule="exact"/>
        <w:ind w:left="709" w:hanging="709"/>
        <w:jc w:val="both"/>
      </w:pPr>
      <w:r>
        <w:rPr>
          <w:rFonts w:ascii="Times New Roman" w:hAnsi="Times New Roman"/>
          <w:sz w:val="24"/>
        </w:rPr>
        <w:t>Li, S., &amp; Keskin, B. B. (2013). A multi-product stochastic program for a portfolio approach to vehicle allocation decisions. Transportation Science, 47(4), 462–480.</w:t>
      </w:r>
    </w:p>
    <w:p>
      <w:pPr>
        <w:spacing w:after="120" w:line="360" w:lineRule="exact"/>
        <w:ind w:left="709" w:hanging="709"/>
        <w:jc w:val="both"/>
      </w:pPr>
      <w:r>
        <w:rPr>
          <w:rFonts w:ascii="Times New Roman" w:hAnsi="Times New Roman"/>
          <w:sz w:val="24"/>
        </w:rPr>
        <w:t>Luss, H., &amp; Rosenwein, M. B. (1997). Operations research applications: Opportunities and accomplishments. European Journal of Operational Research, 97(2), 220–244.</w:t>
      </w:r>
    </w:p>
    <w:p>
      <w:pPr>
        <w:spacing w:after="120" w:line="360" w:lineRule="exact"/>
        <w:ind w:left="709" w:hanging="709"/>
        <w:jc w:val="both"/>
      </w:pPr>
      <w:r>
        <w:rPr>
          <w:rFonts w:ascii="Times New Roman" w:hAnsi="Times New Roman"/>
          <w:sz w:val="24"/>
        </w:rPr>
        <w:t>Makridakis, S., Spiliotis, E., &amp; Assimakopoulos, V. (2018). The M4 competition: Results, findings, conclusion and way forward. International Journal of Forecasting, 34(4), 802–808.</w:t>
      </w:r>
    </w:p>
    <w:p>
      <w:pPr>
        <w:spacing w:after="120" w:line="360" w:lineRule="exact"/>
        <w:ind w:left="709" w:hanging="709"/>
        <w:jc w:val="both"/>
      </w:pPr>
      <w:r>
        <w:rPr>
          <w:rFonts w:ascii="Times New Roman" w:hAnsi="Times New Roman"/>
          <w:sz w:val="24"/>
        </w:rPr>
        <w:t>OSD. (2024). Otomotiv Sanayii Derneği — 2024 yılı otomotiv sektörü verileri [Automotive Industry Association — 2024 sector data]. https://www.osd.org.tr</w:t>
      </w:r>
    </w:p>
    <w:p>
      <w:pPr>
        <w:spacing w:after="120" w:line="360" w:lineRule="exact"/>
        <w:ind w:left="709" w:hanging="709"/>
        <w:jc w:val="both"/>
      </w:pPr>
      <w:r>
        <w:rPr>
          <w:rFonts w:ascii="Times New Roman" w:hAnsi="Times New Roman"/>
          <w:sz w:val="24"/>
        </w:rPr>
        <w:t>Sarwar, B., Karypis, G., Konstan, J., &amp; Riedl, J. (2001). Item-based collaborative filtering recommendation algorithms. In Proceedings of the 10th International Conference on World Wide Web (pp. 285–295). ACM.</w:t>
      </w:r>
    </w:p>
    <w:p>
      <w:pPr>
        <w:spacing w:after="120" w:line="360" w:lineRule="exact"/>
        <w:ind w:left="709" w:hanging="709"/>
        <w:jc w:val="both"/>
      </w:pPr>
      <w:r>
        <w:rPr>
          <w:rFonts w:ascii="Times New Roman" w:hAnsi="Times New Roman"/>
          <w:sz w:val="24"/>
        </w:rPr>
        <w:t>Sherbrooke, C. C. (1968). METRIC: A multi-echelon technique for recoverable item control. Operations Research, 16(1), 122–141.</w:t>
      </w:r>
    </w:p>
    <w:p>
      <w:pPr>
        <w:spacing w:after="120" w:line="360" w:lineRule="exact"/>
        <w:ind w:left="709" w:hanging="709"/>
        <w:jc w:val="both"/>
      </w:pPr>
      <w:r>
        <w:rPr>
          <w:rFonts w:ascii="Times New Roman" w:hAnsi="Times New Roman"/>
          <w:sz w:val="24"/>
        </w:rPr>
        <w:t>Talluri, K. T., &amp; Van Ryzin, G. J. (2004). The theory and practice of revenue management. Springer.</w:t>
      </w:r>
    </w:p>
    <w:p>
      <w:pPr>
        <w:spacing w:after="120" w:line="360" w:lineRule="exact"/>
        <w:ind w:left="709" w:hanging="709"/>
        <w:jc w:val="both"/>
      </w:pPr>
      <w:r>
        <w:rPr>
          <w:rFonts w:ascii="Times New Roman" w:hAnsi="Times New Roman"/>
          <w:sz w:val="24"/>
        </w:rPr>
        <w:t>Taylor, S. J., &amp; Letham, B. (2018). Forecasting at scale. The American Statistician, 72(1), 37–45.</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Vehicle Allocation Optimization in an Automotive Dealer Network</dc:title>
  <dc:subject>Industrial Engineering Undergraduate Thesis</dc:subject>
  <dc:creator>python-docx</dc:creator>
  <cp:keywords>Vehicle Allocation, MILP, MCDM, Seasonal Index, Automotive</cp:keywords>
  <dc:description>generated by python-docx</dc:description>
  <cp:lastModifiedBy/>
  <cp:revision>1</cp:revision>
  <dcterms:created xsi:type="dcterms:W3CDTF">2013-12-23T23:15:00Z</dcterms:created>
  <dcterms:modified xsi:type="dcterms:W3CDTF">2013-12-23T23:15:00Z</dcterms:modified>
  <cp:category/>
</cp:coreProperties>
</file>