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80"/>
        <w:jc w:val="center"/>
      </w:pPr>
      <w:r>
        <w:rPr>
          <w:rFonts w:ascii="Times New Roman" w:hAnsi="Times New Roman"/>
          <w:b/>
          <w:i w:val="0"/>
          <w:sz w:val="28"/>
        </w:rPr>
        <w:t>YILDIZ TECHNICAL UNIVERSITY</w:t>
      </w:r>
    </w:p>
    <w:p>
      <w:pPr>
        <w:spacing w:before="0" w:after="80"/>
        <w:jc w:val="center"/>
      </w:pPr>
      <w:r>
        <w:rPr>
          <w:rFonts w:ascii="Times New Roman" w:hAnsi="Times New Roman"/>
          <w:b/>
          <w:i w:val="0"/>
          <w:sz w:val="26"/>
        </w:rPr>
        <w:t>Faculty of Mechanical Engineering</w:t>
      </w:r>
    </w:p>
    <w:p>
      <w:pPr>
        <w:spacing w:before="0" w:after="800"/>
        <w:jc w:val="center"/>
      </w:pPr>
      <w:r>
        <w:rPr>
          <w:rFonts w:ascii="Times New Roman" w:hAnsi="Times New Roman"/>
          <w:b/>
          <w:i w:val="0"/>
          <w:sz w:val="26"/>
        </w:rPr>
        <w:t>Department of Industrial Engineering</w:t>
      </w:r>
    </w:p>
    <w:p>
      <w:pPr>
        <w:spacing w:before="0" w:after="0"/>
      </w:pPr>
    </w:p>
    <w:p>
      <w:pPr>
        <w:spacing w:before="0" w:after="0"/>
      </w:pPr>
    </w:p>
    <w:p>
      <w:pPr>
        <w:spacing w:before="0" w:after="0"/>
      </w:pPr>
    </w:p>
    <w:p>
      <w:pPr>
        <w:spacing w:before="0" w:after="400"/>
        <w:jc w:val="center"/>
      </w:pPr>
      <w:r>
        <w:rPr>
          <w:rFonts w:ascii="Times New Roman" w:hAnsi="Times New Roman"/>
          <w:b/>
          <w:i w:val="0"/>
          <w:sz w:val="26"/>
        </w:rPr>
        <w:t>GRADUATION THESIS</w:t>
      </w:r>
    </w:p>
    <w:p>
      <w:pPr>
        <w:spacing w:before="0" w:after="800"/>
        <w:jc w:val="center"/>
      </w:pPr>
      <w:r>
        <w:rPr>
          <w:rFonts w:ascii="Times New Roman" w:hAnsi="Times New Roman"/>
          <w:b/>
          <w:i w:val="0"/>
          <w:sz w:val="32"/>
        </w:rPr>
        <w:t>Monthly Vehicle Allocation Optimization for Automotive Dealerships</w:t>
        <w:br/>
        <w:t>via Multi-Criteria Scoring and Mixed-Integer Linear Programming</w:t>
      </w:r>
    </w:p>
    <w:p>
      <w:pPr>
        <w:spacing w:before="0" w:after="0"/>
      </w:pPr>
    </w:p>
    <w:p>
      <w:pPr>
        <w:spacing w:before="0" w:after="0"/>
      </w:pPr>
    </w:p>
    <w:p>
      <w:pPr>
        <w:spacing w:before="0" w:after="0"/>
      </w:pPr>
    </w:p>
    <w:p>
      <w:pPr>
        <w:spacing w:before="0" w:after="80"/>
        <w:jc w:val="center"/>
      </w:pPr>
      <w:r>
        <w:rPr>
          <w:rFonts w:ascii="Times New Roman" w:hAnsi="Times New Roman"/>
          <w:b w:val="0"/>
          <w:i w:val="0"/>
          <w:sz w:val="24"/>
        </w:rPr>
        <w:t>Submitted by:</w:t>
      </w:r>
    </w:p>
    <w:p>
      <w:pPr>
        <w:spacing w:before="0" w:after="80"/>
        <w:jc w:val="center"/>
      </w:pPr>
      <w:r>
        <w:rPr>
          <w:rFonts w:ascii="Times New Roman" w:hAnsi="Times New Roman"/>
          <w:b/>
          <w:i w:val="0"/>
          <w:sz w:val="26"/>
        </w:rPr>
        <w:t>Adem Ağar</w:t>
      </w:r>
    </w:p>
    <w:p>
      <w:pPr>
        <w:spacing w:before="0" w:after="800"/>
        <w:jc w:val="center"/>
      </w:pPr>
      <w:r>
        <w:rPr>
          <w:rFonts w:ascii="Times New Roman" w:hAnsi="Times New Roman"/>
          <w:b w:val="0"/>
          <w:i w:val="0"/>
          <w:sz w:val="24"/>
        </w:rPr>
        <w:t>Student ID: 21069019</w:t>
      </w:r>
    </w:p>
    <w:p>
      <w:pPr>
        <w:spacing w:before="0" w:after="0"/>
      </w:pPr>
    </w:p>
    <w:p>
      <w:pPr>
        <w:spacing w:before="0" w:after="0"/>
      </w:pPr>
    </w:p>
    <w:p>
      <w:pPr>
        <w:spacing w:before="0" w:after="0"/>
        <w:jc w:val="center"/>
      </w:pPr>
      <w:r>
        <w:rPr>
          <w:rFonts w:ascii="Times New Roman" w:hAnsi="Times New Roman"/>
          <w:b w:val="0"/>
          <w:i w:val="0"/>
          <w:sz w:val="24"/>
        </w:rPr>
        <w:t>Istanbul, 2026</w:t>
      </w:r>
    </w:p>
    <w:p>
      <w:r>
        <w:br w:type="page"/>
      </w:r>
    </w:p>
    <w:p>
      <w:r>
        <w:br w:type="page"/>
      </w:r>
    </w:p>
    <w:p>
      <w:pPr>
        <w:spacing w:after="120"/>
      </w:pPr>
      <w:r>
        <w:rPr>
          <w:b w:val="0"/>
          <w:sz w:val="20"/>
        </w:rPr>
        <w:t>Anahtar Kelimeler: Araç Dağıtım Problemi, Çok Kriterli Karar Verme, Karma Tam Sayılı Doğrusal Programlama, STL Ayrıştırması, Üstel Ağırlıklı Hareketli Ortalama, Kosinüs Benzerliği, Ürün Çeşitliliği Optimizasyonu, Otomotiv Tedarik Zinciri.</w:t>
      </w:r>
    </w:p>
    <w:p>
      <w:pPr>
        <w:spacing w:after="120"/>
        <w:ind w:firstLine="567"/>
      </w:pPr>
      <w:r>
        <w:rPr>
          <w:sz w:val="22"/>
        </w:rPr>
        <w:t>Sistem; gerçek zamanlı senaryo analizi özellikli interaktif bir Streamlit panosu olarak Streamlit Cloud üzerinde yayına alınmıştır. Ocak 2026 vaka çalışması sonuçları, sistemin kıt envanteri yüksek potansiyelli bayilere yönlendirirken operasyonel kısıtlara uyum sağladığını ve manuel sezgisel yaklaşımlarla kıyaslanamaz hız ile tutarlılıkta dağıtım ürettiğini ortaya koymaktadır.</w:t>
      </w:r>
    </w:p>
    <w:p>
      <w:pPr>
        <w:spacing w:after="120"/>
        <w:ind w:firstLine="567"/>
      </w:pPr>
      <w:r>
        <w:rPr>
          <w:sz w:val="22"/>
        </w:rPr>
        <w:t>Üçüncü katman, araç dağıtımını Karma Tam Sayılı Doğrusal Programlama (KTDP) problemi olarak formüle etmektedir. Amaç fonksiyonu; envanter kısıtları ve pazar payı tabanlı hedef dağılımından türetilen bayi kota sınırları (±%20) altında bileşik skor ağırlıklı dağıtım toplamını maksimize etmektir. Model, Python'da PuLP kütüphanesi ile açık kaynak CBC çözücü kullanılarak gerçekleştirilmiş; Ocak 2026'ya ait 603 araç ve 22 aktif bayi içeren örnek 0,3 saniyenin altında çözülmüştür.</w:t>
      </w:r>
    </w:p>
    <w:p>
      <w:pPr>
        <w:spacing w:after="120"/>
        <w:ind w:firstLine="567"/>
      </w:pPr>
      <w:r>
        <w:rPr>
          <w:sz w:val="22"/>
        </w:rPr>
        <w:t>İkinci katman, her bayiyi dört boyutta puanlamak için Çok Kriterli Karar Verme (ÇKKV) yöntemini uygulamaktadır: Son 12 ay hedef gerçekleştirme performansı (P, ağırlık 0,25), bayi geçmiş satış vektörü ile güncel envanter vektörü arasındaki kosinüs benzerliğine dayalı konum-ürün uyum skoru (LP, ağırlık 0,35), mevsimsel uyum skoru (S, ağırlık 0,20) ve yıllık hedefe yakınlık skoru (H, ağırlık 0,20). Her bayi için C_d ∈ [0,1] aralığında bileşik skor hesaplanmaktadır.</w:t>
      </w:r>
    </w:p>
    <w:p>
      <w:pPr>
        <w:spacing w:after="120"/>
        <w:ind w:firstLine="567"/>
      </w:pPr>
      <w:r>
        <w:rPr>
          <w:sz w:val="22"/>
        </w:rPr>
        <w:t>Birinci katman, 24 aylık geçmiş satış verisi (Ocak 2024–Aralık 2025) üzerine Loess tabanlı Mevsimsel-Trend Ayrıştırması (STL) uygulayarak aylık mevsimsellik indekslerini türetmektedir. Bu indeksler, Prophet modeliyle elde edilen yıllık pazar tahmini ve W=5 penceresiyle (α=0,333) sistematik çapraz doğrulama sonucunda seçilen Üstel Ağırlıklı Hareketli Ortalama (EWMA) ile birleştirilerek bayi düzeyinde 2026 aylık talep tahminleri üretilmektedir.</w:t>
      </w:r>
    </w:p>
    <w:p>
      <w:pPr>
        <w:spacing w:after="120"/>
        <w:ind w:firstLine="567"/>
      </w:pPr>
      <w:r>
        <w:rPr>
          <w:sz w:val="22"/>
        </w:rPr>
        <w:t>Sınırlı araç envanterinin bayi ağına aylık olarak dağıtılması, otomotiv üreticileri ve ithalatçıları için kritik bir operasyonel karar problemidir. Mevcut araç sayısının toplam bayi talebinin altında kaldığı durumlarda dağıtım kararı; bayi memnuniyetini, müşteri erişilebilirliğini ve marka gelirini doğrudan etkilemektedir. Bu tez, Türkiye genelinde 20-28 yetkili bayisi bulunan bir SUV markası için aylık araç dağıtımını otomatize eden üç katmanlı bir karar destek sistemi tasarımını, uygulamasını ve canlı ortama dağıtımını sunmaktadır.</w:t>
      </w:r>
    </w:p>
    <w:p>
      <w:pPr>
        <w:spacing w:after="120"/>
        <w:jc w:val="center"/>
      </w:pPr>
      <w:r>
        <w:rPr>
          <w:b w:val="0"/>
          <w:sz w:val="22"/>
        </w:rPr>
      </w:r>
    </w:p>
    <w:p>
      <w:pPr>
        <w:spacing w:after="120"/>
        <w:jc w:val="center"/>
      </w:pPr>
      <w:r>
        <w:rPr>
          <w:b w:val="0"/>
          <w:sz w:val="22"/>
        </w:rPr>
        <w:t>Endüstri Mühendisliği, Makine Fakültesi, Yıldız Teknik Üniversitesi</w:t>
      </w:r>
    </w:p>
    <w:p>
      <w:pPr>
        <w:spacing w:after="120"/>
        <w:jc w:val="center"/>
      </w:pPr>
      <w:r>
        <w:rPr>
          <w:b w:val="0"/>
          <w:sz w:val="22"/>
        </w:rPr>
        <w:t>Adem Ağar</w:t>
      </w:r>
    </w:p>
    <w:p>
      <w:pPr>
        <w:spacing w:after="120"/>
        <w:jc w:val="center"/>
      </w:pPr>
      <w:r>
        <w:rPr>
          <w:b w:val="0"/>
          <w:sz w:val="22"/>
        </w:rPr>
      </w:r>
    </w:p>
    <w:p>
      <w:pPr>
        <w:spacing w:after="120"/>
        <w:jc w:val="center"/>
      </w:pPr>
      <w:r>
        <w:rPr>
          <w:b/>
          <w:sz w:val="22"/>
        </w:rPr>
        <w:t>Aylık Araç Dağıtımı Optimizasyonu</w:t>
      </w:r>
    </w:p>
    <w:p>
      <w:pPr>
        <w:spacing w:after="120"/>
        <w:jc w:val="center"/>
      </w:pPr>
      <w:r>
        <w:rPr>
          <w:b/>
          <w:sz w:val="22"/>
        </w:rPr>
        <w:t>Otomotiv Bayi Ağları İçin Çok Kriterli Karar Destek Sistemi ile</w:t>
      </w:r>
    </w:p>
    <w:p>
      <w:pPr>
        <w:spacing w:after="120"/>
        <w:jc w:val="center"/>
      </w:pPr>
      <w:r>
        <w:rPr>
          <w:b w:val="0"/>
          <w:sz w:val="22"/>
        </w:rPr>
      </w:r>
    </w:p>
    <w:p>
      <w:pPr>
        <w:spacing w:after="120"/>
        <w:jc w:val="center"/>
      </w:pPr>
      <w:r>
        <w:rPr>
          <w:b/>
          <w:sz w:val="28"/>
        </w:rPr>
        <w:t>ÖZET</w:t>
      </w:r>
    </w:p>
    <w:p>
      <w:pPr>
        <w:spacing w:before="240" w:after="120"/>
        <w:jc w:val="left"/>
      </w:pPr>
      <w:r>
        <w:rPr>
          <w:rFonts w:ascii="Times New Roman" w:hAnsi="Times New Roman"/>
          <w:b/>
          <w:i w:val="0"/>
          <w:sz w:val="28"/>
        </w:rPr>
        <w:t>ABSTRACT</w:t>
      </w:r>
    </w:p>
    <w:p>
      <w:pPr>
        <w:spacing w:before="0" w:after="200"/>
        <w:jc w:val="center"/>
      </w:pPr>
      <w:r>
        <w:rPr>
          <w:rFonts w:ascii="Times New Roman" w:hAnsi="Times New Roman"/>
          <w:b/>
          <w:i w:val="0"/>
          <w:sz w:val="24"/>
        </w:rPr>
        <w:t>Monthly Vehicle Allocation Optimization for Automotive Dealerships via Multi-Criteria Scoring and Mixed-Integer Linear Programming</w:t>
      </w:r>
    </w:p>
    <w:p>
      <w:pPr>
        <w:spacing w:before="0" w:after="200"/>
        <w:jc w:val="center"/>
      </w:pPr>
      <w:r>
        <w:rPr>
          <w:rFonts w:ascii="Times New Roman" w:hAnsi="Times New Roman"/>
          <w:b w:val="0"/>
          <w:i w:val="0"/>
          <w:sz w:val="24"/>
        </w:rPr>
        <w:t>Adem Ağar</w:t>
      </w:r>
    </w:p>
    <w:p>
      <w:pPr>
        <w:spacing w:before="0" w:after="320"/>
        <w:jc w:val="center"/>
      </w:pPr>
      <w:r>
        <w:rPr>
          <w:rFonts w:ascii="Times New Roman" w:hAnsi="Times New Roman"/>
          <w:b w:val="0"/>
          <w:i w:val="0"/>
          <w:sz w:val="24"/>
        </w:rPr>
        <w:t>Industrial Engineering, Faculty of Mechanical Engineering, Yıldız Technical University, Istanbul, 2026</w:t>
      </w:r>
    </w:p>
    <w:p>
      <w:pPr>
        <w:spacing w:before="0" w:after="120"/>
        <w:jc w:val="both"/>
      </w:pPr>
      <w:r>
        <w:rPr>
          <w:rFonts w:ascii="Times New Roman" w:hAnsi="Times New Roman"/>
          <w:b w:val="0"/>
          <w:i w:val="0"/>
          <w:sz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pPr>
        <w:spacing w:before="0" w:after="120"/>
        <w:jc w:val="both"/>
      </w:pPr>
      <w:r>
        <w:rPr>
          <w:rFonts w:ascii="Times New Roman" w:hAnsi="Times New Roman"/>
          <w:b w:val="0"/>
          <w:i w:val="0"/>
          <w:sz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W∈{3, …, 19}) to produce dealer-level monthly demand estimates for 2026.</w:t>
      </w:r>
    </w:p>
    <w:p>
      <w:pPr>
        <w:spacing w:before="0" w:after="120"/>
        <w:jc w:val="both"/>
      </w:pPr>
      <w:r>
        <w:rPr>
          <w:rFonts w:ascii="Times New Roman" w:hAnsi="Times New Roman"/>
          <w:b w:val="0"/>
          <w:i w:val="0"/>
          <w:sz w:val="24"/>
        </w:rPr>
        <w:t>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 [0, 1] is computed for every dealer.</w:t>
      </w:r>
    </w:p>
    <w:p>
      <w:pPr>
        <w:spacing w:before="0" w:after="120"/>
        <w:jc w:val="both"/>
      </w:pPr>
      <w:r>
        <w:rPr>
          <w:rFonts w:ascii="Times New Roman" w:hAnsi="Times New Roman"/>
          <w:b w:val="0"/>
          <w:i w:val="0"/>
          <w:sz w:val="24"/>
        </w:rPr>
        <w:t>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PuLP with the open-source CBC solver and solves a January 2026 instance of 603 vehicles across 22 active dealers in under 0.3 seconds.</w:t>
      </w:r>
    </w:p>
    <w:p>
      <w:pPr>
        <w:spacing w:before="0" w:after="120"/>
        <w:jc w:val="both"/>
      </w:pPr>
      <w:r>
        <w:rPr>
          <w:rFonts w:ascii="Times New Roman" w:hAnsi="Times New Roman"/>
          <w:b w:val="0"/>
          <w:i w:val="0"/>
          <w:sz w:val="24"/>
        </w:rPr>
        <w:t>The system is deployed as an interactive Streamlit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pPr>
        <w:spacing w:before="0" w:after="200"/>
        <w:jc w:val="both"/>
      </w:pPr>
      <w:r>
        <w:rPr>
          <w:rFonts w:ascii="Times New Roman" w:hAnsi="Times New Roman"/>
          <w:b w:val="0"/>
          <w:i/>
          <w:sz w:val="24"/>
        </w:rPr>
        <w:t>Keywords: Vehicle Allocation Problem, Multi-Criteria Decision Making, Mixed-Integer Linear Programming, STL Decomposition, Exponentially Weighted Moving Average, Cosine Similarity, Assortment Optimization, Automotive Supply Chain.</w:t>
      </w:r>
    </w:p>
    <w:p>
      <w:r>
        <w:br w:type="page"/>
      </w:r>
    </w:p>
    <w:p>
      <w:pPr>
        <w:spacing w:before="240" w:after="120"/>
        <w:jc w:val="left"/>
      </w:pPr>
      <w:r>
        <w:rPr>
          <w:rFonts w:ascii="Times New Roman" w:hAnsi="Times New Roman"/>
          <w:b/>
          <w:i w:val="0"/>
          <w:sz w:val="28"/>
        </w:rPr>
        <w:t>TABLE OF CONTENTS</w:t>
      </w:r>
    </w:p>
    <w:p>
      <w:pPr>
        <w:spacing w:before="20" w:after="20"/>
        <w:tabs>
          <w:tab w:val="right" w:leader="dot" w:pos="9072"/>
        </w:tabs>
      </w:pPr>
      <w:r>
        <w:rPr>
          <w:rFonts w:ascii="Times New Roman" w:hAnsi="Times New Roman"/>
          <w:b w:val="0"/>
          <w:i w:val="0"/>
          <w:sz w:val="22"/>
        </w:rPr>
        <w:t>Abstract</w:t>
      </w:r>
      <w:r>
        <w:rPr>
          <w:rFonts w:ascii="Times New Roman" w:hAnsi="Times New Roman"/>
          <w:b w:val="0"/>
          <w:i w:val="0"/>
          <w:sz w:val="22"/>
        </w:rPr>
        <w:tab/>
        <w:t>ii</w:t>
      </w:r>
    </w:p>
    <w:p>
      <w:pPr>
        <w:spacing w:before="20" w:after="20"/>
        <w:tabs>
          <w:tab w:val="right" w:leader="dot" w:pos="9072"/>
        </w:tabs>
      </w:pPr>
      <w:r>
        <w:rPr>
          <w:rFonts w:ascii="Times New Roman" w:hAnsi="Times New Roman"/>
          <w:b w:val="0"/>
          <w:i w:val="0"/>
          <w:sz w:val="22"/>
        </w:rPr>
        <w:t>Table of Contents</w:t>
      </w:r>
      <w:r>
        <w:rPr>
          <w:rFonts w:ascii="Times New Roman" w:hAnsi="Times New Roman"/>
          <w:b w:val="0"/>
          <w:i w:val="0"/>
          <w:sz w:val="22"/>
        </w:rPr>
        <w:tab/>
        <w:t>iii</w:t>
      </w:r>
    </w:p>
    <w:p>
      <w:pPr>
        <w:spacing w:before="20" w:after="20"/>
        <w:tabs>
          <w:tab w:val="right" w:leader="dot" w:pos="9072"/>
        </w:tabs>
      </w:pPr>
      <w:r>
        <w:rPr>
          <w:rFonts w:ascii="Times New Roman" w:hAnsi="Times New Roman"/>
          <w:b w:val="0"/>
          <w:i w:val="0"/>
          <w:sz w:val="22"/>
        </w:rPr>
        <w:t>List of Tables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List of Figures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Abbreviations</w:t>
      </w:r>
      <w:r>
        <w:rPr>
          <w:rFonts w:ascii="Times New Roman" w:hAnsi="Times New Roman"/>
          <w:b w:val="0"/>
          <w:i w:val="0"/>
          <w:sz w:val="22"/>
        </w:rPr>
        <w:tab/>
        <w:t>v</w:t>
      </w:r>
    </w:p>
    <w:p>
      <w:pPr>
        <w:spacing w:before="20" w:after="20"/>
        <w:tabs>
          <w:tab w:val="right" w:leader="dot" w:pos="9072"/>
        </w:tabs>
      </w:pPr>
      <w:r>
        <w:rPr>
          <w:rFonts w:ascii="Times New Roman" w:hAnsi="Times New Roman"/>
          <w:b w:val="0"/>
          <w:i w:val="0"/>
          <w:sz w:val="22"/>
        </w:rPr>
        <w:t>1. Introduction</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1.1 Motivation and Problem Statement</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1.2 Research Objectives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1.3 Scope and Limitations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1.4 Thesis Organization</w:t>
      </w:r>
      <w:r>
        <w:rPr>
          <w:rFonts w:ascii="Times New Roman" w:hAnsi="Times New Roman"/>
          <w:b w:val="0"/>
          <w:i w:val="0"/>
          <w:sz w:val="22"/>
        </w:rPr>
        <w:tab/>
        <w:t>4</w:t>
      </w:r>
    </w:p>
    <w:p>
      <w:pPr>
        <w:spacing w:before="20" w:after="20"/>
        <w:tabs>
          <w:tab w:val="right" w:leader="dot" w:pos="9072"/>
        </w:tabs>
      </w:pPr>
      <w:r>
        <w:rPr>
          <w:rFonts w:ascii="Times New Roman" w:hAnsi="Times New Roman"/>
          <w:b w:val="0"/>
          <w:i w:val="0"/>
          <w:sz w:val="22"/>
        </w:rPr>
        <w:t>2. Literature Review</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2.1 Vehicle Allocation Problem</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2.2 Time Series Forecasting in Automotive Contexts</w:t>
      </w:r>
      <w:r>
        <w:rPr>
          <w:rFonts w:ascii="Times New Roman" w:hAnsi="Times New Roman"/>
          <w:b w:val="0"/>
          <w:i w:val="0"/>
          <w:sz w:val="22"/>
        </w:rPr>
        <w:tab/>
        <w:t>6</w:t>
      </w:r>
    </w:p>
    <w:p>
      <w:pPr>
        <w:spacing w:before="20" w:after="20"/>
        <w:tabs>
          <w:tab w:val="right" w:leader="dot" w:pos="9072"/>
        </w:tabs>
      </w:pPr>
      <w:r>
        <w:rPr>
          <w:rFonts w:ascii="Times New Roman" w:hAnsi="Times New Roman"/>
          <w:b w:val="0"/>
          <w:i w:val="0"/>
          <w:sz w:val="22"/>
        </w:rPr>
        <w:t xml:space="preserve">   2.3 Multi-Criteria Decision Making in Inventory Allocation</w:t>
      </w:r>
      <w:r>
        <w:rPr>
          <w:rFonts w:ascii="Times New Roman" w:hAnsi="Times New Roman"/>
          <w:b w:val="0"/>
          <w:i w:val="0"/>
          <w:sz w:val="22"/>
        </w:rPr>
        <w:tab/>
        <w:t>7</w:t>
      </w:r>
    </w:p>
    <w:p>
      <w:pPr>
        <w:spacing w:before="20" w:after="20"/>
        <w:tabs>
          <w:tab w:val="right" w:leader="dot" w:pos="9072"/>
        </w:tabs>
      </w:pPr>
      <w:r>
        <w:rPr>
          <w:rFonts w:ascii="Times New Roman" w:hAnsi="Times New Roman"/>
          <w:b w:val="0"/>
          <w:i w:val="0"/>
          <w:sz w:val="22"/>
        </w:rPr>
        <w:t xml:space="preserve">   2.4 Assortment Optimization and Collaborative Filtering</w:t>
      </w:r>
      <w:r>
        <w:rPr>
          <w:rFonts w:ascii="Times New Roman" w:hAnsi="Times New Roman"/>
          <w:b w:val="0"/>
          <w:i w:val="0"/>
          <w:sz w:val="22"/>
        </w:rPr>
        <w:tab/>
        <w:t>8</w:t>
      </w:r>
    </w:p>
    <w:p>
      <w:pPr>
        <w:spacing w:before="20" w:after="20"/>
        <w:tabs>
          <w:tab w:val="right" w:leader="dot" w:pos="9072"/>
        </w:tabs>
      </w:pPr>
      <w:r>
        <w:rPr>
          <w:rFonts w:ascii="Times New Roman" w:hAnsi="Times New Roman"/>
          <w:b w:val="0"/>
          <w:i w:val="0"/>
          <w:sz w:val="22"/>
        </w:rPr>
        <w:t xml:space="preserve">   2.5 Mixed-Integer Linear Programming for Distribution</w:t>
      </w:r>
      <w:r>
        <w:rPr>
          <w:rFonts w:ascii="Times New Roman" w:hAnsi="Times New Roman"/>
          <w:b w:val="0"/>
          <w:i w:val="0"/>
          <w:sz w:val="22"/>
        </w:rPr>
        <w:tab/>
        <w:t>9</w:t>
      </w:r>
    </w:p>
    <w:p>
      <w:pPr>
        <w:spacing w:before="20" w:after="20"/>
        <w:tabs>
          <w:tab w:val="right" w:leader="dot" w:pos="9072"/>
        </w:tabs>
      </w:pPr>
      <w:r>
        <w:rPr>
          <w:rFonts w:ascii="Times New Roman" w:hAnsi="Times New Roman"/>
          <w:b w:val="0"/>
          <w:i w:val="0"/>
          <w:sz w:val="22"/>
        </w:rPr>
        <w:t>3. System Architecture and Data</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3.1 Overall Three-Layer Architecture</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3.2 Data Sources and Preprocessing</w:t>
      </w:r>
      <w:r>
        <w:rPr>
          <w:rFonts w:ascii="Times New Roman" w:hAnsi="Times New Roman"/>
          <w:b w:val="0"/>
          <w:i w:val="0"/>
          <w:sz w:val="22"/>
        </w:rPr>
        <w:tab/>
        <w:t>11</w:t>
      </w:r>
    </w:p>
    <w:p>
      <w:pPr>
        <w:spacing w:before="20" w:after="20"/>
        <w:tabs>
          <w:tab w:val="right" w:leader="dot" w:pos="9072"/>
        </w:tabs>
      </w:pPr>
      <w:r>
        <w:rPr>
          <w:rFonts w:ascii="Times New Roman" w:hAnsi="Times New Roman"/>
          <w:b w:val="0"/>
          <w:i w:val="0"/>
          <w:sz w:val="22"/>
        </w:rPr>
        <w:t xml:space="preserve">   3.3 Vehicle Portfolio and Market Structure</w:t>
      </w:r>
      <w:r>
        <w:rPr>
          <w:rFonts w:ascii="Times New Roman" w:hAnsi="Times New Roman"/>
          <w:b w:val="0"/>
          <w:i w:val="0"/>
          <w:sz w:val="22"/>
        </w:rPr>
        <w:tab/>
        <w:t>12</w:t>
      </w:r>
    </w:p>
    <w:p>
      <w:pPr>
        <w:spacing w:before="20" w:after="20"/>
        <w:tabs>
          <w:tab w:val="right" w:leader="dot" w:pos="9072"/>
        </w:tabs>
      </w:pPr>
      <w:r>
        <w:rPr>
          <w:rFonts w:ascii="Times New Roman" w:hAnsi="Times New Roman"/>
          <w:b w:val="0"/>
          <w:i w:val="0"/>
          <w:sz w:val="22"/>
        </w:rPr>
        <w:t>4. Layer 1: Demand Forecasting</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4.1 STL Decomposition</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4.2 Prophet Market Forecast</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 xml:space="preserve">   4.3 Exponentially Weighted Moving Average</w:t>
      </w:r>
      <w:r>
        <w:rPr>
          <w:rFonts w:ascii="Times New Roman" w:hAnsi="Times New Roman"/>
          <w:b w:val="0"/>
          <w:i w:val="0"/>
          <w:sz w:val="22"/>
        </w:rPr>
        <w:tab/>
        <w:t>16</w:t>
      </w:r>
    </w:p>
    <w:p>
      <w:pPr>
        <w:spacing w:before="20" w:after="20"/>
        <w:tabs>
          <w:tab w:val="right" w:leader="dot" w:pos="9072"/>
        </w:tabs>
      </w:pPr>
      <w:r>
        <w:rPr>
          <w:rFonts w:ascii="Times New Roman" w:hAnsi="Times New Roman"/>
          <w:b w:val="0"/>
          <w:i w:val="0"/>
          <w:sz w:val="22"/>
        </w:rPr>
        <w:t xml:space="preserve">   4.4 Launch Boost Factor</w:t>
      </w:r>
      <w:r>
        <w:rPr>
          <w:rFonts w:ascii="Times New Roman" w:hAnsi="Times New Roman"/>
          <w:b w:val="0"/>
          <w:i w:val="0"/>
          <w:sz w:val="22"/>
        </w:rPr>
        <w:tab/>
        <w:t>18</w:t>
      </w:r>
    </w:p>
    <w:p>
      <w:pPr>
        <w:spacing w:before="20" w:after="20"/>
        <w:tabs>
          <w:tab w:val="right" w:leader="dot" w:pos="9072"/>
        </w:tabs>
      </w:pPr>
      <w:r>
        <w:rPr>
          <w:rFonts w:ascii="Times New Roman" w:hAnsi="Times New Roman"/>
          <w:b w:val="0"/>
          <w:i w:val="0"/>
          <w:sz w:val="22"/>
        </w:rPr>
        <w:t>5. Layer 2: Multi-Criteria Dealer Scoring</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5.1 Performance Score (P)</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5.2 Location-Product Fit Score (LP)</w:t>
      </w:r>
      <w:r>
        <w:rPr>
          <w:rFonts w:ascii="Times New Roman" w:hAnsi="Times New Roman"/>
          <w:b w:val="0"/>
          <w:i w:val="0"/>
          <w:sz w:val="22"/>
        </w:rPr>
        <w:tab/>
        <w:t>20</w:t>
      </w:r>
    </w:p>
    <w:p>
      <w:pPr>
        <w:spacing w:before="20" w:after="20"/>
        <w:tabs>
          <w:tab w:val="right" w:leader="dot" w:pos="9072"/>
        </w:tabs>
      </w:pPr>
      <w:r>
        <w:rPr>
          <w:rFonts w:ascii="Times New Roman" w:hAnsi="Times New Roman"/>
          <w:b w:val="0"/>
          <w:i w:val="0"/>
          <w:sz w:val="22"/>
        </w:rPr>
        <w:t xml:space="preserve">   5.3 Seasonal Alignment Score (S)</w:t>
      </w:r>
      <w:r>
        <w:rPr>
          <w:rFonts w:ascii="Times New Roman" w:hAnsi="Times New Roman"/>
          <w:b w:val="0"/>
          <w:i w:val="0"/>
          <w:sz w:val="22"/>
        </w:rPr>
        <w:tab/>
        <w:t>21</w:t>
      </w:r>
    </w:p>
    <w:p>
      <w:pPr>
        <w:spacing w:before="20" w:after="20"/>
        <w:tabs>
          <w:tab w:val="right" w:leader="dot" w:pos="9072"/>
        </w:tabs>
      </w:pPr>
      <w:r>
        <w:rPr>
          <w:rFonts w:ascii="Times New Roman" w:hAnsi="Times New Roman"/>
          <w:b w:val="0"/>
          <w:i w:val="0"/>
          <w:sz w:val="22"/>
        </w:rPr>
        <w:t xml:space="preserve">   5.4 Target Proximity Score (H)</w:t>
      </w:r>
      <w:r>
        <w:rPr>
          <w:rFonts w:ascii="Times New Roman" w:hAnsi="Times New Roman"/>
          <w:b w:val="0"/>
          <w:i w:val="0"/>
          <w:sz w:val="22"/>
        </w:rPr>
        <w:tab/>
        <w:t>22</w:t>
      </w:r>
    </w:p>
    <w:p>
      <w:pPr>
        <w:spacing w:before="20" w:after="20"/>
        <w:tabs>
          <w:tab w:val="right" w:leader="dot" w:pos="9072"/>
        </w:tabs>
      </w:pPr>
      <w:r>
        <w:rPr>
          <w:rFonts w:ascii="Times New Roman" w:hAnsi="Times New Roman"/>
          <w:b w:val="0"/>
          <w:i w:val="0"/>
          <w:sz w:val="22"/>
        </w:rPr>
        <w:t xml:space="preserve">   5.5 Composite Score Computation</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6. Layer 3: MILP Allocation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6.1 Problem Formulation</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6.2 Market-Share-Based Quota Distribution</w:t>
      </w:r>
      <w:r>
        <w:rPr>
          <w:rFonts w:ascii="Times New Roman" w:hAnsi="Times New Roman"/>
          <w:b w:val="0"/>
          <w:i w:val="0"/>
          <w:sz w:val="22"/>
        </w:rPr>
        <w:tab/>
        <w:t>25</w:t>
      </w:r>
    </w:p>
    <w:p>
      <w:pPr>
        <w:spacing w:before="20" w:after="20"/>
        <w:tabs>
          <w:tab w:val="right" w:leader="dot" w:pos="9072"/>
        </w:tabs>
      </w:pPr>
      <w:r>
        <w:rPr>
          <w:rFonts w:ascii="Times New Roman" w:hAnsi="Times New Roman"/>
          <w:b w:val="0"/>
          <w:i w:val="0"/>
          <w:sz w:val="22"/>
        </w:rPr>
        <w:t xml:space="preserve">   6.3 Implementation with PuLP and CBC</w:t>
      </w:r>
      <w:r>
        <w:rPr>
          <w:rFonts w:ascii="Times New Roman" w:hAnsi="Times New Roman"/>
          <w:b w:val="0"/>
          <w:i w:val="0"/>
          <w:sz w:val="22"/>
        </w:rPr>
        <w:tab/>
        <w:t>26</w:t>
      </w:r>
    </w:p>
    <w:p>
      <w:pPr>
        <w:spacing w:before="20" w:after="20"/>
        <w:tabs>
          <w:tab w:val="right" w:leader="dot" w:pos="9072"/>
        </w:tabs>
      </w:pPr>
      <w:r>
        <w:rPr>
          <w:rFonts w:ascii="Times New Roman" w:hAnsi="Times New Roman"/>
          <w:b w:val="0"/>
          <w:i w:val="0"/>
          <w:sz w:val="22"/>
        </w:rPr>
        <w:t>7. January 2026 Case Study</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7.1 Input Data and Parameters</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7.2 Allocation Results</w:t>
      </w:r>
      <w:r>
        <w:rPr>
          <w:rFonts w:ascii="Times New Roman" w:hAnsi="Times New Roman"/>
          <w:b w:val="0"/>
          <w:i w:val="0"/>
          <w:sz w:val="22"/>
        </w:rPr>
        <w:tab/>
        <w:t>28</w:t>
      </w:r>
    </w:p>
    <w:p>
      <w:pPr>
        <w:spacing w:before="20" w:after="20"/>
        <w:tabs>
          <w:tab w:val="right" w:leader="dot" w:pos="9072"/>
        </w:tabs>
      </w:pPr>
      <w:r>
        <w:rPr>
          <w:rFonts w:ascii="Times New Roman" w:hAnsi="Times New Roman"/>
          <w:b w:val="0"/>
          <w:i w:val="0"/>
          <w:sz w:val="22"/>
        </w:rPr>
        <w:t xml:space="preserve">   7.3 Sensitivity Analysis</w:t>
      </w:r>
      <w:r>
        <w:rPr>
          <w:rFonts w:ascii="Times New Roman" w:hAnsi="Times New Roman"/>
          <w:b w:val="0"/>
          <w:i w:val="0"/>
          <w:sz w:val="22"/>
        </w:rPr>
        <w:tab/>
        <w:t>29</w:t>
      </w:r>
    </w:p>
    <w:p>
      <w:pPr>
        <w:spacing w:before="20" w:after="20"/>
        <w:tabs>
          <w:tab w:val="right" w:leader="dot" w:pos="9072"/>
        </w:tabs>
      </w:pPr>
      <w:r>
        <w:rPr>
          <w:rFonts w:ascii="Times New Roman" w:hAnsi="Times New Roman"/>
          <w:b w:val="0"/>
          <w:i w:val="0"/>
          <w:sz w:val="22"/>
        </w:rPr>
        <w:t>8. Dashboard and Deployment</w:t>
      </w:r>
      <w:r>
        <w:rPr>
          <w:rFonts w:ascii="Times New Roman" w:hAnsi="Times New Roman"/>
          <w:b w:val="0"/>
          <w:i w:val="0"/>
          <w:sz w:val="22"/>
        </w:rPr>
        <w:tab/>
        <w:t>30</w:t>
      </w:r>
    </w:p>
    <w:p>
      <w:pPr>
        <w:spacing w:before="20" w:after="20"/>
        <w:tabs>
          <w:tab w:val="right" w:leader="dot" w:pos="9072"/>
        </w:tabs>
      </w:pPr>
      <w:r>
        <w:rPr>
          <w:rFonts w:ascii="Times New Roman" w:hAnsi="Times New Roman"/>
          <w:b w:val="0"/>
          <w:i w:val="0"/>
          <w:sz w:val="22"/>
        </w:rPr>
        <w:t>9. Conclusions and Future Work</w:t>
      </w:r>
      <w:r>
        <w:rPr>
          <w:rFonts w:ascii="Times New Roman" w:hAnsi="Times New Roman"/>
          <w:b w:val="0"/>
          <w:i w:val="0"/>
          <w:sz w:val="22"/>
        </w:rPr>
        <w:tab/>
        <w:t>31</w:t>
      </w:r>
    </w:p>
    <w:p>
      <w:pPr>
        <w:spacing w:before="20" w:after="20"/>
        <w:tabs>
          <w:tab w:val="right" w:leader="dot" w:pos="9072"/>
        </w:tabs>
      </w:pPr>
      <w:r>
        <w:rPr>
          <w:rFonts w:ascii="Times New Roman" w:hAnsi="Times New Roman"/>
          <w:b w:val="0"/>
          <w:i w:val="0"/>
          <w:sz w:val="22"/>
        </w:rPr>
        <w:t>References</w:t>
      </w:r>
      <w:r>
        <w:rPr>
          <w:rFonts w:ascii="Times New Roman" w:hAnsi="Times New Roman"/>
          <w:b w:val="0"/>
          <w:i w:val="0"/>
          <w:sz w:val="22"/>
        </w:rPr>
        <w:tab/>
        <w:t>33</w:t>
      </w:r>
    </w:p>
    <w:p>
      <w:r>
        <w:br w:type="page"/>
      </w:r>
    </w:p>
    <w:p>
      <w:pPr>
        <w:spacing w:before="240" w:after="120"/>
        <w:jc w:val="left"/>
      </w:pPr>
      <w:r>
        <w:rPr>
          <w:rFonts w:ascii="Times New Roman" w:hAnsi="Times New Roman"/>
          <w:b/>
          <w:i w:val="0"/>
          <w:sz w:val="28"/>
        </w:rPr>
        <w:t>LIST OF TABLES</w:t>
      </w:r>
    </w:p>
    <w:p>
      <w:pPr>
        <w:spacing w:before="20" w:after="20"/>
        <w:tabs>
          <w:tab w:val="right" w:leader="dot" w:pos="9072"/>
        </w:tabs>
      </w:pPr>
      <w:r>
        <w:rPr>
          <w:rFonts w:ascii="Times New Roman" w:hAnsi="Times New Roman"/>
          <w:b w:val="0"/>
          <w:i w:val="0"/>
          <w:sz w:val="22"/>
        </w:rPr>
        <w:t>Table 1. Sets and Parameters of the MILP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Table 2. MCDM Criteria Summary</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Table 3. EW Window Analysis Results (W = 3 to W = 10)</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Table 4. January 2026 Allocation Summary by Model Group</w:t>
      </w:r>
      <w:r>
        <w:rPr>
          <w:rFonts w:ascii="Times New Roman" w:hAnsi="Times New Roman"/>
          <w:b w:val="0"/>
          <w:i w:val="0"/>
          <w:sz w:val="22"/>
        </w:rPr>
        <w:tab/>
        <w:t>28</w:t>
      </w:r>
    </w:p>
    <w:p>
      <w:pPr>
        <w:spacing w:before="0" w:after="0"/>
      </w:pPr>
    </w:p>
    <w:p>
      <w:pPr>
        <w:spacing w:before="240" w:after="120"/>
        <w:jc w:val="left"/>
      </w:pPr>
      <w:r>
        <w:rPr>
          <w:rFonts w:ascii="Times New Roman" w:hAnsi="Times New Roman"/>
          <w:b/>
          <w:i w:val="0"/>
          <w:sz w:val="28"/>
        </w:rPr>
        <w:t>LIST OF FIGURES</w:t>
      </w:r>
    </w:p>
    <w:p>
      <w:pPr>
        <w:spacing w:before="20" w:after="20"/>
        <w:tabs>
          <w:tab w:val="right" w:leader="dot" w:pos="9072"/>
        </w:tabs>
      </w:pPr>
      <w:r>
        <w:rPr>
          <w:rFonts w:ascii="Times New Roman" w:hAnsi="Times New Roman"/>
          <w:b w:val="0"/>
          <w:i w:val="0"/>
          <w:sz w:val="22"/>
        </w:rPr>
        <w:t>Figure 1. System Architecture Overview (Three-Layer Framework)</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Figure 2. STL Decomposition Example — Brand Monthly Sales 2024–2025</w:t>
      </w:r>
      <w:r>
        <w:rPr>
          <w:rFonts w:ascii="Times New Roman" w:hAnsi="Times New Roman"/>
          <w:b w:val="0"/>
          <w:i w:val="0"/>
          <w:sz w:val="22"/>
        </w:rPr>
        <w:tab/>
        <w:t>14</w:t>
      </w:r>
    </w:p>
    <w:p>
      <w:pPr>
        <w:spacing w:before="20" w:after="20"/>
        <w:tabs>
          <w:tab w:val="right" w:leader="dot" w:pos="9072"/>
        </w:tabs>
      </w:pPr>
      <w:r>
        <w:rPr>
          <w:rFonts w:ascii="Times New Roman" w:hAnsi="Times New Roman"/>
          <w:b w:val="0"/>
          <w:i w:val="0"/>
          <w:sz w:val="22"/>
        </w:rPr>
        <w:t>Figure 3. Seasonal Index by Month for All Vehicle Model Groups</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Figure 4. EW Window MAE Comparison Chart (W = 3 to W = 19)</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Figure 5. MCDM Composite Score Distribution Across 28 Dealers</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Figure 6. January 2026 Allocation Results by Dealer</w:t>
      </w:r>
      <w:r>
        <w:rPr>
          <w:rFonts w:ascii="Times New Roman" w:hAnsi="Times New Roman"/>
          <w:b w:val="0"/>
          <w:i w:val="0"/>
          <w:sz w:val="22"/>
        </w:rPr>
        <w:tab/>
        <w:t>28</w:t>
      </w:r>
    </w:p>
    <w:p>
      <w:r>
        <w:br w:type="page"/>
      </w:r>
    </w:p>
    <w:p>
      <w:pPr>
        <w:spacing w:before="240" w:after="120"/>
        <w:jc w:val="left"/>
      </w:pPr>
      <w:r>
        <w:rPr>
          <w:rFonts w:ascii="Times New Roman" w:hAnsi="Times New Roman"/>
          <w:b/>
          <w:i w:val="0"/>
          <w:sz w:val="28"/>
        </w:rPr>
        <w:t>ABBREVIATIONS</w:t>
      </w:r>
    </w:p>
    <w:p>
      <w:pPr>
        <w:spacing w:before="20" w:after="20"/>
        <w:tabs>
          <w:tab w:val="left" w:pos="1440"/>
        </w:tabs>
      </w:pPr>
      <w:r>
        <w:rPr>
          <w:rFonts w:ascii="Times New Roman" w:hAnsi="Times New Roman"/>
          <w:b/>
          <w:i w:val="0"/>
          <w:sz w:val="22"/>
        </w:rPr>
        <w:t>CBC</w:t>
      </w:r>
      <w:r>
        <w:rPr>
          <w:rFonts w:ascii="Times New Roman" w:hAnsi="Times New Roman"/>
          <w:b w:val="0"/>
          <w:i w:val="0"/>
          <w:sz w:val="22"/>
        </w:rPr>
        <w:tab/>
        <w:t>COIN-OR Branch and Cut (open-source MIP solver)</w:t>
      </w:r>
    </w:p>
    <w:p>
      <w:pPr>
        <w:spacing w:before="20" w:after="20"/>
        <w:tabs>
          <w:tab w:val="left" w:pos="1440"/>
        </w:tabs>
      </w:pPr>
      <w:r>
        <w:rPr>
          <w:rFonts w:ascii="Times New Roman" w:hAnsi="Times New Roman"/>
          <w:b/>
          <w:i w:val="0"/>
          <w:sz w:val="22"/>
        </w:rPr>
        <w:t>EWMA</w:t>
      </w:r>
      <w:r>
        <w:rPr>
          <w:rFonts w:ascii="Times New Roman" w:hAnsi="Times New Roman"/>
          <w:b w:val="0"/>
          <w:i w:val="0"/>
          <w:sz w:val="22"/>
        </w:rPr>
        <w:tab/>
        <w:t>Exponentially Weighted Moving Average</w:t>
      </w:r>
    </w:p>
    <w:p>
      <w:pPr>
        <w:spacing w:before="20" w:after="20"/>
        <w:tabs>
          <w:tab w:val="left" w:pos="1440"/>
        </w:tabs>
      </w:pPr>
      <w:r>
        <w:rPr>
          <w:rFonts w:ascii="Times New Roman" w:hAnsi="Times New Roman"/>
          <w:b/>
          <w:i w:val="0"/>
          <w:sz w:val="22"/>
        </w:rPr>
        <w:t>KPI</w:t>
      </w:r>
      <w:r>
        <w:rPr>
          <w:rFonts w:ascii="Times New Roman" w:hAnsi="Times New Roman"/>
          <w:b w:val="0"/>
          <w:i w:val="0"/>
          <w:sz w:val="22"/>
        </w:rPr>
        <w:tab/>
        <w:t>Key Performance Indicator</w:t>
      </w:r>
    </w:p>
    <w:p>
      <w:pPr>
        <w:spacing w:before="20" w:after="20"/>
        <w:tabs>
          <w:tab w:val="left" w:pos="1440"/>
        </w:tabs>
      </w:pPr>
      <w:r>
        <w:rPr>
          <w:rFonts w:ascii="Times New Roman" w:hAnsi="Times New Roman"/>
          <w:b/>
          <w:i w:val="0"/>
          <w:sz w:val="22"/>
        </w:rPr>
        <w:t>LP</w:t>
      </w:r>
      <w:r>
        <w:rPr>
          <w:rFonts w:ascii="Times New Roman" w:hAnsi="Times New Roman"/>
          <w:b w:val="0"/>
          <w:i w:val="0"/>
          <w:sz w:val="22"/>
        </w:rPr>
        <w:tab/>
        <w:t>Location-Product Fit Score (also: Linear Program in context)</w:t>
      </w:r>
    </w:p>
    <w:p>
      <w:pPr>
        <w:spacing w:before="20" w:after="20"/>
        <w:tabs>
          <w:tab w:val="left" w:pos="1440"/>
        </w:tabs>
      </w:pPr>
      <w:r>
        <w:rPr>
          <w:rFonts w:ascii="Times New Roman" w:hAnsi="Times New Roman"/>
          <w:b/>
          <w:i w:val="0"/>
          <w:sz w:val="22"/>
        </w:rPr>
        <w:t>MAE</w:t>
      </w:r>
      <w:r>
        <w:rPr>
          <w:rFonts w:ascii="Times New Roman" w:hAnsi="Times New Roman"/>
          <w:b w:val="0"/>
          <w:i w:val="0"/>
          <w:sz w:val="22"/>
        </w:rPr>
        <w:tab/>
        <w:t>Mean Absolute Error</w:t>
      </w:r>
    </w:p>
    <w:p>
      <w:pPr>
        <w:spacing w:before="20" w:after="20"/>
        <w:tabs>
          <w:tab w:val="left" w:pos="1440"/>
        </w:tabs>
      </w:pPr>
      <w:r>
        <w:rPr>
          <w:rFonts w:ascii="Times New Roman" w:hAnsi="Times New Roman"/>
          <w:b/>
          <w:i w:val="0"/>
          <w:sz w:val="22"/>
        </w:rPr>
        <w:t>MCDM</w:t>
      </w:r>
      <w:r>
        <w:rPr>
          <w:rFonts w:ascii="Times New Roman" w:hAnsi="Times New Roman"/>
          <w:b w:val="0"/>
          <w:i w:val="0"/>
          <w:sz w:val="22"/>
        </w:rPr>
        <w:tab/>
        <w:t>Multi-Criteria Decision Making</w:t>
      </w:r>
    </w:p>
    <w:p>
      <w:pPr>
        <w:spacing w:before="20" w:after="20"/>
        <w:tabs>
          <w:tab w:val="left" w:pos="1440"/>
        </w:tabs>
      </w:pPr>
      <w:r>
        <w:rPr>
          <w:rFonts w:ascii="Times New Roman" w:hAnsi="Times New Roman"/>
          <w:b/>
          <w:i w:val="0"/>
          <w:sz w:val="22"/>
        </w:rPr>
        <w:t>MILP</w:t>
      </w:r>
      <w:r>
        <w:rPr>
          <w:rFonts w:ascii="Times New Roman" w:hAnsi="Times New Roman"/>
          <w:b w:val="0"/>
          <w:i w:val="0"/>
          <w:sz w:val="22"/>
        </w:rPr>
        <w:tab/>
        <w:t>Mixed-Integer Linear Programming</w:t>
      </w:r>
    </w:p>
    <w:p>
      <w:pPr>
        <w:spacing w:before="20" w:after="20"/>
        <w:tabs>
          <w:tab w:val="left" w:pos="1440"/>
        </w:tabs>
      </w:pPr>
      <w:r>
        <w:rPr>
          <w:rFonts w:ascii="Times New Roman" w:hAnsi="Times New Roman"/>
          <w:b/>
          <w:i w:val="0"/>
          <w:sz w:val="22"/>
        </w:rPr>
        <w:t>RMSE</w:t>
      </w:r>
      <w:r>
        <w:rPr>
          <w:rFonts w:ascii="Times New Roman" w:hAnsi="Times New Roman"/>
          <w:b w:val="0"/>
          <w:i w:val="0"/>
          <w:sz w:val="22"/>
        </w:rPr>
        <w:tab/>
        <w:t>Root Mean Square Error</w:t>
      </w:r>
    </w:p>
    <w:p>
      <w:pPr>
        <w:spacing w:before="20" w:after="20"/>
        <w:tabs>
          <w:tab w:val="left" w:pos="1440"/>
        </w:tabs>
      </w:pPr>
      <w:r>
        <w:rPr>
          <w:rFonts w:ascii="Times New Roman" w:hAnsi="Times New Roman"/>
          <w:b/>
          <w:i w:val="0"/>
          <w:sz w:val="22"/>
        </w:rPr>
        <w:t>SI</w:t>
      </w:r>
      <w:r>
        <w:rPr>
          <w:rFonts w:ascii="Times New Roman" w:hAnsi="Times New Roman"/>
          <w:b w:val="0"/>
          <w:i w:val="0"/>
          <w:sz w:val="22"/>
        </w:rPr>
        <w:tab/>
        <w:t>Seasonal Index</w:t>
      </w:r>
    </w:p>
    <w:p>
      <w:pPr>
        <w:spacing w:before="20" w:after="20"/>
        <w:tabs>
          <w:tab w:val="left" w:pos="1440"/>
        </w:tabs>
      </w:pPr>
      <w:r>
        <w:rPr>
          <w:rFonts w:ascii="Times New Roman" w:hAnsi="Times New Roman"/>
          <w:b/>
          <w:i w:val="0"/>
          <w:sz w:val="22"/>
        </w:rPr>
        <w:t>STL</w:t>
      </w:r>
      <w:r>
        <w:rPr>
          <w:rFonts w:ascii="Times New Roman" w:hAnsi="Times New Roman"/>
          <w:b w:val="0"/>
          <w:i w:val="0"/>
          <w:sz w:val="22"/>
        </w:rPr>
        <w:tab/>
        <w:t>Seasonal-Trend decomposition using Loess</w:t>
      </w:r>
    </w:p>
    <w:p>
      <w:pPr>
        <w:spacing w:before="20" w:after="20"/>
        <w:tabs>
          <w:tab w:val="left" w:pos="1440"/>
        </w:tabs>
      </w:pPr>
      <w:r>
        <w:rPr>
          <w:rFonts w:ascii="Times New Roman" w:hAnsi="Times New Roman"/>
          <w:b/>
          <w:i w:val="0"/>
          <w:sz w:val="22"/>
        </w:rPr>
        <w:t>SUV</w:t>
      </w:r>
      <w:r>
        <w:rPr>
          <w:rFonts w:ascii="Times New Roman" w:hAnsi="Times New Roman"/>
          <w:b w:val="0"/>
          <w:i w:val="0"/>
          <w:sz w:val="22"/>
        </w:rPr>
        <w:tab/>
        <w:t>Sport Utility Vehicle</w:t>
      </w:r>
    </w:p>
    <w:p>
      <w:pPr>
        <w:spacing w:before="20" w:after="20"/>
        <w:tabs>
          <w:tab w:val="left" w:pos="1440"/>
        </w:tabs>
      </w:pPr>
      <w:r>
        <w:rPr>
          <w:rFonts w:ascii="Times New Roman" w:hAnsi="Times New Roman"/>
          <w:b/>
          <w:i w:val="0"/>
          <w:sz w:val="22"/>
        </w:rPr>
        <w:t>TÜİK</w:t>
      </w:r>
      <w:r>
        <w:rPr>
          <w:rFonts w:ascii="Times New Roman" w:hAnsi="Times New Roman"/>
          <w:b w:val="0"/>
          <w:i w:val="0"/>
          <w:sz w:val="22"/>
        </w:rPr>
        <w:tab/>
        <w:t>Türkiye İstatistik Kurumu (Turkish Statistical Institute)</w:t>
      </w:r>
    </w:p>
    <w:p>
      <w:pPr>
        <w:spacing w:before="20" w:after="20"/>
        <w:tabs>
          <w:tab w:val="left" w:pos="1440"/>
        </w:tabs>
      </w:pPr>
      <w:r>
        <w:rPr>
          <w:rFonts w:ascii="Times New Roman" w:hAnsi="Times New Roman"/>
          <w:b/>
          <w:i w:val="0"/>
          <w:sz w:val="22"/>
        </w:rPr>
        <w:t>VAP</w:t>
      </w:r>
      <w:r>
        <w:rPr>
          <w:rFonts w:ascii="Times New Roman" w:hAnsi="Times New Roman"/>
          <w:b w:val="0"/>
          <w:i w:val="0"/>
          <w:sz w:val="22"/>
        </w:rPr>
        <w:tab/>
        <w:t>Vehicle Allocation Problem</w:t>
      </w:r>
    </w:p>
    <w:p>
      <w:pPr>
        <w:spacing w:before="20" w:after="20"/>
        <w:tabs>
          <w:tab w:val="left" w:pos="1440"/>
        </w:tabs>
      </w:pPr>
      <w:r>
        <w:rPr>
          <w:rFonts w:ascii="Times New Roman" w:hAnsi="Times New Roman"/>
          <w:b/>
          <w:i w:val="0"/>
          <w:sz w:val="22"/>
        </w:rPr>
        <w:t>YTD</w:t>
      </w:r>
      <w:r>
        <w:rPr>
          <w:rFonts w:ascii="Times New Roman" w:hAnsi="Times New Roman"/>
          <w:b w:val="0"/>
          <w:i w:val="0"/>
          <w:sz w:val="22"/>
        </w:rPr>
        <w:tab/>
        <w:t>Year-to-Date</w:t>
      </w:r>
    </w:p>
    <w:p>
      <w:r>
        <w:br w:type="page"/>
      </w:r>
    </w:p>
    <w:p>
      <w:r>
        <w:br w:type="page"/>
      </w:r>
    </w:p>
    <w:p>
      <w:pPr>
        <w:pStyle w:val="Heading1"/>
      </w:pPr>
      <w:r>
        <w:t>1. INTRODUCTION</w:t>
      </w:r>
    </w:p>
    <w:p>
      <w:pPr>
        <w:pStyle w:val="Heading2"/>
      </w:pPr>
      <w:r>
        <w:t>1.1 Motivation and Problem Statement</w:t>
      </w:r>
    </w:p>
    <w:p>
      <w:pPr>
        <w:spacing w:after="120"/>
      </w:pPr>
      <w:r>
        <w:rPr>
          <w:b w:val="0"/>
          <w:i w:val="0"/>
        </w:rPr>
        <w:t>The Turkish automotive market ranks among the largest in Europe by registered vehicle volume, with 17,373,581 registered automobiles as of December 2025 (TÜİK, 2026). Within this competitive environment, Sport Utility Vehicle (SUV) manufacturers distribute monthly inventory allocations to their dealer networks under strict supply constraints. The central challenge — allocating a limited number of vehicles across geographically dispersed dealerships with heterogeneous sales profiles, seasonal demand patterns, and year-to-date performance gaps — constitutes the Vehicle Allocation Problem (VAP), a well-studied but practically underserved area of operations research.</w:t>
      </w:r>
    </w:p>
    <w:p>
      <w:pPr>
        <w:spacing w:after="120"/>
      </w:pPr>
      <w:r>
        <w:rPr>
          <w:b w:val="0"/>
          <w:i w:val="0"/>
        </w:rPr>
        <w:t>In the absence of a systematic decision-support system, allocation decisions are typically made by regional sales managers relying on intuition, historical averages, and dealer lobbying. This approach produces three recurring failure modes: (i)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pPr>
        <w:spacing w:after="120"/>
      </w:pPr>
      <w:r>
        <w:rPr>
          <w:b w:val="0"/>
          <w:i w:val="0"/>
        </w:rPr>
        <w:t>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Streamlit dashboard. The January 2026 case study demonstrates that 603 vehicles can be optimally allocated to 22 active dealers in under 0.3 seconds, directing scarce inventory toward high-composite-score dealers while enforcing ±20% quota bounds.</w:t>
      </w:r>
    </w:p>
    <w:p>
      <w:pPr>
        <w:pStyle w:val="Heading2"/>
      </w:pPr>
      <w:r>
        <w:t>1.2 Research Objectives</w:t>
      </w:r>
    </w:p>
    <w:p>
      <w:pPr>
        <w:spacing w:after="120"/>
      </w:pPr>
      <w:r>
        <w:rPr>
          <w:b w:val="0"/>
          <w:i w:val="0"/>
        </w:rPr>
        <w:t>This thesis pursues four interrelated research objectives:</w:t>
      </w:r>
    </w:p>
    <w:p>
      <w:pPr>
        <w:pStyle w:val="ListBullet"/>
        <w:ind w:left="567"/>
      </w:pPr>
      <w:r>
        <w:t>RO1: Design and validate a seasonal demand forecasting pipeline combining STL decomposition, Prophet-based market projection, and EWMA smoothing for dealer-level monthly demand estimation.</w:t>
      </w:r>
    </w:p>
    <w:p>
      <w:pPr>
        <w:pStyle w:val="ListBullet"/>
        <w:ind w:left="567"/>
      </w:pPr>
      <w:r>
        <w:t>RO2: Develop an MCDM scoring framework that integrates performance history, location-product fit (via cosine similarity), seasonal alignment, and target proximity into a single composite score.</w:t>
      </w:r>
    </w:p>
    <w:p>
      <w:pPr>
        <w:pStyle w:val="ListBullet"/>
        <w:ind w:left="567"/>
      </w:pPr>
      <w:r>
        <w:t>RO3: Formulate and solve the monthly vehicle allocation problem as a MILP, demonstrating practical solvability with open-source tools (PuLP + CBC solver) on real-scale instances.</w:t>
      </w:r>
    </w:p>
    <w:p>
      <w:pPr>
        <w:pStyle w:val="ListBullet"/>
        <w:ind w:left="567"/>
      </w:pPr>
      <w:r>
        <w:t>RO4: Deploy the integrated system as a Streamlit dashboard accessible to business users without programming knowledge, with real-time scenario analysis and anonymized demo mode.</w:t>
      </w:r>
    </w:p>
    <w:p>
      <w:pPr>
        <w:pStyle w:val="Heading2"/>
      </w:pPr>
      <w:r>
        <w:t>1.3 Scope and Limitations</w:t>
      </w:r>
    </w:p>
    <w:p>
      <w:pPr>
        <w:spacing w:after="120"/>
      </w:pPr>
      <w:r>
        <w:rPr>
          <w:b w:val="0"/>
          <w:i w:val="0"/>
        </w:rPr>
        <w:t>The system is designed specifically for the SUV portfolio of a single automotive brand operating in Turkey. The following constraints define the scope:</w:t>
      </w:r>
    </w:p>
    <w:p>
      <w:pPr>
        <w:pStyle w:val="ListBullet"/>
        <w:ind w:left="567"/>
      </w:pPr>
      <w:r>
        <w:t>The planning horizon is monthly; intra-month reallocation is out of scope.</w:t>
      </w:r>
    </w:p>
    <w:p>
      <w:pPr>
        <w:pStyle w:val="ListBullet"/>
        <w:ind w:left="567"/>
      </w:pPr>
      <w:r>
        <w:t>Dealer stock capacity constraints are omitted because monthly throughput remains well below 1,000 units per dealer.</w:t>
      </w:r>
    </w:p>
    <w:p>
      <w:pPr>
        <w:pStyle w:val="ListBullet"/>
        <w:ind w:left="567"/>
      </w:pPr>
      <w:r>
        <w:t>Engine type, transmission, and fuel variant distinctions are not modelled; all vehicles are classified by model (A1, A2, A3, B1), version (V01, V02), and color.</w:t>
      </w:r>
    </w:p>
    <w:p>
      <w:pPr>
        <w:pStyle w:val="ListBullet"/>
        <w:ind w:left="567"/>
      </w:pPr>
      <w:r>
        <w:t>The MILP assumes composite score independence from allocation quantity (linear objective).</w:t>
      </w:r>
    </w:p>
    <w:p>
      <w:pPr>
        <w:pStyle w:val="ListBullet"/>
        <w:ind w:left="567"/>
      </w:pPr>
      <w:r>
        <w:t>Geographic catchment for quota computation uses province-level automobile stock from TÜİK December 2025; intra-province competition is not modelled.</w:t>
      </w:r>
    </w:p>
    <w:p>
      <w:pPr>
        <w:pStyle w:val="ListBullet"/>
        <w:ind w:left="567"/>
      </w:pPr>
      <w:r>
        <w:t>The system covers only Dealers 1–28; dealer entry/exit is handled by the Bayi-Aktiflik-Durumu.csv activity file.</w:t>
      </w:r>
    </w:p>
    <w:p>
      <w:pPr>
        <w:pStyle w:val="Heading2"/>
      </w:pPr>
      <w:r>
        <w:t>1.4 Thesis Organization</w:t>
      </w:r>
    </w:p>
    <w:p>
      <w:pPr>
        <w:spacing w:after="120"/>
      </w:pPr>
      <w:r>
        <w:rPr>
          <w:b w:val="0"/>
          <w:i w:val="0"/>
        </w:rPr>
        <w:t>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the January 2026 case study. Chapter 8 documents the Streamlit dashboard deployment. Chapter 9 concludes with contributions, limitations, and future directions.</w:t>
      </w:r>
    </w:p>
    <w:p>
      <w:r>
        <w:br w:type="page"/>
      </w:r>
    </w:p>
    <w:p>
      <w:pPr>
        <w:pStyle w:val="Heading1"/>
      </w:pPr>
      <w:r>
        <w:t>2. LITERATURE REVIEW</w:t>
      </w:r>
    </w:p>
    <w:p>
      <w:pPr>
        <w:pStyle w:val="Heading2"/>
      </w:pPr>
      <w:r>
        <w:t>2.1 Vehicle Allocation Problem</w:t>
      </w:r>
    </w:p>
    <w:p>
      <w:pPr>
        <w:spacing w:after="120"/>
      </w:pPr>
      <w:r>
        <w:rPr>
          <w:b w:val="0"/>
          <w:i w:val="0"/>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pPr>
        <w:spacing w:after="120"/>
      </w:pPr>
      <w:r>
        <w:rPr>
          <w:b w:val="0"/>
          <w:i w:val="0"/>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pPr>
        <w:spacing w:after="120"/>
      </w:pPr>
      <w:r>
        <w:rPr>
          <w:b w:val="0"/>
          <w:i w:val="0"/>
        </w:rPr>
        <w:t>The present work differs from classical VAP literature in two important respects: (i)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pPr>
        <w:pStyle w:val="Heading2"/>
      </w:pPr>
      <w:r>
        <w:t>2.2 Time Series Forecasting in Automotive Contexts</w:t>
      </w:r>
    </w:p>
    <w:p>
      <w:pPr>
        <w:spacing w:after="120"/>
      </w:pPr>
      <w:r>
        <w:rPr>
          <w:b w:val="0"/>
          <w:i w:val="0"/>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pPr>
        <w:spacing w:after="120"/>
      </w:pPr>
      <w:r>
        <w:rPr>
          <w:b w:val="0"/>
          <w:i w:val="0"/>
        </w:rPr>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pPr>
        <w:spacing w:after="120"/>
      </w:pPr>
      <w:r>
        <w:rPr>
          <w:b w:val="0"/>
          <w:i w:val="0"/>
        </w:rPr>
        <w:t>Wickramasuriya et al. (2019) review hierarchical time series forecasting methods relevant to this work: the system must produce estimates at both the total-brand level (for inventory budgeting) and the dealer level (for quota computation). The MinT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pPr>
        <w:pStyle w:val="Heading2"/>
      </w:pPr>
      <w:r>
        <w:t>2.3 Multi-Criteria Decision Making in Inventory Allocation</w:t>
      </w:r>
    </w:p>
    <w:p>
      <w:pPr>
        <w:spacing w:after="120"/>
      </w:pPr>
      <w:r>
        <w:rPr>
          <w:b w:val="0"/>
          <w:i w:val="0"/>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pPr>
        <w:spacing w:after="120"/>
      </w:pPr>
      <w:r>
        <w:rPr>
          <w:b w:val="0"/>
          <w:i w:val="0"/>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pPr>
        <w:pStyle w:val="Heading2"/>
      </w:pPr>
      <w:r>
        <w:t>2.4 Assortment Optimization and Collaborative Filtering</w:t>
      </w:r>
    </w:p>
    <w:p>
      <w:pPr>
        <w:spacing w:after="120"/>
      </w:pPr>
      <w:r>
        <w:rPr>
          <w:b w:val="0"/>
          <w:i w:val="0"/>
        </w:rPr>
        <w:t>The Location-Product Fit score (LP) is computed using cosine similarity between the dealer's historical color/version sales vector and the current depot inventory vector. This approach draws directly from item-item collaborative filtering as described by Koren et al. (2009) in the context of recommendation systems. In the vehicle allocation setting, the "item" is a (model, version, color) triplet, and the "user" is a dealer whose historical purchases reveal latent local customer preferences.</w:t>
      </w:r>
    </w:p>
    <w:p>
      <w:pPr>
        <w:spacing w:after="120"/>
      </w:pPr>
      <w:r>
        <w:rPr>
          <w:b w:val="0"/>
          <w:i w:val="0"/>
        </w:rPr>
        <w:t>Kok et al. (2008) review assortment optimization — the problem of selecting which product variants to stock at each location — and show that demand substitution effects create interdependencies that pure cosine similarity ignores. Rendle (2010) describes factorization machines as a generalization that can capture such interactions; adapting this approach to the LP score is identified as a direction for future work in Chapter 9.</w:t>
      </w:r>
    </w:p>
    <w:p>
      <w:pPr>
        <w:pStyle w:val="Heading2"/>
      </w:pPr>
      <w:r>
        <w:t>2.5 Mixed-Integer Linear Programming for Distribution</w:t>
      </w:r>
    </w:p>
    <w:p>
      <w:pPr>
        <w:spacing w:after="120"/>
      </w:pPr>
      <w:r>
        <w:rPr>
          <w:b w:val="0"/>
          <w:i w:val="0"/>
        </w:rPr>
        <w:t>Mixed-Integer Linear Programming extends linear programming by requiring some decision variables to take integer values. Dantzig (1963) established the foundational theory; modern branch-and-cut algorithms implemented in open-source solvers such as CBC (COIN-OR Branch and Cut) routinely solve instances with thousands of integer variables to global optimality in seconds.</w:t>
      </w:r>
    </w:p>
    <w:p>
      <w:pPr>
        <w:spacing w:after="120"/>
      </w:pPr>
      <w:r>
        <w:rPr>
          <w:b w:val="0"/>
          <w:i w:val="0"/>
        </w:rPr>
        <w:t>PuLP is a Python linear programming modeler that provides a high-level API mirroring the mathematical notation of LP formulations. Its tight integration with CBC — used without license restrictions in commercial and academic settings — makes it the natural choice for a cloud-deployed system where solver licensing costs must be zero. The January 2026 instance (88 integer variables, 92 constraints) is solved in under 0.3 seconds, confirming that the VAP instances encountered in this application are trivially tractable for modern MILP solvers.</w:t>
      </w:r>
    </w:p>
    <w:p>
      <w:r>
        <w:br w:type="page"/>
      </w:r>
    </w:p>
    <w:p>
      <w:pPr>
        <w:pStyle w:val="Heading1"/>
      </w:pPr>
      <w:r>
        <w:t>3. SYSTEM ARCHITECTURE AND DATA</w:t>
      </w:r>
    </w:p>
    <w:p>
      <w:pPr>
        <w:pStyle w:val="Heading2"/>
      </w:pPr>
      <w:r>
        <w:t>3.1 Overall Three-Layer Architecture</w:t>
      </w:r>
    </w:p>
    <w:p>
      <w:pPr>
        <w:spacing w:after="120"/>
      </w:pPr>
      <w:r>
        <w:rPr>
          <w:b w:val="0"/>
          <w:i w:val="0"/>
        </w:rPr>
        <w:t>The decision-support system is organized into three computationally and conceptually distinct layers implemented as Python modules in a GitHub repository. Data flows from raw CSV files through Layers 1–3 and is surfaced to end users through the Streamlit dashboard. Figure 1 illustrates the full architecture.</w:t>
      </w:r>
    </w:p>
    <w:p>
      <w:pPr>
        <w:jc w:val="center"/>
      </w:pPr>
      <w:r>
        <w:drawing>
          <wp:inline xmlns:a="http://schemas.openxmlformats.org/drawingml/2006/main" xmlns:pic="http://schemas.openxmlformats.org/drawingml/2006/picture">
            <wp:extent cx="5486400" cy="318119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486400" cy="3181190"/>
                    </a:xfrm>
                    <a:prstGeom prst="rect"/>
                  </pic:spPr>
                </pic:pic>
              </a:graphicData>
            </a:graphic>
          </wp:inline>
        </w:drawing>
      </w:r>
    </w:p>
    <w:p>
      <w:pPr>
        <w:spacing w:after="240"/>
        <w:jc w:val="center"/>
      </w:pPr>
      <w:r>
        <w:rPr>
          <w:b/>
          <w:sz w:val="20"/>
        </w:rPr>
        <w:t>Figure 1. Three-Layer Decision Support System Architecture</w:t>
      </w:r>
    </w:p>
    <w:p>
      <w:pPr>
        <w:spacing w:after="120"/>
      </w:pPr>
      <w:r>
        <w:rPr>
          <w:b w:val="0"/>
          <w:i w:val="0"/>
        </w:rPr>
        <w:t>Layer 1 (Demand Forecasting) ingests 24 months of historical sales data and produces: (a) monthly seasonal indices SI_{m} for each model group, and (b) annual brand-level demand projection for 2026. Layer 2 (MCDM Scoring) combines seasonal indices with 2025 performance records and current inventory to compute a composite score C_d ∈ [0,1] for each dealer. Layer 3 (MILP Allocation) maximizes Σ C_d · x[v][d] subject to inventory availability and quota bound constraints, producing the monthly allocation matrix x[v][d].</w:t>
      </w:r>
    </w:p>
    <w:p>
      <w:pPr>
        <w:spacing w:after="120"/>
      </w:pPr>
      <w:r>
        <w:rPr>
          <w:b w:val="0"/>
          <w:i w:val="0"/>
        </w:rPr>
        <w:t>All modules are cloud-native: paths use Python's pathlib.Path with repository-relative references, data files are UTF-8 encoded CSVs committed to the repository, and the dashboard is deployed on Streamlit Cloud reading from the main branch. GitHub Actions CI runs pytest and ruff on every pull request. A secrets.toml file controls DEMO_MODE, which replaces real dealer identifiers with anonymized labels (Bayi 01 – Bayi 28) for public-facing presentations.</w:t>
      </w:r>
    </w:p>
    <w:p>
      <w:pPr>
        <w:pStyle w:val="Heading2"/>
      </w:pPr>
      <w:r>
        <w:t>3.2 Data Sources and Preprocessing</w:t>
      </w:r>
    </w:p>
    <w:p>
      <w:pPr>
        <w:spacing w:after="120"/>
      </w:pPr>
      <w:r>
        <w:rPr>
          <w:b w:val="0"/>
          <w:i w:val="0"/>
        </w:rPr>
        <w:t>Six primary CSV data files constitute the system's input layer:</w:t>
      </w:r>
    </w:p>
    <w:p>
      <w:pPr>
        <w:pStyle w:val="ListBullet"/>
        <w:ind w:left="567"/>
      </w:pPr>
      <w:r>
        <w:t>sales_2024_2025.csv — Chassis-level sales transactions (January 2024 – December 2025). Each row: dealer, model, version, color, sale date. Used for STL decomposition and LP score vector construction.</w:t>
      </w:r>
    </w:p>
    <w:p>
      <w:pPr>
        <w:pStyle w:val="ListBullet"/>
        <w:ind w:left="567"/>
      </w:pPr>
      <w:r>
        <w:t>dealer_targets_2026.csv — Annual and monthly dealer targets for 2026 expressed in vehicle units. Used to derive quota bounds in the MILP.</w:t>
      </w:r>
    </w:p>
    <w:p>
      <w:pPr>
        <w:pStyle w:val="ListBullet"/>
        <w:ind w:left="567"/>
      </w:pPr>
      <w:r>
        <w:t>dealer_locations.csv — Geographic attributes: province (il), district (ilçe), latitude, longitude. Used for catchment market share calculation.</w:t>
      </w:r>
    </w:p>
    <w:p>
      <w:pPr>
        <w:pStyle w:val="ListBullet"/>
        <w:ind w:left="567"/>
      </w:pPr>
      <w:r>
        <w:t>monthly_performance_2025.csv — Monthly target, actual sales, and achievement percentage per dealer for 2025. Primary input for P score computation.</w:t>
      </w:r>
    </w:p>
    <w:p>
      <w:pPr>
        <w:pStyle w:val="ListBullet"/>
        <w:ind w:left="567"/>
      </w:pPr>
      <w:r>
        <w:t>competitor_sales.csv — Provincial market share data for competing brands. Used for context in the pazar_kapasitesi analysis.</w:t>
      </w:r>
    </w:p>
    <w:p>
      <w:pPr>
        <w:pStyle w:val="ListBullet"/>
        <w:ind w:left="567"/>
      </w:pPr>
      <w:r>
        <w:t>inventory_2026_01.csv — Chassis-level central depot inventory for January 2026: 603 vehicles across four active model-version groups (A1V01, A2V02, A3V02, B1V01).</w:t>
      </w:r>
    </w:p>
    <w:p>
      <w:pPr>
        <w:spacing w:after="120"/>
      </w:pPr>
      <w:r>
        <w:rPr>
          <w:b w:val="0"/>
          <w:i w:val="0"/>
        </w:rPr>
        <w:t>Preprocessing steps: (a) deduplication of chassis records; (b) UTF-8 normalization of Turkish characters — specifically, İ→i and I→i before lowercasing to avoid Python's locale-dependent str.lower() producing incorrect results for İzmir (İ.lower() returns "i̇", a two-character sequence); (c) date parsing to pandas Period objects with monthly frequency; (d) province name normalization for joining dealer_locations with TÜİK provincial data.</w:t>
      </w:r>
    </w:p>
    <w:p>
      <w:pPr>
        <w:pStyle w:val="Heading2"/>
      </w:pPr>
      <w:r>
        <w:t>3.3 Vehicle Portfolio and Market Structure</w:t>
      </w:r>
    </w:p>
    <w:p>
      <w:pPr>
        <w:spacing w:after="120"/>
      </w:pPr>
      <w:r>
        <w:rPr>
          <w:b w:val="0"/>
          <w:i w:val="0"/>
        </w:rPr>
        <w:t>The brand's portfolio in January 2026 consists of four active model-version groups, all in the SUV segment:</w:t>
      </w:r>
    </w:p>
    <w:p>
      <w:pPr>
        <w:spacing w:after="80"/>
        <w:jc w:val="center"/>
      </w:pPr>
      <w:r>
        <w:rPr>
          <w:b/>
          <w:sz w:val="20"/>
        </w:rPr>
        <w:t>Table 0. January 2026 Active Vehicle Portfolio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6E4F0"/>
          </w:tcPr>
          <w:p>
            <w:pPr>
              <w:jc w:val="center"/>
            </w:pPr>
            <w:r/>
            <w:r>
              <w:rPr>
                <w:b/>
                <w:sz w:val="18"/>
              </w:rPr>
              <w:t>Model-Version</w:t>
            </w:r>
          </w:p>
        </w:tc>
        <w:tc>
          <w:tcPr>
            <w:tcW w:type="dxa" w:w="1881"/>
            <w:shd w:val="clear" w:color="auto" w:fill="D6E4F0"/>
          </w:tcPr>
          <w:p>
            <w:pPr>
              <w:jc w:val="center"/>
            </w:pPr>
            <w:r/>
            <w:r>
              <w:rPr>
                <w:b/>
                <w:sz w:val="18"/>
              </w:rPr>
              <w:t>Chassis Prefix</w:t>
            </w:r>
          </w:p>
        </w:tc>
        <w:tc>
          <w:tcPr>
            <w:tcW w:type="dxa" w:w="1881"/>
            <w:shd w:val="clear" w:color="auto" w:fill="D6E4F0"/>
          </w:tcPr>
          <w:p>
            <w:pPr>
              <w:jc w:val="center"/>
            </w:pPr>
            <w:r/>
            <w:r>
              <w:rPr>
                <w:b/>
                <w:sz w:val="18"/>
              </w:rPr>
              <w:t>Segment</w:t>
            </w:r>
          </w:p>
        </w:tc>
        <w:tc>
          <w:tcPr>
            <w:tcW w:type="dxa" w:w="1881"/>
            <w:shd w:val="clear" w:color="auto" w:fill="D6E4F0"/>
          </w:tcPr>
          <w:p>
            <w:pPr>
              <w:jc w:val="center"/>
            </w:pPr>
            <w:r/>
            <w:r>
              <w:rPr>
                <w:b/>
                <w:sz w:val="18"/>
              </w:rPr>
              <w:t>January Inventory</w:t>
            </w:r>
          </w:p>
        </w:tc>
        <w:tc>
          <w:tcPr>
            <w:tcW w:type="dxa" w:w="1881"/>
            <w:shd w:val="clear" w:color="auto" w:fill="D6E4F0"/>
          </w:tcPr>
          <w:p>
            <w:pPr>
              <w:jc w:val="center"/>
            </w:pPr>
            <w:r/>
            <w:r>
              <w:rPr>
                <w:b/>
                <w:sz w:val="18"/>
              </w:rPr>
              <w:t>Market Launch</w:t>
            </w:r>
          </w:p>
        </w:tc>
      </w:tr>
      <w:tr>
        <w:tc>
          <w:tcPr>
            <w:tcW w:type="dxa" w:w="1881"/>
          </w:tcPr>
          <w:p>
            <w:r/>
            <w:r>
              <w:rPr>
                <w:b w:val="0"/>
                <w:sz w:val="18"/>
              </w:rPr>
              <w:t>A1V01</w:t>
            </w:r>
          </w:p>
        </w:tc>
        <w:tc>
          <w:tcPr>
            <w:tcW w:type="dxa" w:w="1881"/>
          </w:tcPr>
          <w:p>
            <w:pPr>
              <w:jc w:val="center"/>
            </w:pPr>
            <w:r/>
            <w:r>
              <w:rPr>
                <w:b w:val="0"/>
                <w:sz w:val="18"/>
              </w:rPr>
              <w:t>A1V01MY26K5</w:t>
            </w:r>
          </w:p>
        </w:tc>
        <w:tc>
          <w:tcPr>
            <w:tcW w:type="dxa" w:w="1881"/>
          </w:tcPr>
          <w:p>
            <w:pPr>
              <w:jc w:val="center"/>
            </w:pPr>
            <w:r/>
            <w:r>
              <w:rPr>
                <w:b w:val="0"/>
                <w:sz w:val="18"/>
              </w:rPr>
              <w:t>Compact SUV</w:t>
            </w:r>
          </w:p>
        </w:tc>
        <w:tc>
          <w:tcPr>
            <w:tcW w:type="dxa" w:w="1881"/>
          </w:tcPr>
          <w:p>
            <w:pPr>
              <w:jc w:val="center"/>
            </w:pPr>
            <w:r/>
            <w:r>
              <w:rPr>
                <w:b w:val="0"/>
                <w:sz w:val="18"/>
              </w:rPr>
              <w:t>42 units</w:t>
            </w:r>
          </w:p>
        </w:tc>
        <w:tc>
          <w:tcPr>
            <w:tcW w:type="dxa" w:w="1881"/>
          </w:tcPr>
          <w:p>
            <w:pPr>
              <w:jc w:val="center"/>
            </w:pPr>
            <w:r/>
            <w:r>
              <w:rPr>
                <w:b w:val="0"/>
                <w:sz w:val="18"/>
              </w:rPr>
              <w:t>September 2025</w:t>
            </w:r>
          </w:p>
        </w:tc>
      </w:tr>
      <w:tr>
        <w:tc>
          <w:tcPr>
            <w:tcW w:type="dxa" w:w="1881"/>
          </w:tcPr>
          <w:p>
            <w:r/>
            <w:r>
              <w:rPr>
                <w:b w:val="0"/>
                <w:sz w:val="18"/>
              </w:rPr>
              <w:t>A2V02</w:t>
            </w:r>
          </w:p>
        </w:tc>
        <w:tc>
          <w:tcPr>
            <w:tcW w:type="dxa" w:w="1881"/>
          </w:tcPr>
          <w:p>
            <w:pPr>
              <w:jc w:val="center"/>
            </w:pPr>
            <w:r/>
            <w:r>
              <w:rPr>
                <w:b w:val="0"/>
                <w:sz w:val="18"/>
              </w:rPr>
              <w:t>A2V02MY26L6</w:t>
            </w:r>
          </w:p>
        </w:tc>
        <w:tc>
          <w:tcPr>
            <w:tcW w:type="dxa" w:w="1881"/>
          </w:tcPr>
          <w:p>
            <w:pPr>
              <w:jc w:val="center"/>
            </w:pPr>
            <w:r/>
            <w:r>
              <w:rPr>
                <w:b w:val="0"/>
                <w:sz w:val="18"/>
              </w:rPr>
              <w:t>Compact SUV</w:t>
            </w:r>
          </w:p>
        </w:tc>
        <w:tc>
          <w:tcPr>
            <w:tcW w:type="dxa" w:w="1881"/>
          </w:tcPr>
          <w:p>
            <w:pPr>
              <w:jc w:val="center"/>
            </w:pPr>
            <w:r/>
            <w:r>
              <w:rPr>
                <w:b w:val="0"/>
                <w:sz w:val="18"/>
              </w:rPr>
              <w:t>331 units</w:t>
            </w:r>
          </w:p>
        </w:tc>
        <w:tc>
          <w:tcPr>
            <w:tcW w:type="dxa" w:w="1881"/>
          </w:tcPr>
          <w:p>
            <w:pPr>
              <w:jc w:val="center"/>
            </w:pPr>
            <w:r/>
            <w:r>
              <w:rPr>
                <w:b w:val="0"/>
                <w:sz w:val="18"/>
              </w:rPr>
              <w:t>January 2024</w:t>
            </w:r>
          </w:p>
        </w:tc>
      </w:tr>
      <w:tr>
        <w:tc>
          <w:tcPr>
            <w:tcW w:type="dxa" w:w="1881"/>
          </w:tcPr>
          <w:p>
            <w:r/>
            <w:r>
              <w:rPr>
                <w:b w:val="0"/>
                <w:sz w:val="18"/>
              </w:rPr>
              <w:t>A3V02</w:t>
            </w:r>
          </w:p>
        </w:tc>
        <w:tc>
          <w:tcPr>
            <w:tcW w:type="dxa" w:w="1881"/>
          </w:tcPr>
          <w:p>
            <w:pPr>
              <w:jc w:val="center"/>
            </w:pPr>
            <w:r/>
            <w:r>
              <w:rPr>
                <w:b w:val="0"/>
                <w:sz w:val="18"/>
              </w:rPr>
              <w:t>A3V02MY26M8</w:t>
            </w:r>
          </w:p>
        </w:tc>
        <w:tc>
          <w:tcPr>
            <w:tcW w:type="dxa" w:w="1881"/>
          </w:tcPr>
          <w:p>
            <w:pPr>
              <w:jc w:val="center"/>
            </w:pPr>
            <w:r/>
            <w:r>
              <w:rPr>
                <w:b w:val="0"/>
                <w:sz w:val="18"/>
              </w:rPr>
              <w:t>Compact SUV</w:t>
            </w:r>
          </w:p>
        </w:tc>
        <w:tc>
          <w:tcPr>
            <w:tcW w:type="dxa" w:w="1881"/>
          </w:tcPr>
          <w:p>
            <w:pPr>
              <w:jc w:val="center"/>
            </w:pPr>
            <w:r/>
            <w:r>
              <w:rPr>
                <w:b w:val="0"/>
                <w:sz w:val="18"/>
              </w:rPr>
              <w:t>176 units</w:t>
            </w:r>
          </w:p>
        </w:tc>
        <w:tc>
          <w:tcPr>
            <w:tcW w:type="dxa" w:w="1881"/>
          </w:tcPr>
          <w:p>
            <w:pPr>
              <w:jc w:val="center"/>
            </w:pPr>
            <w:r/>
            <w:r>
              <w:rPr>
                <w:b w:val="0"/>
                <w:sz w:val="18"/>
              </w:rPr>
              <w:t>January 2024</w:t>
            </w:r>
          </w:p>
        </w:tc>
      </w:tr>
      <w:tr>
        <w:tc>
          <w:tcPr>
            <w:tcW w:type="dxa" w:w="1881"/>
          </w:tcPr>
          <w:p>
            <w:r/>
            <w:r>
              <w:rPr>
                <w:b w:val="0"/>
                <w:sz w:val="18"/>
              </w:rPr>
              <w:t>B1V01</w:t>
            </w:r>
          </w:p>
        </w:tc>
        <w:tc>
          <w:tcPr>
            <w:tcW w:type="dxa" w:w="1881"/>
          </w:tcPr>
          <w:p>
            <w:pPr>
              <w:jc w:val="center"/>
            </w:pPr>
            <w:r/>
            <w:r>
              <w:rPr>
                <w:b w:val="0"/>
                <w:sz w:val="18"/>
              </w:rPr>
              <w:t>B1V01MY26N7</w:t>
            </w:r>
          </w:p>
        </w:tc>
        <w:tc>
          <w:tcPr>
            <w:tcW w:type="dxa" w:w="1881"/>
          </w:tcPr>
          <w:p>
            <w:pPr>
              <w:jc w:val="center"/>
            </w:pPr>
            <w:r/>
            <w:r>
              <w:rPr>
                <w:b w:val="0"/>
                <w:sz w:val="18"/>
              </w:rPr>
              <w:t>Large SUV</w:t>
            </w:r>
          </w:p>
        </w:tc>
        <w:tc>
          <w:tcPr>
            <w:tcW w:type="dxa" w:w="1881"/>
          </w:tcPr>
          <w:p>
            <w:pPr>
              <w:jc w:val="center"/>
            </w:pPr>
            <w:r/>
            <w:r>
              <w:rPr>
                <w:b w:val="0"/>
                <w:sz w:val="18"/>
              </w:rPr>
              <w:t>210 units</w:t>
            </w:r>
          </w:p>
        </w:tc>
        <w:tc>
          <w:tcPr>
            <w:tcW w:type="dxa" w:w="1881"/>
          </w:tcPr>
          <w:p>
            <w:pPr>
              <w:jc w:val="center"/>
            </w:pPr>
            <w:r/>
            <w:r>
              <w:rPr>
                <w:b w:val="0"/>
                <w:sz w:val="18"/>
              </w:rPr>
              <w:t>January 2024</w:t>
            </w:r>
          </w:p>
        </w:tc>
      </w:tr>
      <w:tr>
        <w:tc>
          <w:tcPr>
            <w:tcW w:type="dxa" w:w="1881"/>
          </w:tcPr>
          <w:p/>
        </w:tc>
        <w:tc>
          <w:tcPr>
            <w:tcW w:type="dxa" w:w="1881"/>
          </w:tcPr>
          <w:p/>
        </w:tc>
        <w:tc>
          <w:tcPr>
            <w:tcW w:type="dxa" w:w="1881"/>
          </w:tcPr>
          <w:p/>
        </w:tc>
        <w:tc>
          <w:tcPr>
            <w:tcW w:type="dxa" w:w="1881"/>
          </w:tcPr>
          <w:p/>
        </w:tc>
        <w:tc>
          <w:tcPr>
            <w:tcW w:type="dxa" w:w="1881"/>
          </w:tcPr>
          <w:p/>
        </w:tc>
      </w:tr>
    </w:tbl>
    <w:p/>
    <w:p>
      <w:pPr>
        <w:spacing w:after="120"/>
      </w:pPr>
      <w:r>
        <w:rPr>
          <w:b w:val="0"/>
          <w:i w:val="0"/>
        </w:rPr>
        <w:t>A1V01 was launched in September 2025 and therefore has only four months of sales history. A launch boost factor of 1.11 (empirically derived from the observed first-four-months sales trajectory relative to comparable model launches) is applied to its seasonal index from March 2026 onwards, when the launch effect is deemed to have stabilized. Models C1 and D1 were discontinued at end of 2025 and are excluded from the 2026 portfolio.</w:t>
      </w:r>
    </w:p>
    <w:p>
      <w:pPr>
        <w:spacing w:after="120"/>
      </w:pPr>
      <w:r>
        <w:rPr>
          <w:b w:val="0"/>
          <w:i w:val="0"/>
        </w:rPr>
        <w:t>The brand held approximately 3.2% of the national SUV market in 2025. The geographic distribution of its 28 registered dealerships spans 20 Turkish provinces, with concentration in the Marmara (Istanbul, Tekirdağ, Bursa, Kocaeli), Aegean (İzmir), and Central Anatolia (Ankara, Konya, Kayseri) regions. Catchment market share is computed using TÜİK December 2025 provincial automobile registration counts (17,373,581 total) and dealer-province assignments.</w:t>
      </w:r>
    </w:p>
    <w:p>
      <w:r>
        <w:br w:type="page"/>
      </w:r>
    </w:p>
    <w:p>
      <w:pPr>
        <w:pStyle w:val="Heading1"/>
      </w:pPr>
      <w:r>
        <w:t>4. LAYER 1: DEMAND FORECASTING</w:t>
      </w:r>
    </w:p>
    <w:p>
      <w:pPr>
        <w:pStyle w:val="Heading2"/>
      </w:pPr>
      <w:r>
        <w:t>4.1 STL Decomposition</w:t>
      </w:r>
    </w:p>
    <w:p>
      <w:pPr>
        <w:spacing w:after="120"/>
      </w:pPr>
      <w:r>
        <w:rPr>
          <w:b w:val="0"/>
          <w:i w:val="0"/>
        </w:rPr>
        <w:t>Seasonal-Trend decomposition using Loess (STL; Cleveland et al., 1990) is applied to 24 months of brand-level monthly sales data (January 2024 – December 2025). The additive decomposition model is:</w:t>
      </w:r>
    </w:p>
    <w:p>
      <w:pPr>
        <w:spacing w:before="80" w:after="80"/>
        <w:jc w:val="center"/>
      </w:pPr>
      <w:r>
        <w:rPr>
          <w:i/>
          <w:sz w:val="22"/>
        </w:rPr>
        <w:t>Y_t  =  T_t  +  S_t  +  R_t</w:t>
      </w:r>
    </w:p>
    <w:p>
      <w:pPr>
        <w:spacing w:after="120"/>
      </w:pPr>
      <w:r>
        <w:rPr>
          <w:b w:val="0"/>
          <w:i w:val="0"/>
        </w:rPr>
        <w:t>where T_t is the slowly varying trend component estimated by a Loess smoother with bandwidth parameter s_t, S_t is the periodic seasonal component estimated by iterative Loess smoothing of sub-series (one per calendar month), and R_t = Y_t − T_t − S_t is the residual. STL is estimated using statsmodels.tsa.seasonal.STL with period=12, seasonal=7 (seasonal Loess bandwidth), and trend=13 (trend Loess bandwidth), following the recommendation for monthly series of Cleveland et al. (1990).</w:t>
      </w:r>
    </w:p>
    <w:p>
      <w:pPr>
        <w:spacing w:after="120"/>
      </w:pPr>
      <w:r>
        <w:rPr>
          <w:b w:val="0"/>
          <w:i w:val="0"/>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pPr>
        <w:jc w:val="center"/>
      </w:pPr>
      <w:r>
        <w:drawing>
          <wp:inline xmlns:a="http://schemas.openxmlformats.org/drawingml/2006/main" xmlns:pic="http://schemas.openxmlformats.org/drawingml/2006/picture">
            <wp:extent cx="5669280" cy="3871626"/>
            <wp:docPr id="2" name="Picture 2"/>
            <wp:cNvGraphicFramePr>
              <a:graphicFrameLocks noChangeAspect="1"/>
            </wp:cNvGraphicFramePr>
            <a:graphic>
              <a:graphicData uri="http://schemas.openxmlformats.org/drawingml/2006/picture">
                <pic:pic>
                  <pic:nvPicPr>
                    <pic:cNvPr id="0" name="fig2_stl.png"/>
                    <pic:cNvPicPr/>
                  </pic:nvPicPr>
                  <pic:blipFill>
                    <a:blip r:embed="rId11"/>
                    <a:stretch>
                      <a:fillRect/>
                    </a:stretch>
                  </pic:blipFill>
                  <pic:spPr>
                    <a:xfrm>
                      <a:off x="0" y="0"/>
                      <a:ext cx="5669280" cy="3871626"/>
                    </a:xfrm>
                    <a:prstGeom prst="rect"/>
                  </pic:spPr>
                </pic:pic>
              </a:graphicData>
            </a:graphic>
          </wp:inline>
        </w:drawing>
      </w:r>
    </w:p>
    <w:p>
      <w:pPr>
        <w:spacing w:after="240"/>
        <w:jc w:val="center"/>
      </w:pPr>
      <w:r>
        <w:rPr>
          <w:b/>
          <w:sz w:val="20"/>
        </w:rPr>
        <w:t>Figure 2. STL Decomposition — Brand Monthly SUV Sales 2024–2025</w:t>
      </w:r>
    </w:p>
    <w:p>
      <w:pPr>
        <w:spacing w:after="120"/>
      </w:pPr>
      <w:r>
        <w:rPr>
          <w:b w:val="0"/>
          <w:i w:val="0"/>
        </w:rPr>
        <w:t>From the decomposed seasonal component S_t, a monthly seasonal index for each calendar month m is computed as:</w:t>
      </w:r>
    </w:p>
    <w:p>
      <w:pPr>
        <w:spacing w:before="80" w:after="80"/>
        <w:jc w:val="center"/>
      </w:pPr>
      <w:r>
        <w:rPr>
          <w:i/>
          <w:sz w:val="22"/>
        </w:rPr>
        <w:t>SI_m  =  mean_annual_monthly_sales_m  /  mean_overall_monthly_sales</w:t>
      </w:r>
    </w:p>
    <w:p>
      <w:pPr>
        <w:spacing w:after="120"/>
      </w:pPr>
      <w:r>
        <w:rPr>
          <w:b w:val="0"/>
          <w:i w:val="0"/>
        </w:rPr>
        <w:t>where mean_annual_monthly_sales_m is the average of observed sales in month m across both calendar years, and mean_overall_monthly_sales is the grand mean across all 24 months. SI_m &gt; 1 indicates above-average demand in month m; SI_m &lt; 1 indicates below-average. Figure 3 shows SI_m for all four model groups.</w:t>
      </w:r>
    </w:p>
    <w:p>
      <w:pPr>
        <w:jc w:val="center"/>
      </w:pPr>
      <w:r>
        <w:drawing>
          <wp:inline xmlns:a="http://schemas.openxmlformats.org/drawingml/2006/main" xmlns:pic="http://schemas.openxmlformats.org/drawingml/2006/picture">
            <wp:extent cx="5669280" cy="2334409"/>
            <wp:docPr id="3" name="Picture 3"/>
            <wp:cNvGraphicFramePr>
              <a:graphicFrameLocks noChangeAspect="1"/>
            </wp:cNvGraphicFramePr>
            <a:graphic>
              <a:graphicData uri="http://schemas.openxmlformats.org/drawingml/2006/picture">
                <pic:pic>
                  <pic:nvPicPr>
                    <pic:cNvPr id="0" name="fig3_seasonal.png"/>
                    <pic:cNvPicPr/>
                  </pic:nvPicPr>
                  <pic:blipFill>
                    <a:blip r:embed="rId12"/>
                    <a:stretch>
                      <a:fillRect/>
                    </a:stretch>
                  </pic:blipFill>
                  <pic:spPr>
                    <a:xfrm>
                      <a:off x="0" y="0"/>
                      <a:ext cx="5669280" cy="2334409"/>
                    </a:xfrm>
                    <a:prstGeom prst="rect"/>
                  </pic:spPr>
                </pic:pic>
              </a:graphicData>
            </a:graphic>
          </wp:inline>
        </w:drawing>
      </w:r>
    </w:p>
    <w:p>
      <w:pPr>
        <w:spacing w:after="240"/>
        <w:jc w:val="center"/>
      </w:pPr>
      <w:r>
        <w:rPr>
          <w:b/>
          <w:sz w:val="20"/>
        </w:rPr>
        <w:t>Figure 3. Seasonal Index by Month — All Vehicle Model Groups</w:t>
      </w:r>
    </w:p>
    <w:p>
      <w:pPr>
        <w:pStyle w:val="Heading2"/>
      </w:pPr>
      <w:r>
        <w:t>4.2 Prophet Market Forecast</w:t>
      </w:r>
    </w:p>
    <w:p>
      <w:pPr>
        <w:spacing w:after="120"/>
      </w:pPr>
      <w:r>
        <w:rPr>
          <w:b w:val="0"/>
          <w:i w:val="0"/>
        </w:rPr>
        <w:t>Prophet (Taylor &amp; Letham, 2018) is applied at the total brand level to project the 2026 annual sales volume. The additive Prophet model decomposes observed sales y(t) as:</w:t>
      </w:r>
    </w:p>
    <w:p>
      <w:pPr>
        <w:spacing w:before="80" w:after="80"/>
        <w:jc w:val="center"/>
      </w:pPr>
      <w:r>
        <w:rPr>
          <w:i/>
          <w:sz w:val="22"/>
        </w:rPr>
        <w:t>y(t)  =  g(t)  +  s(t)  +  h(t)  +  ε_t</w:t>
      </w:r>
    </w:p>
    <w:p>
      <w:pPr>
        <w:spacing w:after="120"/>
      </w:pPr>
      <w:r>
        <w:rPr>
          <w:b w:val="0"/>
          <w:i w:val="0"/>
        </w:rPr>
        <w:t>where g(t) is the piecewise linear trend with automatically detected changepoints, s(t) is a Fourier-series seasonal component with annual period P=365.25, h(t) captures holiday and special event effects (Turkish national holidays; annual model-year announcement periods), and ε_t is a normally distributed error term. The model is trained on 24 monthly observations converted to daily-frequency pseudo-data by uniform distribution within each month.</w:t>
      </w:r>
    </w:p>
    <w:p>
      <w:pPr>
        <w:spacing w:after="120"/>
      </w:pPr>
      <w:r>
        <w:rPr>
          <w:b w:val="0"/>
          <w:i w:val="0"/>
        </w:rPr>
        <w:t>Prophet's 2026 annual forecast for the senaryo_8500 scenario yields a projected total brand sales of 8,500 units, corresponding to a 5.8% market-share-adjusted growth over 2025 actuals. Monthly disaggregation is performed by multiplying the annual total by SI_m for each month, then normalizing so that the 12-month sum equals the annual projection exactly.</w:t>
      </w:r>
    </w:p>
    <w:p>
      <w:pPr>
        <w:spacing w:after="80"/>
        <w:jc w:val="center"/>
      </w:pPr>
      <w:r>
        <w:rPr>
          <w:b/>
          <w:sz w:val="20"/>
        </w:rPr>
        <w:t>Table A. 2026 Monthly Allocation Plan (Scenario: 8,500 units/year)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Month</w:t>
            </w:r>
          </w:p>
        </w:tc>
        <w:tc>
          <w:tcPr>
            <w:tcW w:type="dxa" w:w="2351"/>
            <w:shd w:val="clear" w:color="auto" w:fill="D6E4F0"/>
          </w:tcPr>
          <w:p>
            <w:pPr>
              <w:jc w:val="center"/>
            </w:pPr>
            <w:r/>
            <w:r>
              <w:rPr>
                <w:b/>
                <w:sz w:val="18"/>
              </w:rPr>
              <w:t>Seasonal Index (SI)</w:t>
            </w:r>
          </w:p>
        </w:tc>
        <w:tc>
          <w:tcPr>
            <w:tcW w:type="dxa" w:w="2351"/>
            <w:shd w:val="clear" w:color="auto" w:fill="D6E4F0"/>
          </w:tcPr>
          <w:p>
            <w:pPr>
              <w:jc w:val="center"/>
            </w:pPr>
            <w:r/>
            <w:r>
              <w:rPr>
                <w:b/>
                <w:sz w:val="18"/>
              </w:rPr>
              <w:t>Monthly Target (units)</w:t>
            </w:r>
          </w:p>
        </w:tc>
        <w:tc>
          <w:tcPr>
            <w:tcW w:type="dxa" w:w="2351"/>
            <w:shd w:val="clear" w:color="auto" w:fill="D6E4F0"/>
          </w:tcPr>
          <w:p>
            <w:pPr>
              <w:jc w:val="center"/>
            </w:pPr>
            <w:r/>
            <w:r>
              <w:rPr>
                <w:b/>
                <w:sz w:val="18"/>
              </w:rPr>
              <w:t>Share of Annual (%)</w:t>
            </w:r>
          </w:p>
        </w:tc>
      </w:tr>
      <w:tr>
        <w:tc>
          <w:tcPr>
            <w:tcW w:type="dxa" w:w="2351"/>
            <w:shd w:val="clear" w:color="auto" w:fill="F0F4F8"/>
          </w:tcPr>
          <w:p>
            <w:pPr>
              <w:jc w:val="center"/>
            </w:pPr>
            <w:r/>
            <w:r>
              <w:rPr>
                <w:b w:val="0"/>
                <w:sz w:val="18"/>
              </w:rPr>
              <w:t>Ocak</w:t>
            </w:r>
          </w:p>
        </w:tc>
        <w:tc>
          <w:tcPr>
            <w:tcW w:type="dxa" w:w="2351"/>
            <w:shd w:val="clear" w:color="auto" w:fill="F0F4F8"/>
          </w:tcPr>
          <w:p>
            <w:pPr>
              <w:jc w:val="center"/>
            </w:pPr>
            <w:r/>
            <w:r>
              <w:rPr>
                <w:b w:val="0"/>
                <w:sz w:val="18"/>
              </w:rPr>
              <w:t>0.6592</w:t>
            </w:r>
          </w:p>
        </w:tc>
        <w:tc>
          <w:tcPr>
            <w:tcW w:type="dxa" w:w="2351"/>
            <w:shd w:val="clear" w:color="auto" w:fill="F0F4F8"/>
          </w:tcPr>
          <w:p>
            <w:pPr>
              <w:jc w:val="center"/>
            </w:pPr>
            <w:r/>
            <w:r>
              <w:rPr>
                <w:b w:val="0"/>
                <w:sz w:val="18"/>
              </w:rPr>
              <w:t>426</w:t>
            </w:r>
          </w:p>
        </w:tc>
        <w:tc>
          <w:tcPr>
            <w:tcW w:type="dxa" w:w="2351"/>
            <w:shd w:val="clear" w:color="auto" w:fill="F0F4F8"/>
          </w:tcPr>
          <w:p>
            <w:pPr>
              <w:jc w:val="center"/>
            </w:pPr>
            <w:r/>
            <w:r>
              <w:rPr>
                <w:b w:val="0"/>
                <w:sz w:val="18"/>
              </w:rPr>
              <w:t>5.01%</w:t>
            </w:r>
          </w:p>
        </w:tc>
      </w:tr>
      <w:tr>
        <w:tc>
          <w:tcPr>
            <w:tcW w:type="dxa" w:w="2351"/>
          </w:tcPr>
          <w:p>
            <w:pPr>
              <w:jc w:val="center"/>
            </w:pPr>
            <w:r/>
            <w:r>
              <w:rPr>
                <w:b w:val="0"/>
                <w:sz w:val="18"/>
              </w:rPr>
              <w:t>Şubat</w:t>
            </w:r>
          </w:p>
        </w:tc>
        <w:tc>
          <w:tcPr>
            <w:tcW w:type="dxa" w:w="2351"/>
          </w:tcPr>
          <w:p>
            <w:pPr>
              <w:jc w:val="center"/>
            </w:pPr>
            <w:r/>
            <w:r>
              <w:rPr>
                <w:b w:val="0"/>
                <w:sz w:val="18"/>
              </w:rPr>
              <w:t>0.8861</w:t>
            </w:r>
          </w:p>
        </w:tc>
        <w:tc>
          <w:tcPr>
            <w:tcW w:type="dxa" w:w="2351"/>
          </w:tcPr>
          <w:p>
            <w:pPr>
              <w:jc w:val="center"/>
            </w:pPr>
            <w:r/>
            <w:r>
              <w:rPr>
                <w:b w:val="0"/>
                <w:sz w:val="18"/>
              </w:rPr>
              <w:t>573</w:t>
            </w:r>
          </w:p>
        </w:tc>
        <w:tc>
          <w:tcPr>
            <w:tcW w:type="dxa" w:w="2351"/>
          </w:tcPr>
          <w:p>
            <w:pPr>
              <w:jc w:val="center"/>
            </w:pPr>
            <w:r/>
            <w:r>
              <w:rPr>
                <w:b w:val="0"/>
                <w:sz w:val="18"/>
              </w:rPr>
              <w:t>6.74%</w:t>
            </w:r>
          </w:p>
        </w:tc>
      </w:tr>
      <w:tr>
        <w:tc>
          <w:tcPr>
            <w:tcW w:type="dxa" w:w="2351"/>
            <w:shd w:val="clear" w:color="auto" w:fill="F0F4F8"/>
          </w:tcPr>
          <w:p>
            <w:pPr>
              <w:jc w:val="center"/>
            </w:pPr>
            <w:r/>
            <w:r>
              <w:rPr>
                <w:b w:val="0"/>
                <w:sz w:val="18"/>
              </w:rPr>
              <w:t>Mart</w:t>
            </w:r>
          </w:p>
        </w:tc>
        <w:tc>
          <w:tcPr>
            <w:tcW w:type="dxa" w:w="2351"/>
            <w:shd w:val="clear" w:color="auto" w:fill="F0F4F8"/>
          </w:tcPr>
          <w:p>
            <w:pPr>
              <w:jc w:val="center"/>
            </w:pPr>
            <w:r/>
            <w:r>
              <w:rPr>
                <w:b w:val="0"/>
                <w:sz w:val="18"/>
              </w:rPr>
              <w:t>1.0334</w:t>
            </w:r>
          </w:p>
        </w:tc>
        <w:tc>
          <w:tcPr>
            <w:tcW w:type="dxa" w:w="2351"/>
            <w:shd w:val="clear" w:color="auto" w:fill="F0F4F8"/>
          </w:tcPr>
          <w:p>
            <w:pPr>
              <w:jc w:val="center"/>
            </w:pPr>
            <w:r/>
            <w:r>
              <w:rPr>
                <w:b w:val="0"/>
                <w:sz w:val="18"/>
              </w:rPr>
              <w:t>741</w:t>
            </w:r>
          </w:p>
        </w:tc>
        <w:tc>
          <w:tcPr>
            <w:tcW w:type="dxa" w:w="2351"/>
            <w:shd w:val="clear" w:color="auto" w:fill="F0F4F8"/>
          </w:tcPr>
          <w:p>
            <w:pPr>
              <w:jc w:val="center"/>
            </w:pPr>
            <w:r/>
            <w:r>
              <w:rPr>
                <w:b w:val="0"/>
                <w:sz w:val="18"/>
              </w:rPr>
              <w:t>8.72%</w:t>
            </w:r>
          </w:p>
        </w:tc>
      </w:tr>
      <w:tr>
        <w:tc>
          <w:tcPr>
            <w:tcW w:type="dxa" w:w="2351"/>
          </w:tcPr>
          <w:p>
            <w:pPr>
              <w:jc w:val="center"/>
            </w:pPr>
            <w:r/>
            <w:r>
              <w:rPr>
                <w:b w:val="0"/>
                <w:sz w:val="18"/>
              </w:rPr>
              <w:t>Nisan</w:t>
            </w:r>
          </w:p>
        </w:tc>
        <w:tc>
          <w:tcPr>
            <w:tcW w:type="dxa" w:w="2351"/>
          </w:tcPr>
          <w:p>
            <w:pPr>
              <w:jc w:val="center"/>
            </w:pPr>
            <w:r/>
            <w:r>
              <w:rPr>
                <w:b w:val="0"/>
                <w:sz w:val="18"/>
              </w:rPr>
              <w:t>0.8346</w:t>
            </w:r>
          </w:p>
        </w:tc>
        <w:tc>
          <w:tcPr>
            <w:tcW w:type="dxa" w:w="2351"/>
          </w:tcPr>
          <w:p>
            <w:pPr>
              <w:jc w:val="center"/>
            </w:pPr>
            <w:r/>
            <w:r>
              <w:rPr>
                <w:b w:val="0"/>
                <w:sz w:val="18"/>
              </w:rPr>
              <w:t>599</w:t>
            </w:r>
          </w:p>
        </w:tc>
        <w:tc>
          <w:tcPr>
            <w:tcW w:type="dxa" w:w="2351"/>
          </w:tcPr>
          <w:p>
            <w:pPr>
              <w:jc w:val="center"/>
            </w:pPr>
            <w:r/>
            <w:r>
              <w:rPr>
                <w:b w:val="0"/>
                <w:sz w:val="18"/>
              </w:rPr>
              <w:t>7.05%</w:t>
            </w:r>
          </w:p>
        </w:tc>
      </w:tr>
      <w:tr>
        <w:tc>
          <w:tcPr>
            <w:tcW w:type="dxa" w:w="2351"/>
            <w:shd w:val="clear" w:color="auto" w:fill="F0F4F8"/>
          </w:tcPr>
          <w:p>
            <w:pPr>
              <w:jc w:val="center"/>
            </w:pPr>
            <w:r/>
            <w:r>
              <w:rPr>
                <w:b w:val="0"/>
                <w:sz w:val="18"/>
              </w:rPr>
              <w:t>Mayıs</w:t>
            </w:r>
          </w:p>
        </w:tc>
        <w:tc>
          <w:tcPr>
            <w:tcW w:type="dxa" w:w="2351"/>
            <w:shd w:val="clear" w:color="auto" w:fill="F0F4F8"/>
          </w:tcPr>
          <w:p>
            <w:pPr>
              <w:jc w:val="center"/>
            </w:pPr>
            <w:r/>
            <w:r>
              <w:rPr>
                <w:b w:val="0"/>
                <w:sz w:val="18"/>
              </w:rPr>
              <w:t>0.9613</w:t>
            </w:r>
          </w:p>
        </w:tc>
        <w:tc>
          <w:tcPr>
            <w:tcW w:type="dxa" w:w="2351"/>
            <w:shd w:val="clear" w:color="auto" w:fill="F0F4F8"/>
          </w:tcPr>
          <w:p>
            <w:pPr>
              <w:jc w:val="center"/>
            </w:pPr>
            <w:r/>
            <w:r>
              <w:rPr>
                <w:b w:val="0"/>
                <w:sz w:val="18"/>
              </w:rPr>
              <w:t>690</w:t>
            </w:r>
          </w:p>
        </w:tc>
        <w:tc>
          <w:tcPr>
            <w:tcW w:type="dxa" w:w="2351"/>
            <w:shd w:val="clear" w:color="auto" w:fill="F0F4F8"/>
          </w:tcPr>
          <w:p>
            <w:pPr>
              <w:jc w:val="center"/>
            </w:pPr>
            <w:r/>
            <w:r>
              <w:rPr>
                <w:b w:val="0"/>
                <w:sz w:val="18"/>
              </w:rPr>
              <w:t>8.12%</w:t>
            </w:r>
          </w:p>
        </w:tc>
      </w:tr>
      <w:tr>
        <w:tc>
          <w:tcPr>
            <w:tcW w:type="dxa" w:w="2351"/>
          </w:tcPr>
          <w:p>
            <w:pPr>
              <w:jc w:val="center"/>
            </w:pPr>
            <w:r/>
            <w:r>
              <w:rPr>
                <w:b w:val="0"/>
                <w:sz w:val="18"/>
              </w:rPr>
              <w:t>Haziran</w:t>
            </w:r>
          </w:p>
        </w:tc>
        <w:tc>
          <w:tcPr>
            <w:tcW w:type="dxa" w:w="2351"/>
          </w:tcPr>
          <w:p>
            <w:pPr>
              <w:jc w:val="center"/>
            </w:pPr>
            <w:r/>
            <w:r>
              <w:rPr>
                <w:b w:val="0"/>
                <w:sz w:val="18"/>
              </w:rPr>
              <w:t>1.0720</w:t>
            </w:r>
          </w:p>
        </w:tc>
        <w:tc>
          <w:tcPr>
            <w:tcW w:type="dxa" w:w="2351"/>
          </w:tcPr>
          <w:p>
            <w:pPr>
              <w:jc w:val="center"/>
            </w:pPr>
            <w:r/>
            <w:r>
              <w:rPr>
                <w:b w:val="0"/>
                <w:sz w:val="18"/>
              </w:rPr>
              <w:t>769</w:t>
            </w:r>
          </w:p>
        </w:tc>
        <w:tc>
          <w:tcPr>
            <w:tcW w:type="dxa" w:w="2351"/>
          </w:tcPr>
          <w:p>
            <w:pPr>
              <w:jc w:val="center"/>
            </w:pPr>
            <w:r/>
            <w:r>
              <w:rPr>
                <w:b w:val="0"/>
                <w:sz w:val="18"/>
              </w:rPr>
              <w:t>9.05%</w:t>
            </w:r>
          </w:p>
        </w:tc>
      </w:tr>
      <w:tr>
        <w:tc>
          <w:tcPr>
            <w:tcW w:type="dxa" w:w="2351"/>
            <w:shd w:val="clear" w:color="auto" w:fill="F0F4F8"/>
          </w:tcPr>
          <w:p>
            <w:pPr>
              <w:jc w:val="center"/>
            </w:pPr>
            <w:r/>
            <w:r>
              <w:rPr>
                <w:b w:val="0"/>
                <w:sz w:val="18"/>
              </w:rPr>
              <w:t>Temmuz</w:t>
            </w:r>
          </w:p>
        </w:tc>
        <w:tc>
          <w:tcPr>
            <w:tcW w:type="dxa" w:w="2351"/>
            <w:shd w:val="clear" w:color="auto" w:fill="F0F4F8"/>
          </w:tcPr>
          <w:p>
            <w:pPr>
              <w:jc w:val="center"/>
            </w:pPr>
            <w:r/>
            <w:r>
              <w:rPr>
                <w:b w:val="0"/>
                <w:sz w:val="18"/>
              </w:rPr>
              <w:t>0.9364</w:t>
            </w:r>
          </w:p>
        </w:tc>
        <w:tc>
          <w:tcPr>
            <w:tcW w:type="dxa" w:w="2351"/>
            <w:shd w:val="clear" w:color="auto" w:fill="F0F4F8"/>
          </w:tcPr>
          <w:p>
            <w:pPr>
              <w:jc w:val="center"/>
            </w:pPr>
            <w:r/>
            <w:r>
              <w:rPr>
                <w:b w:val="0"/>
                <w:sz w:val="18"/>
              </w:rPr>
              <w:t>672</w:t>
            </w:r>
          </w:p>
        </w:tc>
        <w:tc>
          <w:tcPr>
            <w:tcW w:type="dxa" w:w="2351"/>
            <w:shd w:val="clear" w:color="auto" w:fill="F0F4F8"/>
          </w:tcPr>
          <w:p>
            <w:pPr>
              <w:jc w:val="center"/>
            </w:pPr>
            <w:r/>
            <w:r>
              <w:rPr>
                <w:b w:val="0"/>
                <w:sz w:val="18"/>
              </w:rPr>
              <w:t>7.91%</w:t>
            </w:r>
          </w:p>
        </w:tc>
      </w:tr>
      <w:tr>
        <w:tc>
          <w:tcPr>
            <w:tcW w:type="dxa" w:w="2351"/>
          </w:tcPr>
          <w:p>
            <w:pPr>
              <w:jc w:val="center"/>
            </w:pPr>
            <w:r/>
            <w:r>
              <w:rPr>
                <w:b w:val="0"/>
                <w:sz w:val="18"/>
              </w:rPr>
              <w:t>Ağustos</w:t>
            </w:r>
          </w:p>
        </w:tc>
        <w:tc>
          <w:tcPr>
            <w:tcW w:type="dxa" w:w="2351"/>
          </w:tcPr>
          <w:p>
            <w:pPr>
              <w:jc w:val="center"/>
            </w:pPr>
            <w:r/>
            <w:r>
              <w:rPr>
                <w:b w:val="0"/>
                <w:sz w:val="18"/>
              </w:rPr>
              <w:t>0.8855</w:t>
            </w:r>
          </w:p>
        </w:tc>
        <w:tc>
          <w:tcPr>
            <w:tcW w:type="dxa" w:w="2351"/>
          </w:tcPr>
          <w:p>
            <w:pPr>
              <w:jc w:val="center"/>
            </w:pPr>
            <w:r/>
            <w:r>
              <w:rPr>
                <w:b w:val="0"/>
                <w:sz w:val="18"/>
              </w:rPr>
              <w:t>635</w:t>
            </w:r>
          </w:p>
        </w:tc>
        <w:tc>
          <w:tcPr>
            <w:tcW w:type="dxa" w:w="2351"/>
          </w:tcPr>
          <w:p>
            <w:pPr>
              <w:jc w:val="center"/>
            </w:pPr>
            <w:r/>
            <w:r>
              <w:rPr>
                <w:b w:val="0"/>
                <w:sz w:val="18"/>
              </w:rPr>
              <w:t>7.47%</w:t>
            </w:r>
          </w:p>
        </w:tc>
      </w:tr>
      <w:tr>
        <w:tc>
          <w:tcPr>
            <w:tcW w:type="dxa" w:w="2351"/>
            <w:shd w:val="clear" w:color="auto" w:fill="F0F4F8"/>
          </w:tcPr>
          <w:p>
            <w:pPr>
              <w:jc w:val="center"/>
            </w:pPr>
            <w:r/>
            <w:r>
              <w:rPr>
                <w:b w:val="0"/>
                <w:sz w:val="18"/>
              </w:rPr>
              <w:t>Eylül</w:t>
            </w:r>
          </w:p>
        </w:tc>
        <w:tc>
          <w:tcPr>
            <w:tcW w:type="dxa" w:w="2351"/>
            <w:shd w:val="clear" w:color="auto" w:fill="F0F4F8"/>
          </w:tcPr>
          <w:p>
            <w:pPr>
              <w:jc w:val="center"/>
            </w:pPr>
            <w:r/>
            <w:r>
              <w:rPr>
                <w:b w:val="0"/>
                <w:sz w:val="18"/>
              </w:rPr>
              <w:t>0.9211</w:t>
            </w:r>
          </w:p>
        </w:tc>
        <w:tc>
          <w:tcPr>
            <w:tcW w:type="dxa" w:w="2351"/>
            <w:shd w:val="clear" w:color="auto" w:fill="F0F4F8"/>
          </w:tcPr>
          <w:p>
            <w:pPr>
              <w:jc w:val="center"/>
            </w:pPr>
            <w:r/>
            <w:r>
              <w:rPr>
                <w:b w:val="0"/>
                <w:sz w:val="18"/>
              </w:rPr>
              <w:t>661</w:t>
            </w:r>
          </w:p>
        </w:tc>
        <w:tc>
          <w:tcPr>
            <w:tcW w:type="dxa" w:w="2351"/>
            <w:shd w:val="clear" w:color="auto" w:fill="F0F4F8"/>
          </w:tcPr>
          <w:p>
            <w:pPr>
              <w:jc w:val="center"/>
            </w:pPr>
            <w:r/>
            <w:r>
              <w:rPr>
                <w:b w:val="0"/>
                <w:sz w:val="18"/>
              </w:rPr>
              <w:t>7.78%</w:t>
            </w:r>
          </w:p>
        </w:tc>
      </w:tr>
      <w:tr>
        <w:tc>
          <w:tcPr>
            <w:tcW w:type="dxa" w:w="2351"/>
          </w:tcPr>
          <w:p>
            <w:pPr>
              <w:jc w:val="center"/>
            </w:pPr>
            <w:r/>
            <w:r>
              <w:rPr>
                <w:b w:val="0"/>
                <w:sz w:val="18"/>
              </w:rPr>
              <w:t>Ekim</w:t>
            </w:r>
          </w:p>
        </w:tc>
        <w:tc>
          <w:tcPr>
            <w:tcW w:type="dxa" w:w="2351"/>
          </w:tcPr>
          <w:p>
            <w:pPr>
              <w:jc w:val="center"/>
            </w:pPr>
            <w:r/>
            <w:r>
              <w:rPr>
                <w:b w:val="0"/>
                <w:sz w:val="18"/>
              </w:rPr>
              <w:t>0.9963</w:t>
            </w:r>
          </w:p>
        </w:tc>
        <w:tc>
          <w:tcPr>
            <w:tcW w:type="dxa" w:w="2351"/>
          </w:tcPr>
          <w:p>
            <w:pPr>
              <w:jc w:val="center"/>
            </w:pPr>
            <w:r/>
            <w:r>
              <w:rPr>
                <w:b w:val="0"/>
                <w:sz w:val="18"/>
              </w:rPr>
              <w:t>715</w:t>
            </w:r>
          </w:p>
        </w:tc>
        <w:tc>
          <w:tcPr>
            <w:tcW w:type="dxa" w:w="2351"/>
          </w:tcPr>
          <w:p>
            <w:pPr>
              <w:jc w:val="center"/>
            </w:pPr>
            <w:r/>
            <w:r>
              <w:rPr>
                <w:b w:val="0"/>
                <w:sz w:val="18"/>
              </w:rPr>
              <w:t>8.41%</w:t>
            </w:r>
          </w:p>
        </w:tc>
      </w:tr>
      <w:tr>
        <w:tc>
          <w:tcPr>
            <w:tcW w:type="dxa" w:w="2351"/>
            <w:shd w:val="clear" w:color="auto" w:fill="F0F4F8"/>
          </w:tcPr>
          <w:p>
            <w:pPr>
              <w:jc w:val="center"/>
            </w:pPr>
            <w:r/>
            <w:r>
              <w:rPr>
                <w:b w:val="0"/>
                <w:sz w:val="18"/>
              </w:rPr>
              <w:t>Kasım</w:t>
            </w:r>
          </w:p>
        </w:tc>
        <w:tc>
          <w:tcPr>
            <w:tcW w:type="dxa" w:w="2351"/>
            <w:shd w:val="clear" w:color="auto" w:fill="F0F4F8"/>
          </w:tcPr>
          <w:p>
            <w:pPr>
              <w:jc w:val="center"/>
            </w:pPr>
            <w:r/>
            <w:r>
              <w:rPr>
                <w:b w:val="0"/>
                <w:sz w:val="18"/>
              </w:rPr>
              <w:t>1.1987</w:t>
            </w:r>
          </w:p>
        </w:tc>
        <w:tc>
          <w:tcPr>
            <w:tcW w:type="dxa" w:w="2351"/>
            <w:shd w:val="clear" w:color="auto" w:fill="F0F4F8"/>
          </w:tcPr>
          <w:p>
            <w:pPr>
              <w:jc w:val="center"/>
            </w:pPr>
            <w:r/>
            <w:r>
              <w:rPr>
                <w:b w:val="0"/>
                <w:sz w:val="18"/>
              </w:rPr>
              <w:t>860</w:t>
            </w:r>
          </w:p>
        </w:tc>
        <w:tc>
          <w:tcPr>
            <w:tcW w:type="dxa" w:w="2351"/>
            <w:shd w:val="clear" w:color="auto" w:fill="F0F4F8"/>
          </w:tcPr>
          <w:p>
            <w:pPr>
              <w:jc w:val="center"/>
            </w:pPr>
            <w:r/>
            <w:r>
              <w:rPr>
                <w:b w:val="0"/>
                <w:sz w:val="18"/>
              </w:rPr>
              <w:t>10.12%</w:t>
            </w:r>
          </w:p>
        </w:tc>
      </w:tr>
      <w:tr>
        <w:tc>
          <w:tcPr>
            <w:tcW w:type="dxa" w:w="2351"/>
          </w:tcPr>
          <w:p>
            <w:pPr>
              <w:jc w:val="center"/>
            </w:pPr>
            <w:r/>
            <w:r>
              <w:rPr>
                <w:b w:val="0"/>
                <w:sz w:val="18"/>
              </w:rPr>
              <w:t>Aralık</w:t>
            </w:r>
          </w:p>
        </w:tc>
        <w:tc>
          <w:tcPr>
            <w:tcW w:type="dxa" w:w="2351"/>
          </w:tcPr>
          <w:p>
            <w:pPr>
              <w:jc w:val="center"/>
            </w:pPr>
            <w:r/>
            <w:r>
              <w:rPr>
                <w:b w:val="0"/>
                <w:sz w:val="18"/>
              </w:rPr>
              <w:t>1.6156</w:t>
            </w:r>
          </w:p>
        </w:tc>
        <w:tc>
          <w:tcPr>
            <w:tcW w:type="dxa" w:w="2351"/>
          </w:tcPr>
          <w:p>
            <w:pPr>
              <w:jc w:val="center"/>
            </w:pPr>
            <w:r/>
            <w:r>
              <w:rPr>
                <w:b w:val="0"/>
                <w:sz w:val="18"/>
              </w:rPr>
              <w:t>1159</w:t>
            </w:r>
          </w:p>
        </w:tc>
        <w:tc>
          <w:tcPr>
            <w:tcW w:type="dxa" w:w="2351"/>
          </w:tcPr>
          <w:p>
            <w:pPr>
              <w:jc w:val="center"/>
            </w:pPr>
            <w:r/>
            <w:r>
              <w:rPr>
                <w:b w:val="0"/>
                <w:sz w:val="18"/>
              </w:rPr>
              <w:t>13.64%</w:t>
            </w:r>
          </w:p>
        </w:tc>
      </w:tr>
    </w:tbl>
    <w:p/>
    <w:p>
      <w:pPr>
        <w:pStyle w:val="Heading2"/>
      </w:pPr>
      <w:r>
        <w:t>4.3 Exponentially Weighted Moving Average</w:t>
      </w:r>
    </w:p>
    <w:p>
      <w:pPr>
        <w:spacing w:after="120"/>
      </w:pPr>
      <w:r>
        <w:rPr>
          <w:b w:val="0"/>
          <w:i w:val="0"/>
        </w:rPr>
        <w:t>The EWMA is used in two roles: (a) to compute the Performance Score P_d in the MCDM layer by smoothing each dealer's monthly achievement ratios r_{d,t} = actual_t / target_t, and (b) to stabilize volatile monthly ratios caused by sporadic large orders. The EWMA update equation is:</w:t>
      </w:r>
    </w:p>
    <w:p>
      <w:pPr>
        <w:spacing w:before="80" w:after="80"/>
        <w:jc w:val="center"/>
      </w:pPr>
      <w:r>
        <w:rPr>
          <w:i/>
          <w:sz w:val="22"/>
        </w:rPr>
        <w:t>EW_{d,t}  =  α · r_{d,t}  +  (1 − α) · EW_{d,t−1}</w:t>
      </w:r>
    </w:p>
    <w:p>
      <w:pPr>
        <w:spacing w:after="120"/>
      </w:pPr>
      <w:r>
        <w:rPr>
          <w:b w:val="0"/>
          <w:i w:val="0"/>
        </w:rPr>
        <w:t>where α = 2/(W+1) is the smoothing factor determined by window parameter W. The initial value EW_{d,0} is set to the first available monthly ratio. For W=5, α = 2/(5+1) = 0.333, meaning approximately 33% weight is placed on the most recent month, 22% on t−1, 15% on t−2, and so on.</w:t>
      </w:r>
    </w:p>
    <w:p>
      <w:pPr>
        <w:spacing w:after="120"/>
      </w:pPr>
      <w:r>
        <w:rPr>
          <w:b w:val="0"/>
          <w:i w:val="0"/>
        </w:rPr>
        <w:t>Window selection is performed by systematic cross-validation over W ∈ {3, …, 19}. For each candidate W, the mean absolute error (MAE) between EWMA-predicted and actual achievement ratios is computed separately for 2024 and 2025 data. The selection criterion prioritizes cross-year consistency — the window that minimizes |MAE_2024 − MAE_2025| — over raw accuracy, because a window that overfits to one year's patterns will degrade when applied to the following year's data. Figure 4 and Table B illustrate the selection.</w:t>
      </w:r>
    </w:p>
    <w:p>
      <w:pPr>
        <w:jc w:val="center"/>
      </w:pPr>
      <w:r>
        <w:drawing>
          <wp:inline xmlns:a="http://schemas.openxmlformats.org/drawingml/2006/main" xmlns:pic="http://schemas.openxmlformats.org/drawingml/2006/picture">
            <wp:extent cx="5486400" cy="3476398"/>
            <wp:docPr id="4" name="Picture 4"/>
            <wp:cNvGraphicFramePr>
              <a:graphicFrameLocks noChangeAspect="1"/>
            </wp:cNvGraphicFramePr>
            <a:graphic>
              <a:graphicData uri="http://schemas.openxmlformats.org/drawingml/2006/picture">
                <pic:pic>
                  <pic:nvPicPr>
                    <pic:cNvPr id="0" name="fig4_ew_window.png"/>
                    <pic:cNvPicPr/>
                  </pic:nvPicPr>
                  <pic:blipFill>
                    <a:blip r:embed="rId13"/>
                    <a:stretch>
                      <a:fillRect/>
                    </a:stretch>
                  </pic:blipFill>
                  <pic:spPr>
                    <a:xfrm>
                      <a:off x="0" y="0"/>
                      <a:ext cx="5486400" cy="3476398"/>
                    </a:xfrm>
                    <a:prstGeom prst="rect"/>
                  </pic:spPr>
                </pic:pic>
              </a:graphicData>
            </a:graphic>
          </wp:inline>
        </w:drawing>
      </w:r>
    </w:p>
    <w:p>
      <w:pPr>
        <w:spacing w:after="240"/>
        <w:jc w:val="center"/>
      </w:pPr>
      <w:r>
        <w:rPr>
          <w:b/>
          <w:sz w:val="20"/>
        </w:rPr>
        <w:t>Figure 4. EWMA Window Selection: MAE Cross-Validation (W ∈ {3,…,19})</w:t>
      </w:r>
    </w:p>
    <w:p>
      <w:pPr>
        <w:spacing w:after="80"/>
        <w:jc w:val="center"/>
      </w:pPr>
      <w:r>
        <w:rPr>
          <w:b/>
          <w:sz w:val="20"/>
        </w:rPr>
        <w:t>Table B. EWMA Window Analysis Results (W = 3 to W = 10)</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6E4F0"/>
          </w:tcPr>
          <w:p>
            <w:pPr>
              <w:jc w:val="center"/>
            </w:pPr>
            <w:r/>
            <w:r>
              <w:rPr>
                <w:b/>
                <w:sz w:val="18"/>
              </w:rPr>
              <w:t>W</w:t>
            </w:r>
          </w:p>
        </w:tc>
        <w:tc>
          <w:tcPr>
            <w:tcW w:type="dxa" w:w="1881"/>
            <w:shd w:val="clear" w:color="auto" w:fill="D6E4F0"/>
          </w:tcPr>
          <w:p>
            <w:pPr>
              <w:jc w:val="center"/>
            </w:pPr>
            <w:r/>
            <w:r>
              <w:rPr>
                <w:b/>
                <w:sz w:val="18"/>
              </w:rPr>
              <w:t>α = 2/(W+1)</w:t>
            </w:r>
          </w:p>
        </w:tc>
        <w:tc>
          <w:tcPr>
            <w:tcW w:type="dxa" w:w="1881"/>
            <w:shd w:val="clear" w:color="auto" w:fill="D6E4F0"/>
          </w:tcPr>
          <w:p>
            <w:pPr>
              <w:jc w:val="center"/>
            </w:pPr>
            <w:r/>
            <w:r>
              <w:rPr>
                <w:b/>
                <w:sz w:val="18"/>
              </w:rPr>
              <w:t>MAE 2024</w:t>
            </w:r>
          </w:p>
        </w:tc>
        <w:tc>
          <w:tcPr>
            <w:tcW w:type="dxa" w:w="1881"/>
            <w:shd w:val="clear" w:color="auto" w:fill="D6E4F0"/>
          </w:tcPr>
          <w:p>
            <w:pPr>
              <w:jc w:val="center"/>
            </w:pPr>
            <w:r/>
            <w:r>
              <w:rPr>
                <w:b/>
                <w:sz w:val="18"/>
              </w:rPr>
              <w:t>MAE 2025</w:t>
            </w:r>
          </w:p>
        </w:tc>
        <w:tc>
          <w:tcPr>
            <w:tcW w:type="dxa" w:w="1881"/>
            <w:shd w:val="clear" w:color="auto" w:fill="D6E4F0"/>
          </w:tcPr>
          <w:p>
            <w:pPr>
              <w:jc w:val="center"/>
            </w:pPr>
            <w:r/>
            <w:r>
              <w:rPr>
                <w:b/>
                <w:sz w:val="18"/>
              </w:rPr>
              <w:t>|MAE Gap|</w:t>
            </w:r>
          </w:p>
        </w:tc>
      </w:tr>
      <w:tr>
        <w:tc>
          <w:tcPr>
            <w:tcW w:type="dxa" w:w="1881"/>
            <w:shd w:val="clear" w:color="auto" w:fill="F0F4F8"/>
          </w:tcPr>
          <w:p>
            <w:pPr>
              <w:jc w:val="center"/>
            </w:pPr>
            <w:r/>
            <w:r>
              <w:rPr>
                <w:b w:val="0"/>
                <w:sz w:val="18"/>
              </w:rPr>
              <w:t>3</w:t>
            </w:r>
          </w:p>
        </w:tc>
        <w:tc>
          <w:tcPr>
            <w:tcW w:type="dxa" w:w="1881"/>
            <w:shd w:val="clear" w:color="auto" w:fill="F0F4F8"/>
          </w:tcPr>
          <w:p>
            <w:pPr>
              <w:jc w:val="center"/>
            </w:pPr>
            <w:r/>
            <w:r>
              <w:rPr>
                <w:b w:val="0"/>
                <w:sz w:val="18"/>
              </w:rPr>
              <w:t>0.500</w:t>
            </w:r>
          </w:p>
        </w:tc>
        <w:tc>
          <w:tcPr>
            <w:tcW w:type="dxa" w:w="1881"/>
            <w:shd w:val="clear" w:color="auto" w:fill="F0F4F8"/>
          </w:tcPr>
          <w:p>
            <w:pPr>
              <w:jc w:val="center"/>
            </w:pPr>
            <w:r/>
            <w:r>
              <w:rPr>
                <w:b w:val="0"/>
                <w:sz w:val="18"/>
              </w:rPr>
              <w:t>4.12</w:t>
            </w:r>
          </w:p>
        </w:tc>
        <w:tc>
          <w:tcPr>
            <w:tcW w:type="dxa" w:w="1881"/>
            <w:shd w:val="clear" w:color="auto" w:fill="F0F4F8"/>
          </w:tcPr>
          <w:p>
            <w:pPr>
              <w:jc w:val="center"/>
            </w:pPr>
            <w:r/>
            <w:r>
              <w:rPr>
                <w:b w:val="0"/>
                <w:sz w:val="18"/>
              </w:rPr>
              <w:t>5.14</w:t>
            </w:r>
          </w:p>
        </w:tc>
        <w:tc>
          <w:tcPr>
            <w:tcW w:type="dxa" w:w="1881"/>
            <w:shd w:val="clear" w:color="auto" w:fill="F0F4F8"/>
          </w:tcPr>
          <w:p>
            <w:pPr>
              <w:jc w:val="center"/>
            </w:pPr>
            <w:r/>
            <w:r>
              <w:rPr>
                <w:b w:val="0"/>
                <w:sz w:val="18"/>
              </w:rPr>
              <w:t>1.02</w:t>
            </w:r>
          </w:p>
        </w:tc>
      </w:tr>
      <w:tr>
        <w:tc>
          <w:tcPr>
            <w:tcW w:type="dxa" w:w="1881"/>
          </w:tcPr>
          <w:p>
            <w:pPr>
              <w:jc w:val="center"/>
            </w:pPr>
            <w:r/>
            <w:r>
              <w:rPr>
                <w:b w:val="0"/>
                <w:sz w:val="18"/>
              </w:rPr>
              <w:t>4</w:t>
            </w:r>
          </w:p>
        </w:tc>
        <w:tc>
          <w:tcPr>
            <w:tcW w:type="dxa" w:w="1881"/>
          </w:tcPr>
          <w:p>
            <w:pPr>
              <w:jc w:val="center"/>
            </w:pPr>
            <w:r/>
            <w:r>
              <w:rPr>
                <w:b w:val="0"/>
                <w:sz w:val="18"/>
              </w:rPr>
              <w:t>0.400</w:t>
            </w:r>
          </w:p>
        </w:tc>
        <w:tc>
          <w:tcPr>
            <w:tcW w:type="dxa" w:w="1881"/>
          </w:tcPr>
          <w:p>
            <w:pPr>
              <w:jc w:val="center"/>
            </w:pPr>
            <w:r/>
            <w:r>
              <w:rPr>
                <w:b w:val="0"/>
                <w:sz w:val="18"/>
              </w:rPr>
              <w:t>3.87</w:t>
            </w:r>
          </w:p>
        </w:tc>
        <w:tc>
          <w:tcPr>
            <w:tcW w:type="dxa" w:w="1881"/>
          </w:tcPr>
          <w:p>
            <w:pPr>
              <w:jc w:val="center"/>
            </w:pPr>
            <w:r/>
            <w:r>
              <w:rPr>
                <w:b w:val="0"/>
                <w:sz w:val="18"/>
              </w:rPr>
              <w:t>4.72</w:t>
            </w:r>
          </w:p>
        </w:tc>
        <w:tc>
          <w:tcPr>
            <w:tcW w:type="dxa" w:w="1881"/>
          </w:tcPr>
          <w:p>
            <w:pPr>
              <w:jc w:val="center"/>
            </w:pPr>
            <w:r/>
            <w:r>
              <w:rPr>
                <w:b w:val="0"/>
                <w:sz w:val="18"/>
              </w:rPr>
              <w:t>0.85</w:t>
            </w:r>
          </w:p>
        </w:tc>
      </w:tr>
      <w:tr>
        <w:tc>
          <w:tcPr>
            <w:tcW w:type="dxa" w:w="1881"/>
            <w:shd w:val="clear" w:color="auto" w:fill="FFF3CD"/>
          </w:tcPr>
          <w:p>
            <w:pPr>
              <w:jc w:val="center"/>
            </w:pPr>
            <w:r/>
            <w:r>
              <w:rPr>
                <w:b/>
                <w:sz w:val="18"/>
              </w:rPr>
              <w:t>★ 5</w:t>
            </w:r>
          </w:p>
        </w:tc>
        <w:tc>
          <w:tcPr>
            <w:tcW w:type="dxa" w:w="1881"/>
            <w:shd w:val="clear" w:color="auto" w:fill="FFF3CD"/>
          </w:tcPr>
          <w:p>
            <w:pPr>
              <w:jc w:val="center"/>
            </w:pPr>
            <w:r/>
            <w:r>
              <w:rPr>
                <w:b/>
                <w:sz w:val="18"/>
              </w:rPr>
              <w:t>0.333</w:t>
            </w:r>
          </w:p>
        </w:tc>
        <w:tc>
          <w:tcPr>
            <w:tcW w:type="dxa" w:w="1881"/>
            <w:shd w:val="clear" w:color="auto" w:fill="FFF3CD"/>
          </w:tcPr>
          <w:p>
            <w:pPr>
              <w:jc w:val="center"/>
            </w:pPr>
            <w:r/>
            <w:r>
              <w:rPr>
                <w:b/>
                <w:sz w:val="18"/>
              </w:rPr>
              <w:t>3.06</w:t>
            </w:r>
          </w:p>
        </w:tc>
        <w:tc>
          <w:tcPr>
            <w:tcW w:type="dxa" w:w="1881"/>
            <w:shd w:val="clear" w:color="auto" w:fill="FFF3CD"/>
          </w:tcPr>
          <w:p>
            <w:pPr>
              <w:jc w:val="center"/>
            </w:pPr>
            <w:r/>
            <w:r>
              <w:rPr>
                <w:b/>
                <w:sz w:val="18"/>
              </w:rPr>
              <w:t>3.74</w:t>
            </w:r>
          </w:p>
        </w:tc>
        <w:tc>
          <w:tcPr>
            <w:tcW w:type="dxa" w:w="1881"/>
            <w:shd w:val="clear" w:color="auto" w:fill="FFF3CD"/>
          </w:tcPr>
          <w:p>
            <w:pPr>
              <w:jc w:val="center"/>
            </w:pPr>
            <w:r/>
            <w:r>
              <w:rPr>
                <w:b/>
                <w:sz w:val="18"/>
              </w:rPr>
              <w:t>0.68</w:t>
            </w:r>
          </w:p>
        </w:tc>
      </w:tr>
      <w:tr>
        <w:tc>
          <w:tcPr>
            <w:tcW w:type="dxa" w:w="1881"/>
          </w:tcPr>
          <w:p>
            <w:pPr>
              <w:jc w:val="center"/>
            </w:pPr>
            <w:r/>
            <w:r>
              <w:rPr>
                <w:b w:val="0"/>
                <w:sz w:val="18"/>
              </w:rPr>
              <w:t>6</w:t>
            </w:r>
          </w:p>
        </w:tc>
        <w:tc>
          <w:tcPr>
            <w:tcW w:type="dxa" w:w="1881"/>
          </w:tcPr>
          <w:p>
            <w:pPr>
              <w:jc w:val="center"/>
            </w:pPr>
            <w:r/>
            <w:r>
              <w:rPr>
                <w:b w:val="0"/>
                <w:sz w:val="18"/>
              </w:rPr>
              <w:t>0.286</w:t>
            </w:r>
          </w:p>
        </w:tc>
        <w:tc>
          <w:tcPr>
            <w:tcW w:type="dxa" w:w="1881"/>
          </w:tcPr>
          <w:p>
            <w:pPr>
              <w:jc w:val="center"/>
            </w:pPr>
            <w:r/>
            <w:r>
              <w:rPr>
                <w:b w:val="0"/>
                <w:sz w:val="18"/>
              </w:rPr>
              <w:t>3.18</w:t>
            </w:r>
          </w:p>
        </w:tc>
        <w:tc>
          <w:tcPr>
            <w:tcW w:type="dxa" w:w="1881"/>
          </w:tcPr>
          <w:p>
            <w:pPr>
              <w:jc w:val="center"/>
            </w:pPr>
            <w:r/>
            <w:r>
              <w:rPr>
                <w:b w:val="0"/>
                <w:sz w:val="18"/>
              </w:rPr>
              <w:t>3.82</w:t>
            </w:r>
          </w:p>
        </w:tc>
        <w:tc>
          <w:tcPr>
            <w:tcW w:type="dxa" w:w="1881"/>
          </w:tcPr>
          <w:p>
            <w:pPr>
              <w:jc w:val="center"/>
            </w:pPr>
            <w:r/>
            <w:r>
              <w:rPr>
                <w:b w:val="0"/>
                <w:sz w:val="18"/>
              </w:rPr>
              <w:t>0.64</w:t>
            </w:r>
          </w:p>
        </w:tc>
      </w:tr>
      <w:tr>
        <w:tc>
          <w:tcPr>
            <w:tcW w:type="dxa" w:w="1881"/>
            <w:shd w:val="clear" w:color="auto" w:fill="F0F4F8"/>
          </w:tcPr>
          <w:p>
            <w:pPr>
              <w:jc w:val="center"/>
            </w:pPr>
            <w:r/>
            <w:r>
              <w:rPr>
                <w:b w:val="0"/>
                <w:sz w:val="18"/>
              </w:rPr>
              <w:t>7</w:t>
            </w:r>
          </w:p>
        </w:tc>
        <w:tc>
          <w:tcPr>
            <w:tcW w:type="dxa" w:w="1881"/>
            <w:shd w:val="clear" w:color="auto" w:fill="F0F4F8"/>
          </w:tcPr>
          <w:p>
            <w:pPr>
              <w:jc w:val="center"/>
            </w:pPr>
            <w:r/>
            <w:r>
              <w:rPr>
                <w:b w:val="0"/>
                <w:sz w:val="18"/>
              </w:rPr>
              <w:t>0.250</w:t>
            </w:r>
          </w:p>
        </w:tc>
        <w:tc>
          <w:tcPr>
            <w:tcW w:type="dxa" w:w="1881"/>
            <w:shd w:val="clear" w:color="auto" w:fill="F0F4F8"/>
          </w:tcPr>
          <w:p>
            <w:pPr>
              <w:jc w:val="center"/>
            </w:pPr>
            <w:r/>
            <w:r>
              <w:rPr>
                <w:b w:val="0"/>
                <w:sz w:val="18"/>
              </w:rPr>
              <w:t>3.31</w:t>
            </w:r>
          </w:p>
        </w:tc>
        <w:tc>
          <w:tcPr>
            <w:tcW w:type="dxa" w:w="1881"/>
            <w:shd w:val="clear" w:color="auto" w:fill="F0F4F8"/>
          </w:tcPr>
          <w:p>
            <w:pPr>
              <w:jc w:val="center"/>
            </w:pPr>
            <w:r/>
            <w:r>
              <w:rPr>
                <w:b w:val="0"/>
                <w:sz w:val="18"/>
              </w:rPr>
              <w:t>3.91</w:t>
            </w:r>
          </w:p>
        </w:tc>
        <w:tc>
          <w:tcPr>
            <w:tcW w:type="dxa" w:w="1881"/>
            <w:shd w:val="clear" w:color="auto" w:fill="F0F4F8"/>
          </w:tcPr>
          <w:p>
            <w:pPr>
              <w:jc w:val="center"/>
            </w:pPr>
            <w:r/>
            <w:r>
              <w:rPr>
                <w:b w:val="0"/>
                <w:sz w:val="18"/>
              </w:rPr>
              <w:t>0.60</w:t>
            </w:r>
          </w:p>
        </w:tc>
      </w:tr>
      <w:tr>
        <w:tc>
          <w:tcPr>
            <w:tcW w:type="dxa" w:w="1881"/>
          </w:tcPr>
          <w:p>
            <w:pPr>
              <w:jc w:val="center"/>
            </w:pPr>
            <w:r/>
            <w:r>
              <w:rPr>
                <w:b w:val="0"/>
                <w:sz w:val="18"/>
              </w:rPr>
              <w:t>8</w:t>
            </w:r>
          </w:p>
        </w:tc>
        <w:tc>
          <w:tcPr>
            <w:tcW w:type="dxa" w:w="1881"/>
          </w:tcPr>
          <w:p>
            <w:pPr>
              <w:jc w:val="center"/>
            </w:pPr>
            <w:r/>
            <w:r>
              <w:rPr>
                <w:b w:val="0"/>
                <w:sz w:val="18"/>
              </w:rPr>
              <w:t>0.222</w:t>
            </w:r>
          </w:p>
        </w:tc>
        <w:tc>
          <w:tcPr>
            <w:tcW w:type="dxa" w:w="1881"/>
          </w:tcPr>
          <w:p>
            <w:pPr>
              <w:jc w:val="center"/>
            </w:pPr>
            <w:r/>
            <w:r>
              <w:rPr>
                <w:b w:val="0"/>
                <w:sz w:val="18"/>
              </w:rPr>
              <w:t>3.47</w:t>
            </w:r>
          </w:p>
        </w:tc>
        <w:tc>
          <w:tcPr>
            <w:tcW w:type="dxa" w:w="1881"/>
          </w:tcPr>
          <w:p>
            <w:pPr>
              <w:jc w:val="center"/>
            </w:pPr>
            <w:r/>
            <w:r>
              <w:rPr>
                <w:b w:val="0"/>
                <w:sz w:val="18"/>
              </w:rPr>
              <w:t>4.05</w:t>
            </w:r>
          </w:p>
        </w:tc>
        <w:tc>
          <w:tcPr>
            <w:tcW w:type="dxa" w:w="1881"/>
          </w:tcPr>
          <w:p>
            <w:pPr>
              <w:jc w:val="center"/>
            </w:pPr>
            <w:r/>
            <w:r>
              <w:rPr>
                <w:b w:val="0"/>
                <w:sz w:val="18"/>
              </w:rPr>
              <w:t>0.58</w:t>
            </w:r>
          </w:p>
        </w:tc>
      </w:tr>
      <w:tr>
        <w:tc>
          <w:tcPr>
            <w:tcW w:type="dxa" w:w="1881"/>
            <w:shd w:val="clear" w:color="auto" w:fill="F0F4F8"/>
          </w:tcPr>
          <w:p>
            <w:pPr>
              <w:jc w:val="center"/>
            </w:pPr>
            <w:r/>
            <w:r>
              <w:rPr>
                <w:b w:val="0"/>
                <w:sz w:val="18"/>
              </w:rPr>
              <w:t>9</w:t>
            </w:r>
          </w:p>
        </w:tc>
        <w:tc>
          <w:tcPr>
            <w:tcW w:type="dxa" w:w="1881"/>
            <w:shd w:val="clear" w:color="auto" w:fill="F0F4F8"/>
          </w:tcPr>
          <w:p>
            <w:pPr>
              <w:jc w:val="center"/>
            </w:pPr>
            <w:r/>
            <w:r>
              <w:rPr>
                <w:b w:val="0"/>
                <w:sz w:val="18"/>
              </w:rPr>
              <w:t>0.200</w:t>
            </w:r>
          </w:p>
        </w:tc>
        <w:tc>
          <w:tcPr>
            <w:tcW w:type="dxa" w:w="1881"/>
            <w:shd w:val="clear" w:color="auto" w:fill="F0F4F8"/>
          </w:tcPr>
          <w:p>
            <w:pPr>
              <w:jc w:val="center"/>
            </w:pPr>
            <w:r/>
            <w:r>
              <w:rPr>
                <w:b w:val="0"/>
                <w:sz w:val="18"/>
              </w:rPr>
              <w:t>3.62</w:t>
            </w:r>
          </w:p>
        </w:tc>
        <w:tc>
          <w:tcPr>
            <w:tcW w:type="dxa" w:w="1881"/>
            <w:shd w:val="clear" w:color="auto" w:fill="F0F4F8"/>
          </w:tcPr>
          <w:p>
            <w:pPr>
              <w:jc w:val="center"/>
            </w:pPr>
            <w:r/>
            <w:r>
              <w:rPr>
                <w:b w:val="0"/>
                <w:sz w:val="18"/>
              </w:rPr>
              <w:t>4.19</w:t>
            </w:r>
          </w:p>
        </w:tc>
        <w:tc>
          <w:tcPr>
            <w:tcW w:type="dxa" w:w="1881"/>
            <w:shd w:val="clear" w:color="auto" w:fill="F0F4F8"/>
          </w:tcPr>
          <w:p>
            <w:pPr>
              <w:jc w:val="center"/>
            </w:pPr>
            <w:r/>
            <w:r>
              <w:rPr>
                <w:b w:val="0"/>
                <w:sz w:val="18"/>
              </w:rPr>
              <w:t>0.57</w:t>
            </w:r>
          </w:p>
        </w:tc>
      </w:tr>
      <w:tr>
        <w:tc>
          <w:tcPr>
            <w:tcW w:type="dxa" w:w="1881"/>
          </w:tcPr>
          <w:p>
            <w:pPr>
              <w:jc w:val="center"/>
            </w:pPr>
            <w:r/>
            <w:r>
              <w:rPr>
                <w:b w:val="0"/>
                <w:sz w:val="18"/>
              </w:rPr>
              <w:t>10</w:t>
            </w:r>
          </w:p>
        </w:tc>
        <w:tc>
          <w:tcPr>
            <w:tcW w:type="dxa" w:w="1881"/>
          </w:tcPr>
          <w:p>
            <w:pPr>
              <w:jc w:val="center"/>
            </w:pPr>
            <w:r/>
            <w:r>
              <w:rPr>
                <w:b w:val="0"/>
                <w:sz w:val="18"/>
              </w:rPr>
              <w:t>0.182</w:t>
            </w:r>
          </w:p>
        </w:tc>
        <w:tc>
          <w:tcPr>
            <w:tcW w:type="dxa" w:w="1881"/>
          </w:tcPr>
          <w:p>
            <w:pPr>
              <w:jc w:val="center"/>
            </w:pPr>
            <w:r/>
            <w:r>
              <w:rPr>
                <w:b w:val="0"/>
                <w:sz w:val="18"/>
              </w:rPr>
              <w:t>3.78</w:t>
            </w:r>
          </w:p>
        </w:tc>
        <w:tc>
          <w:tcPr>
            <w:tcW w:type="dxa" w:w="1881"/>
          </w:tcPr>
          <w:p>
            <w:pPr>
              <w:jc w:val="center"/>
            </w:pPr>
            <w:r/>
            <w:r>
              <w:rPr>
                <w:b w:val="0"/>
                <w:sz w:val="18"/>
              </w:rPr>
              <w:t>4.33</w:t>
            </w:r>
          </w:p>
        </w:tc>
        <w:tc>
          <w:tcPr>
            <w:tcW w:type="dxa" w:w="1881"/>
          </w:tcPr>
          <w:p>
            <w:pPr>
              <w:jc w:val="center"/>
            </w:pPr>
            <w:r/>
            <w:r>
              <w:rPr>
                <w:b w:val="0"/>
                <w:sz w:val="18"/>
              </w:rPr>
              <w:t>0.55</w:t>
            </w:r>
          </w:p>
        </w:tc>
      </w:tr>
    </w:tbl>
    <w:p/>
    <w:p>
      <w:pPr>
        <w:spacing w:after="120"/>
      </w:pPr>
      <w:r>
        <w:rPr>
          <w:b w:val="0"/>
          <w:i/>
        </w:rPr>
        <w:t>★ Selected: W=5 achieves the best balance of accuracy (MAE 2025=3.74) and cross-year consistency (|Gap|=0.68). W≥8 reduces the gap further but degrades absolute accuracy.</w:t>
      </w:r>
    </w:p>
    <w:p>
      <w:pPr>
        <w:pStyle w:val="Heading2"/>
      </w:pPr>
      <w:r>
        <w:t>4.4 Launch Boost Factor</w:t>
      </w:r>
    </w:p>
    <w:p>
      <w:pPr>
        <w:spacing w:after="120"/>
      </w:pPr>
      <w:r>
        <w:rPr>
          <w:b w:val="0"/>
          <w:i w:val="0"/>
        </w:rPr>
        <w:t>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mature-product seasonal pattern — a typical new-model launch effect documented by Mahajan and van Ryzin (2001).</w:t>
      </w:r>
    </w:p>
    <w:p>
      <w:pPr>
        <w:spacing w:after="120"/>
      </w:pPr>
      <w:r>
        <w:rPr>
          <w:b w:val="0"/>
          <w:i w:val="0"/>
        </w:rPr>
        <w:t>A multiplicative launch boost factor λ = 1.11 is applied to A1V01's seasonal index for months March 2026 onwards (when the sustained elevated demand is expected to persist before normalizing toward the fleet average). The value 1.11 is derived from the observed ratio of actual A1V01 monthly sales to the brand's average new-model sales in the first four months post-launch. The boost reverts to 1.00 from month 7 onwards as the novelty premium dissipates.</w:t>
      </w:r>
    </w:p>
    <w:p>
      <w:r>
        <w:br w:type="page"/>
      </w:r>
    </w:p>
    <w:p>
      <w:pPr>
        <w:pStyle w:val="Heading1"/>
      </w:pPr>
      <w:r>
        <w:t>5. LAYER 2: MULTI-CRITERIA DEALER SCORING</w:t>
      </w:r>
    </w:p>
    <w:p>
      <w:pPr>
        <w:spacing w:after="120"/>
      </w:pPr>
      <w:r>
        <w:rPr>
          <w:b w:val="0"/>
          <w:i w:val="0"/>
        </w:rPr>
        <w:t>Layer 2 computes a composite score C_d for each dealer d ∈ {1, …, 28} as a weighted linear combination of four normalized sub-scores. The composite score is:</w:t>
      </w:r>
    </w:p>
    <w:p>
      <w:pPr>
        <w:spacing w:before="80" w:after="80"/>
        <w:jc w:val="center"/>
      </w:pPr>
      <w:r>
        <w:rPr>
          <w:i/>
          <w:sz w:val="22"/>
        </w:rPr>
        <w:t>C_d  =  0.25 × P_d  +  0.35 × LP_d  +  0.20 × S_d  +  0.20 × H_d</w:t>
      </w:r>
    </w:p>
    <w:p>
      <w:pPr>
        <w:spacing w:after="80"/>
        <w:jc w:val="center"/>
      </w:pPr>
      <w:r>
        <w:rPr>
          <w:b/>
          <w:sz w:val="20"/>
        </w:rPr>
        <w:t>Table C. MCDM Criteria Summary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Criterion</w:t>
            </w:r>
          </w:p>
        </w:tc>
        <w:tc>
          <w:tcPr>
            <w:tcW w:type="dxa" w:w="2351"/>
            <w:shd w:val="clear" w:color="auto" w:fill="D6E4F0"/>
          </w:tcPr>
          <w:p>
            <w:pPr>
              <w:jc w:val="center"/>
            </w:pPr>
            <w:r/>
            <w:r>
              <w:rPr>
                <w:b/>
                <w:sz w:val="18"/>
              </w:rPr>
              <w:t>Symbol</w:t>
            </w:r>
          </w:p>
        </w:tc>
        <w:tc>
          <w:tcPr>
            <w:tcW w:type="dxa" w:w="2351"/>
            <w:shd w:val="clear" w:color="auto" w:fill="D6E4F0"/>
          </w:tcPr>
          <w:p>
            <w:pPr>
              <w:jc w:val="center"/>
            </w:pPr>
            <w:r/>
            <w:r>
              <w:rPr>
                <w:b/>
                <w:sz w:val="18"/>
              </w:rPr>
              <w:t>Weight</w:t>
            </w:r>
          </w:p>
        </w:tc>
        <w:tc>
          <w:tcPr>
            <w:tcW w:type="dxa" w:w="2351"/>
            <w:shd w:val="clear" w:color="auto" w:fill="D6E4F0"/>
          </w:tcPr>
          <w:p>
            <w:pPr>
              <w:jc w:val="center"/>
            </w:pPr>
            <w:r/>
            <w:r>
              <w:rPr>
                <w:b/>
                <w:sz w:val="18"/>
              </w:rPr>
              <w:t>Rationale</w:t>
            </w:r>
          </w:p>
        </w:tc>
      </w:tr>
      <w:tr>
        <w:tc>
          <w:tcPr>
            <w:tcW w:type="dxa" w:w="2351"/>
            <w:shd w:val="clear" w:color="auto" w:fill="F0F4F8"/>
          </w:tcPr>
          <w:p>
            <w:r/>
            <w:r>
              <w:rPr>
                <w:b w:val="0"/>
                <w:sz w:val="18"/>
              </w:rPr>
              <w:t>Performance Score</w:t>
            </w:r>
          </w:p>
        </w:tc>
        <w:tc>
          <w:tcPr>
            <w:tcW w:type="dxa" w:w="2351"/>
            <w:shd w:val="clear" w:color="auto" w:fill="F0F4F8"/>
          </w:tcPr>
          <w:p>
            <w:pPr>
              <w:jc w:val="center"/>
            </w:pPr>
            <w:r/>
            <w:r>
              <w:rPr>
                <w:b w:val="0"/>
                <w:sz w:val="18"/>
              </w:rPr>
              <w:t>P_d</w:t>
            </w:r>
          </w:p>
        </w:tc>
        <w:tc>
          <w:tcPr>
            <w:tcW w:type="dxa" w:w="2351"/>
            <w:shd w:val="clear" w:color="auto" w:fill="F0F4F8"/>
          </w:tcPr>
          <w:p>
            <w:pPr>
              <w:jc w:val="center"/>
            </w:pPr>
            <w:r/>
            <w:r>
              <w:rPr>
                <w:b w:val="0"/>
                <w:sz w:val="18"/>
              </w:rPr>
              <w:t>0.25</w:t>
            </w:r>
          </w:p>
        </w:tc>
        <w:tc>
          <w:tcPr>
            <w:tcW w:type="dxa" w:w="2351"/>
            <w:shd w:val="clear" w:color="auto" w:fill="F0F4F8"/>
          </w:tcPr>
          <w:p>
            <w:r/>
            <w:r>
              <w:rPr>
                <w:b w:val="0"/>
                <w:sz w:val="18"/>
              </w:rPr>
              <w:t>EWMA of 2025 monthly target-achievement ratios; rewards consistent delivery</w:t>
            </w:r>
          </w:p>
        </w:tc>
      </w:tr>
      <w:tr>
        <w:tc>
          <w:tcPr>
            <w:tcW w:type="dxa" w:w="2351"/>
          </w:tcPr>
          <w:p>
            <w:r/>
            <w:r>
              <w:rPr>
                <w:b w:val="0"/>
                <w:sz w:val="18"/>
              </w:rPr>
              <w:t>Location-Product Fit</w:t>
            </w:r>
          </w:p>
        </w:tc>
        <w:tc>
          <w:tcPr>
            <w:tcW w:type="dxa" w:w="2351"/>
          </w:tcPr>
          <w:p>
            <w:pPr>
              <w:jc w:val="center"/>
            </w:pPr>
            <w:r/>
            <w:r>
              <w:rPr>
                <w:b w:val="0"/>
                <w:sz w:val="18"/>
              </w:rPr>
              <w:t>LP_d</w:t>
            </w:r>
          </w:p>
        </w:tc>
        <w:tc>
          <w:tcPr>
            <w:tcW w:type="dxa" w:w="2351"/>
          </w:tcPr>
          <w:p>
            <w:pPr>
              <w:jc w:val="center"/>
            </w:pPr>
            <w:r/>
            <w:r>
              <w:rPr>
                <w:b w:val="0"/>
                <w:sz w:val="18"/>
              </w:rPr>
              <w:t>0.35</w:t>
            </w:r>
          </w:p>
        </w:tc>
        <w:tc>
          <w:tcPr>
            <w:tcW w:type="dxa" w:w="2351"/>
          </w:tcPr>
          <w:p>
            <w:r/>
            <w:r>
              <w:rPr>
                <w:b w:val="0"/>
                <w:sz w:val="18"/>
              </w:rPr>
              <w:t>Cosine similarity of dealer sales vector vs. depot inventory; ensures product-market fit</w:t>
            </w:r>
          </w:p>
        </w:tc>
      </w:tr>
      <w:tr>
        <w:tc>
          <w:tcPr>
            <w:tcW w:type="dxa" w:w="2351"/>
            <w:shd w:val="clear" w:color="auto" w:fill="F0F4F8"/>
          </w:tcPr>
          <w:p>
            <w:r/>
            <w:r>
              <w:rPr>
                <w:b w:val="0"/>
                <w:sz w:val="18"/>
              </w:rPr>
              <w:t>Seasonal Alignment</w:t>
            </w:r>
          </w:p>
        </w:tc>
        <w:tc>
          <w:tcPr>
            <w:tcW w:type="dxa" w:w="2351"/>
            <w:shd w:val="clear" w:color="auto" w:fill="F0F4F8"/>
          </w:tcPr>
          <w:p>
            <w:pPr>
              <w:jc w:val="center"/>
            </w:pPr>
            <w:r/>
            <w:r>
              <w:rPr>
                <w:b w:val="0"/>
                <w:sz w:val="18"/>
              </w:rPr>
              <w:t>S_d</w:t>
            </w:r>
          </w:p>
        </w:tc>
        <w:tc>
          <w:tcPr>
            <w:tcW w:type="dxa" w:w="2351"/>
            <w:shd w:val="clear" w:color="auto" w:fill="F0F4F8"/>
          </w:tcPr>
          <w:p>
            <w:pPr>
              <w:jc w:val="center"/>
            </w:pPr>
            <w:r/>
            <w:r>
              <w:rPr>
                <w:b w:val="0"/>
                <w:sz w:val="18"/>
              </w:rPr>
              <w:t>0.20</w:t>
            </w:r>
          </w:p>
        </w:tc>
        <w:tc>
          <w:tcPr>
            <w:tcW w:type="dxa" w:w="2351"/>
            <w:shd w:val="clear" w:color="auto" w:fill="F0F4F8"/>
          </w:tcPr>
          <w:p>
            <w:r/>
            <w:r>
              <w:rPr>
                <w:b w:val="0"/>
                <w:sz w:val="18"/>
              </w:rPr>
              <w:t>Dealer-specific seasonal index normalized to [0,1]; allocates more in high-demand months</w:t>
            </w:r>
          </w:p>
        </w:tc>
      </w:tr>
      <w:tr>
        <w:tc>
          <w:tcPr>
            <w:tcW w:type="dxa" w:w="2351"/>
          </w:tcPr>
          <w:p>
            <w:r/>
            <w:r>
              <w:rPr>
                <w:b w:val="0"/>
                <w:sz w:val="18"/>
              </w:rPr>
              <w:t>Target Proximity</w:t>
            </w:r>
          </w:p>
        </w:tc>
        <w:tc>
          <w:tcPr>
            <w:tcW w:type="dxa" w:w="2351"/>
          </w:tcPr>
          <w:p>
            <w:pPr>
              <w:jc w:val="center"/>
            </w:pPr>
            <w:r/>
            <w:r>
              <w:rPr>
                <w:b w:val="0"/>
                <w:sz w:val="18"/>
              </w:rPr>
              <w:t>H_d</w:t>
            </w:r>
          </w:p>
        </w:tc>
        <w:tc>
          <w:tcPr>
            <w:tcW w:type="dxa" w:w="2351"/>
          </w:tcPr>
          <w:p>
            <w:pPr>
              <w:jc w:val="center"/>
            </w:pPr>
            <w:r/>
            <w:r>
              <w:rPr>
                <w:b w:val="0"/>
                <w:sz w:val="18"/>
              </w:rPr>
              <w:t>0.20</w:t>
            </w:r>
          </w:p>
        </w:tc>
        <w:tc>
          <w:tcPr>
            <w:tcW w:type="dxa" w:w="2351"/>
          </w:tcPr>
          <w:p>
            <w:r/>
            <w:r>
              <w:rPr>
                <w:b w:val="0"/>
                <w:sz w:val="18"/>
              </w:rPr>
              <w:t>Asymmetric penalty for year-to-date lag; prioritizes dealers behind annual target</w:t>
            </w:r>
          </w:p>
        </w:tc>
      </w:tr>
      <w:tr>
        <w:tc>
          <w:tcPr>
            <w:tcW w:type="dxa" w:w="2351"/>
            <w:shd w:val="clear" w:color="auto" w:fill="F0F4F8"/>
          </w:tcPr>
          <w:p>
            <w:r/>
            <w:r>
              <w:rPr>
                <w:b w:val="0"/>
                <w:sz w:val="18"/>
              </w:rPr>
              <w:t>Composite Score</w:t>
            </w:r>
          </w:p>
        </w:tc>
        <w:tc>
          <w:tcPr>
            <w:tcW w:type="dxa" w:w="2351"/>
            <w:shd w:val="clear" w:color="auto" w:fill="F0F4F8"/>
          </w:tcPr>
          <w:p>
            <w:pPr>
              <w:jc w:val="center"/>
            </w:pPr>
            <w:r/>
            <w:r>
              <w:rPr>
                <w:b w:val="0"/>
                <w:sz w:val="18"/>
              </w:rPr>
              <w:t>C_d</w:t>
            </w:r>
          </w:p>
        </w:tc>
        <w:tc>
          <w:tcPr>
            <w:tcW w:type="dxa" w:w="2351"/>
            <w:shd w:val="clear" w:color="auto" w:fill="F0F4F8"/>
          </w:tcPr>
          <w:p>
            <w:pPr>
              <w:jc w:val="center"/>
            </w:pPr>
            <w:r/>
            <w:r>
              <w:rPr>
                <w:b w:val="0"/>
                <w:sz w:val="18"/>
              </w:rPr>
              <w:t>1.00</w:t>
            </w:r>
          </w:p>
        </w:tc>
        <w:tc>
          <w:tcPr>
            <w:tcW w:type="dxa" w:w="2351"/>
            <w:shd w:val="clear" w:color="auto" w:fill="F0F4F8"/>
          </w:tcPr>
          <w:p>
            <w:r/>
            <w:r>
              <w:rPr>
                <w:b w:val="0"/>
                <w:sz w:val="18"/>
              </w:rPr>
              <w:t>Weighted sum; used directly as MILP objective coefficient</w:t>
            </w:r>
          </w:p>
        </w:tc>
      </w:tr>
    </w:tbl>
    <w:p/>
    <w:p>
      <w:pPr>
        <w:pStyle w:val="Heading2"/>
      </w:pPr>
      <w:r>
        <w:t>5.1 Performance Score (P)</w:t>
      </w:r>
    </w:p>
    <w:p>
      <w:pPr>
        <w:spacing w:after="120"/>
      </w:pPr>
      <w:r>
        <w:rPr>
          <w:b w:val="0"/>
          <w:i w:val="0"/>
        </w:rPr>
        <w:t>P_d measures how reliably dealer d has met its monthly sales targets over 2025. The EWMA of the 5-month window of August–December 2025 achievement ratios r_{d,t} is computed:</w:t>
      </w:r>
    </w:p>
    <w:p>
      <w:pPr>
        <w:spacing w:before="80" w:after="80"/>
        <w:jc w:val="center"/>
      </w:pPr>
      <w:r>
        <w:rPr>
          <w:i/>
          <w:sz w:val="22"/>
        </w:rPr>
        <w:t>EW_d  =  α·r_{d,T}  +  α(1−α)·r_{d,T−1}  +  α(1−α)²·r_{d,T−2}  +  α(1−α)³·r_{d,T−3}  +  α(1−α)⁴·r_{d,T−4}</w:t>
      </w:r>
    </w:p>
    <w:p>
      <w:pPr>
        <w:spacing w:after="120"/>
      </w:pPr>
      <w:r>
        <w:rPr>
          <w:b w:val="0"/>
          <w:i w:val="0"/>
        </w:rPr>
        <w:t>where T = December 2025. EW_d is then min-max normalized across all dealers:</w:t>
      </w:r>
    </w:p>
    <w:p>
      <w:pPr>
        <w:spacing w:before="80" w:after="80"/>
        <w:jc w:val="center"/>
      </w:pPr>
      <w:r>
        <w:rPr>
          <w:i/>
          <w:sz w:val="22"/>
        </w:rPr>
        <w:t>P_d  =  (EW_d − min_j EW_j)  /  (max_j EW_j − min_j EW_j)</w:t>
      </w:r>
    </w:p>
    <w:p>
      <w:pPr>
        <w:spacing w:after="120"/>
      </w:pPr>
      <w:r>
        <w:rPr>
          <w:b w:val="0"/>
          <w:i w:val="0"/>
        </w:rPr>
        <w:t>A dealer consistently achieving ≥100% of its monthly target scores P_d = 1.0. A dealer with persistent underperformance scores P_d → 0. The min-max normalization ensures P_d ∈ [0, 1].</w:t>
      </w:r>
    </w:p>
    <w:p>
      <w:pPr>
        <w:pStyle w:val="Heading2"/>
      </w:pPr>
      <w:r>
        <w:t>5.2 Location-Product Fit Score (LP)</w:t>
      </w:r>
    </w:p>
    <w:p>
      <w:pPr>
        <w:spacing w:after="120"/>
      </w:pPr>
      <w:r>
        <w:rPr>
          <w:b w:val="0"/>
          <w:i w:val="0"/>
        </w:rPr>
        <w:t>LP_d quantifies the alignment between the current depot inventory composition and dealer d's historical purchasing preferences. The dealer's historical profile is encoded as a vector u_d ∈ ℝ^K where K is the number of distinct (model, version, color) triplets, and u_d[k] counts sales of variant k by dealer d over 2024–2025. The current depot inventory is encoded as v ∈ ℝ^K where v[k] is the available quantity of variant k. The LP score is:</w:t>
      </w:r>
    </w:p>
    <w:p>
      <w:pPr>
        <w:spacing w:before="80" w:after="80"/>
        <w:jc w:val="center"/>
      </w:pPr>
      <w:r>
        <w:rPr>
          <w:i/>
          <w:sz w:val="22"/>
        </w:rPr>
        <w:t>LP_d  =  (u_d · v)  /  (‖u_d‖ · ‖v‖)  ∈  [0, 1]</w:t>
      </w:r>
    </w:p>
    <w:p>
      <w:pPr>
        <w:spacing w:after="120"/>
      </w:pPr>
      <w:r>
        <w:rPr>
          <w:b w:val="0"/>
          <w:i w:val="0"/>
        </w:rPr>
        <w:t>This is the standard cosine similarity. LP_d = 1.0 when the inventory composition perfectly mirrors the dealer's historical preferences; LP_d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pPr>
        <w:pStyle w:val="Heading2"/>
      </w:pPr>
      <w:r>
        <w:t>5.3 Seasonal Alignment Score (S)</w:t>
      </w:r>
    </w:p>
    <w:p>
      <w:pPr>
        <w:spacing w:after="120"/>
      </w:pPr>
      <w:r>
        <w:rPr>
          <w:b w:val="0"/>
          <w:i w:val="0"/>
        </w:rPr>
        <w:t>S_d captures the expected relative demand for the allocation month at dealer d's location. A dealer-specific seasonal index SI_{d,m} is computed from the dealer's own 24-month sales history using the same STL methodology applied at the brand level. S_d is normalized by the maximum seasonal index across all active dealers in month m:</w:t>
      </w:r>
    </w:p>
    <w:p>
      <w:pPr>
        <w:spacing w:before="80" w:after="80"/>
        <w:jc w:val="center"/>
      </w:pPr>
      <w:r>
        <w:rPr>
          <w:i/>
          <w:sz w:val="22"/>
        </w:rPr>
        <w:t>S_d  =  SI_{d,m}  /  max_j (SI_{j,m})  ∈  (0, 1]</w:t>
      </w:r>
    </w:p>
    <w:p>
      <w:pPr>
        <w:spacing w:after="120"/>
      </w:pPr>
      <w:r>
        <w:rPr>
          <w:b w:val="0"/>
          <w:i w:val="0"/>
        </w:rPr>
        <w:t>For January 2026, SI values range from 0.41 to 0.86 across active dealers, reflecting significant regional variation in seasonal demand patterns — dealers in resort or university cities show different patterns than those in industrial cities.</w:t>
      </w:r>
    </w:p>
    <w:p>
      <w:pPr>
        <w:pStyle w:val="Heading2"/>
      </w:pPr>
      <w:r>
        <w:t>5.4 Target Proximity Score (H)</w:t>
      </w:r>
    </w:p>
    <w:p>
      <w:pPr>
        <w:spacing w:after="120"/>
      </w:pPr>
      <w:r>
        <w:rPr>
          <w:b w:val="0"/>
          <w:i w:val="0"/>
        </w:rPr>
        <w:t>H_d introduces an asymmetric incentive structure. The year-to-date lag for dealer d is:</w:t>
      </w:r>
    </w:p>
    <w:p>
      <w:pPr>
        <w:spacing w:before="80" w:after="80"/>
        <w:jc w:val="center"/>
      </w:pPr>
      <w:r>
        <w:rPr>
          <w:i/>
          <w:sz w:val="22"/>
        </w:rPr>
        <w:t>lag_d  =  max(0,  expected_ytd_d − actual_ytd_d)  /  annual_target_d</w:t>
      </w:r>
    </w:p>
    <w:p>
      <w:pPr>
        <w:spacing w:after="120"/>
      </w:pPr>
      <w:r>
        <w:rPr>
          <w:b w:val="0"/>
          <w:i w:val="0"/>
        </w:rPr>
        <w:t>where expected_ytd_d = annual_target_d × (months_elapsed / 12). The H score is:</w:t>
      </w:r>
    </w:p>
    <w:p>
      <w:pPr>
        <w:spacing w:before="80" w:after="80"/>
        <w:jc w:val="center"/>
      </w:pPr>
      <w:r>
        <w:rPr>
          <w:i/>
          <w:sz w:val="22"/>
        </w:rPr>
        <w:t>H_d  =  1  +  lag_d  ≥  1</w:t>
      </w:r>
    </w:p>
    <w:p>
      <w:pPr>
        <w:spacing w:after="120"/>
      </w:pPr>
      <w:r>
        <w:rPr>
          <w:b w:val="0"/>
          <w:i w:val="0"/>
        </w:rPr>
        <w:t>For a dealer exactly on track or ahead of target, lag_d = 0 and H_d = 1.0. For a dealer 15% behind its pro-rated annual target, lag_d = 0.15 and H_d = 1.15. The asymmetric design means over-performance does not penalize a dealer (H_d does not fall below 1.0), reflecting the brand's priority of ensuring all dealers achieve their contractual annual commitments. For January 2026 (the first allocation month), YTD data is not yet available, so H_d is computed relative to the December 2025 year-end position.</w:t>
      </w:r>
    </w:p>
    <w:p>
      <w:pPr>
        <w:pStyle w:val="Heading2"/>
      </w:pPr>
      <w:r>
        <w:t>5.5 Composite Score Computation</w:t>
      </w:r>
    </w:p>
    <w:p>
      <w:pPr>
        <w:spacing w:after="120"/>
      </w:pPr>
      <w:r>
        <w:rPr>
          <w:b w:val="0"/>
          <w:i w:val="0"/>
        </w:rPr>
        <w:t>For the January 2026 instance, composite scores C_d were computed for all 28 registered dealers. The 22 active dealers (those with AKTİF status in January per Bayi-Aktiflik-Durumu.csv) were included in the MILP. Figure 5 shows the score breakdown by criterion for all scored dealers.</w:t>
      </w:r>
    </w:p>
    <w:p>
      <w:pPr>
        <w:jc w:val="center"/>
      </w:pPr>
      <w:r>
        <w:drawing>
          <wp:inline xmlns:a="http://schemas.openxmlformats.org/drawingml/2006/main" xmlns:pic="http://schemas.openxmlformats.org/drawingml/2006/picture">
            <wp:extent cx="5303520" cy="4228530"/>
            <wp:docPr id="5" name="Picture 5"/>
            <wp:cNvGraphicFramePr>
              <a:graphicFrameLocks noChangeAspect="1"/>
            </wp:cNvGraphicFramePr>
            <a:graphic>
              <a:graphicData uri="http://schemas.openxmlformats.org/drawingml/2006/picture">
                <pic:pic>
                  <pic:nvPicPr>
                    <pic:cNvPr id="0" name="fig5_mcdm.png"/>
                    <pic:cNvPicPr/>
                  </pic:nvPicPr>
                  <pic:blipFill>
                    <a:blip r:embed="rId14"/>
                    <a:stretch>
                      <a:fillRect/>
                    </a:stretch>
                  </pic:blipFill>
                  <pic:spPr>
                    <a:xfrm>
                      <a:off x="0" y="0"/>
                      <a:ext cx="5303520" cy="4228530"/>
                    </a:xfrm>
                    <a:prstGeom prst="rect"/>
                  </pic:spPr>
                </pic:pic>
              </a:graphicData>
            </a:graphic>
          </wp:inline>
        </w:drawing>
      </w:r>
    </w:p>
    <w:p>
      <w:pPr>
        <w:spacing w:after="240"/>
        <w:jc w:val="center"/>
      </w:pPr>
      <w:r>
        <w:rPr>
          <w:b/>
          <w:sz w:val="20"/>
        </w:rPr>
        <w:t>Figure 5. MCDM Composite Score Distribution — Dealer Ranking (January 2026)</w:t>
      </w:r>
    </w:p>
    <w:p>
      <w:pPr>
        <w:spacing w:after="120"/>
      </w:pPr>
      <w:r>
        <w:rPr>
          <w:b w:val="0"/>
          <w:i w:val="0"/>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r>
        <w:br w:type="page"/>
      </w:r>
    </w:p>
    <w:p>
      <w:pPr>
        <w:pStyle w:val="Heading1"/>
      </w:pPr>
      <w:r>
        <w:t>6. LAYER 3: MILP ALLOCATION MODEL</w:t>
      </w:r>
    </w:p>
    <w:p>
      <w:pPr>
        <w:pStyle w:val="Heading2"/>
      </w:pPr>
      <w:r>
        <w:t>6.1 Problem Formulation</w:t>
      </w:r>
    </w:p>
    <w:p>
      <w:pPr>
        <w:spacing w:after="120"/>
      </w:pPr>
      <w:r>
        <w:rPr>
          <w:b w:val="0"/>
          <w:i w:val="0"/>
        </w:rPr>
        <w:t>The monthly vehicle allocation problem is formulated as a Mixed-Integer Linear Program. Let D_m ⊆ {1, …, 28} be the set of active dealers in month m (|D_Jan| = 22), V be the set of vehicle variants, and V_A, V_B ⊆ V the A-group and B-group variant subsets. Decision variable x[v][d] ∈ ℤ_{≥0} denotes units of variant v allocated to dealer d.</w:t>
      </w:r>
    </w:p>
    <w:p>
      <w:pPr>
        <w:spacing w:after="80"/>
        <w:jc w:val="center"/>
      </w:pPr>
      <w:r>
        <w:rPr>
          <w:b/>
          <w:sz w:val="20"/>
        </w:rPr>
        <w:t>Table D. Sets, Parameters, and Variables of the MILP Model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6E4F0"/>
          </w:tcPr>
          <w:p>
            <w:pPr>
              <w:jc w:val="center"/>
            </w:pPr>
            <w:r/>
            <w:r>
              <w:rPr>
                <w:b/>
                <w:sz w:val="18"/>
              </w:rPr>
              <w:t>Symbol</w:t>
            </w:r>
          </w:p>
        </w:tc>
        <w:tc>
          <w:tcPr>
            <w:tcW w:type="dxa" w:w="3135"/>
            <w:shd w:val="clear" w:color="auto" w:fill="D6E4F0"/>
          </w:tcPr>
          <w:p>
            <w:pPr>
              <w:jc w:val="center"/>
            </w:pPr>
            <w:r/>
            <w:r>
              <w:rPr>
                <w:b/>
                <w:sz w:val="18"/>
              </w:rPr>
              <w:t>Description</w:t>
            </w:r>
          </w:p>
        </w:tc>
        <w:tc>
          <w:tcPr>
            <w:tcW w:type="dxa" w:w="3135"/>
            <w:shd w:val="clear" w:color="auto" w:fill="D6E4F0"/>
          </w:tcPr>
          <w:p>
            <w:pPr>
              <w:jc w:val="center"/>
            </w:pPr>
            <w:r/>
            <w:r>
              <w:rPr>
                <w:b/>
                <w:sz w:val="18"/>
              </w:rPr>
              <w:t>Value / Range</w:t>
            </w:r>
          </w:p>
        </w:tc>
      </w:tr>
      <w:tr>
        <w:tc>
          <w:tcPr>
            <w:tcW w:type="dxa" w:w="3135"/>
            <w:shd w:val="clear" w:color="auto" w:fill="C8D6E3"/>
          </w:tcPr>
          <w:p>
            <w:pPr>
              <w:jc w:val="center"/>
            </w:pPr>
            <w:r/>
            <w:r>
              <w:rPr>
                <w:b/>
                <w:sz w:val="18"/>
              </w:rPr>
              <w:t>SETS</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D_m</w:t>
            </w:r>
          </w:p>
        </w:tc>
        <w:tc>
          <w:tcPr>
            <w:tcW w:type="dxa" w:w="3135"/>
          </w:tcPr>
          <w:p>
            <w:r/>
            <w:r>
              <w:rPr>
                <w:b w:val="0"/>
                <w:sz w:val="18"/>
              </w:rPr>
              <w:t>Active dealer set for month m</w:t>
            </w:r>
          </w:p>
        </w:tc>
        <w:tc>
          <w:tcPr>
            <w:tcW w:type="dxa" w:w="3135"/>
          </w:tcPr>
          <w:p>
            <w:r/>
            <w:r>
              <w:rPr>
                <w:b w:val="0"/>
                <w:sz w:val="18"/>
              </w:rPr>
              <w:t>|D_Jan| = 22</w:t>
            </w:r>
          </w:p>
        </w:tc>
      </w:tr>
      <w:tr>
        <w:tc>
          <w:tcPr>
            <w:tcW w:type="dxa" w:w="3135"/>
            <w:shd w:val="clear" w:color="auto" w:fill="F0F4F8"/>
          </w:tcPr>
          <w:p>
            <w:r/>
            <w:r>
              <w:rPr>
                <w:b w:val="0"/>
                <w:sz w:val="18"/>
              </w:rPr>
              <w:t>V</w:t>
            </w:r>
          </w:p>
        </w:tc>
        <w:tc>
          <w:tcPr>
            <w:tcW w:type="dxa" w:w="3135"/>
            <w:shd w:val="clear" w:color="auto" w:fill="F0F4F8"/>
          </w:tcPr>
          <w:p>
            <w:r/>
            <w:r>
              <w:rPr>
                <w:b w:val="0"/>
                <w:sz w:val="18"/>
              </w:rPr>
              <w:t>Vehicle variant set (model × version × color)</w:t>
            </w:r>
          </w:p>
        </w:tc>
        <w:tc>
          <w:tcPr>
            <w:tcW w:type="dxa" w:w="3135"/>
            <w:shd w:val="clear" w:color="auto" w:fill="F0F4F8"/>
          </w:tcPr>
          <w:p>
            <w:r/>
            <w:r>
              <w:rPr>
                <w:b w:val="0"/>
                <w:sz w:val="18"/>
              </w:rPr>
              <w:t>|V| = 16 in January</w:t>
            </w:r>
          </w:p>
        </w:tc>
      </w:tr>
      <w:tr>
        <w:tc>
          <w:tcPr>
            <w:tcW w:type="dxa" w:w="3135"/>
          </w:tcPr>
          <w:p>
            <w:r/>
            <w:r>
              <w:rPr>
                <w:b w:val="0"/>
                <w:sz w:val="18"/>
              </w:rPr>
              <w:t>V_A, V_B</w:t>
            </w:r>
          </w:p>
        </w:tc>
        <w:tc>
          <w:tcPr>
            <w:tcW w:type="dxa" w:w="3135"/>
          </w:tcPr>
          <w:p>
            <w:r/>
            <w:r>
              <w:rPr>
                <w:b w:val="0"/>
                <w:sz w:val="18"/>
              </w:rPr>
              <w:t>A-group and B-group variant subsets</w:t>
            </w:r>
          </w:p>
        </w:tc>
        <w:tc>
          <w:tcPr>
            <w:tcW w:type="dxa" w:w="3135"/>
          </w:tcPr>
          <w:p>
            <w:r/>
            <w:r>
              <w:rPr>
                <w:b w:val="0"/>
                <w:sz w:val="18"/>
              </w:rPr>
              <w:t>|V_A|=12, |V_B|=4</w:t>
            </w:r>
          </w:p>
        </w:tc>
      </w:tr>
      <w:tr>
        <w:tc>
          <w:tcPr>
            <w:tcW w:type="dxa" w:w="3135"/>
            <w:shd w:val="clear" w:color="auto" w:fill="C8D6E3"/>
          </w:tcPr>
          <w:p>
            <w:pPr>
              <w:jc w:val="center"/>
            </w:pPr>
            <w:r/>
            <w:r>
              <w:rPr>
                <w:b/>
                <w:sz w:val="18"/>
              </w:rPr>
              <w:t>PARAMETERS</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C_d</w:t>
            </w:r>
          </w:p>
        </w:tc>
        <w:tc>
          <w:tcPr>
            <w:tcW w:type="dxa" w:w="3135"/>
          </w:tcPr>
          <w:p>
            <w:r/>
            <w:r>
              <w:rPr>
                <w:b w:val="0"/>
                <w:sz w:val="18"/>
              </w:rPr>
              <w:t>Composite MCDM score for dealer d</w:t>
            </w:r>
          </w:p>
        </w:tc>
        <w:tc>
          <w:tcPr>
            <w:tcW w:type="dxa" w:w="3135"/>
          </w:tcPr>
          <w:p>
            <w:r/>
            <w:r>
              <w:rPr>
                <w:b w:val="0"/>
                <w:sz w:val="18"/>
              </w:rPr>
              <w:t>C_d ∈ [0.41, 0.856]</w:t>
            </w:r>
          </w:p>
        </w:tc>
      </w:tr>
      <w:tr>
        <w:tc>
          <w:tcPr>
            <w:tcW w:type="dxa" w:w="3135"/>
            <w:shd w:val="clear" w:color="auto" w:fill="F0F4F8"/>
          </w:tcPr>
          <w:p>
            <w:r/>
            <w:r>
              <w:rPr>
                <w:b w:val="0"/>
                <w:sz w:val="18"/>
              </w:rPr>
              <w:t>avail_v</w:t>
            </w:r>
          </w:p>
        </w:tc>
        <w:tc>
          <w:tcPr>
            <w:tcW w:type="dxa" w:w="3135"/>
            <w:shd w:val="clear" w:color="auto" w:fill="F0F4F8"/>
          </w:tcPr>
          <w:p>
            <w:r/>
            <w:r>
              <w:rPr>
                <w:b w:val="0"/>
                <w:sz w:val="18"/>
              </w:rPr>
              <w:t>Available units of variant v in depot</w:t>
            </w:r>
          </w:p>
        </w:tc>
        <w:tc>
          <w:tcPr>
            <w:tcW w:type="dxa" w:w="3135"/>
            <w:shd w:val="clear" w:color="auto" w:fill="F0F4F8"/>
          </w:tcPr>
          <w:p>
            <w:r/>
            <w:r>
              <w:rPr>
                <w:b w:val="0"/>
                <w:sz w:val="18"/>
              </w:rPr>
              <w:t>Σ avail_v = 603 (Jan 2026)</w:t>
            </w:r>
          </w:p>
        </w:tc>
      </w:tr>
      <w:tr>
        <w:tc>
          <w:tcPr>
            <w:tcW w:type="dxa" w:w="3135"/>
          </w:tcPr>
          <w:p>
            <w:r/>
            <w:r>
              <w:rPr>
                <w:b w:val="0"/>
                <w:sz w:val="18"/>
              </w:rPr>
              <w:t>quota_d^g</w:t>
            </w:r>
          </w:p>
        </w:tc>
        <w:tc>
          <w:tcPr>
            <w:tcW w:type="dxa" w:w="3135"/>
          </w:tcPr>
          <w:p>
            <w:r/>
            <w:r>
              <w:rPr>
                <w:b w:val="0"/>
                <w:sz w:val="18"/>
              </w:rPr>
              <w:t>Monthly quota for dealer d in group g</w:t>
            </w:r>
          </w:p>
        </w:tc>
        <w:tc>
          <w:tcPr>
            <w:tcW w:type="dxa" w:w="3135"/>
          </w:tcPr>
          <w:p>
            <w:r/>
            <w:r>
              <w:rPr>
                <w:b w:val="0"/>
                <w:sz w:val="18"/>
              </w:rPr>
              <w:t>Derived from annual target × SI_m</w:t>
            </w:r>
          </w:p>
        </w:tc>
      </w:tr>
      <w:tr>
        <w:tc>
          <w:tcPr>
            <w:tcW w:type="dxa" w:w="3135"/>
            <w:shd w:val="clear" w:color="auto" w:fill="C8D6E3"/>
          </w:tcPr>
          <w:p>
            <w:pPr>
              <w:jc w:val="center"/>
            </w:pPr>
            <w:r/>
            <w:r>
              <w:rPr>
                <w:b/>
                <w:sz w:val="18"/>
              </w:rPr>
              <w:t>DECISION VARIABLE</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x[v][d]</w:t>
            </w:r>
          </w:p>
        </w:tc>
        <w:tc>
          <w:tcPr>
            <w:tcW w:type="dxa" w:w="3135"/>
          </w:tcPr>
          <w:p>
            <w:r/>
            <w:r>
              <w:rPr>
                <w:b w:val="0"/>
                <w:sz w:val="18"/>
              </w:rPr>
              <w:t>Units of variant v allocated to dealer d</w:t>
            </w:r>
          </w:p>
        </w:tc>
        <w:tc>
          <w:tcPr>
            <w:tcW w:type="dxa" w:w="3135"/>
          </w:tcPr>
          <w:p>
            <w:r/>
            <w:r>
              <w:rPr>
                <w:b w:val="0"/>
                <w:sz w:val="18"/>
              </w:rPr>
              <w:t>x[v][d] ∈ ℤ_{≥0}</w:t>
            </w:r>
          </w:p>
        </w:tc>
      </w:tr>
    </w:tbl>
    <w:p/>
    <w:p>
      <w:pPr>
        <w:spacing w:after="120"/>
      </w:pPr>
      <w:r>
        <w:rPr>
          <w:b w:val="0"/>
          <w:i w:val="0"/>
        </w:rPr>
        <w:t>The MILP is formulated as:</w:t>
      </w:r>
    </w:p>
    <w:p>
      <w:pPr>
        <w:spacing w:before="80" w:after="80"/>
        <w:jc w:val="center"/>
      </w:pPr>
      <w:r>
        <w:rPr>
          <w:i/>
          <w:sz w:val="22"/>
        </w:rPr>
        <w:t>Maximize:   Z  =  Σ_{v∈V}  Σ_{d∈D_m}  C_d · x[v][d]</w:t>
      </w:r>
    </w:p>
    <w:p>
      <w:pPr>
        <w:spacing w:after="120"/>
      </w:pPr>
      <w:r>
        <w:rPr>
          <w:b/>
          <w:i w:val="0"/>
        </w:rPr>
        <w:t>Subject to:</w:t>
      </w:r>
    </w:p>
    <w:p>
      <w:pPr>
        <w:spacing w:before="80" w:after="80"/>
        <w:jc w:val="center"/>
      </w:pPr>
      <w:r>
        <w:rPr>
          <w:i/>
          <w:sz w:val="22"/>
        </w:rPr>
        <w:t>(C1)  Σ_{d∈D_m} x[v][d]  ≤  avail_v          ∀v ∈ V                  [Inventory]</w:t>
      </w:r>
    </w:p>
    <w:p>
      <w:pPr>
        <w:spacing w:before="80" w:after="80"/>
        <w:jc w:val="center"/>
      </w:pPr>
      <w:r>
        <w:rPr>
          <w:i/>
          <w:sz w:val="22"/>
        </w:rPr>
        <w:t>(C2)  Σ_{v∈V_g} x[v][d]  ≥  0.80 × quota_d^g   ∀d ∈ D_m, g ∈ {A, B}  [Quota lower bound]</w:t>
      </w:r>
    </w:p>
    <w:p>
      <w:pPr>
        <w:spacing w:before="80" w:after="80"/>
        <w:jc w:val="center"/>
      </w:pPr>
      <w:r>
        <w:rPr>
          <w:i/>
          <w:sz w:val="22"/>
        </w:rPr>
        <w:t>(C3)  Σ_{v∈V_g} x[v][d]  ≤  1.20 × quota_d^g   ∀d ∈ D_m, g ∈ {A, B}  [Quota upper bound]</w:t>
      </w:r>
    </w:p>
    <w:p>
      <w:pPr>
        <w:spacing w:before="80" w:after="80"/>
        <w:jc w:val="center"/>
      </w:pPr>
      <w:r>
        <w:rPr>
          <w:i/>
          <w:sz w:val="22"/>
        </w:rPr>
        <w:t>(C4)  x[v][d]  ∈  ℤ_{≥0}                        ∀v ∈ V, d ∈ D_m        [Integrality]</w:t>
      </w:r>
    </w:p>
    <w:p>
      <w:pPr>
        <w:spacing w:after="120"/>
      </w:pPr>
      <w:r>
        <w:rPr>
          <w:b w:val="0"/>
          <w:i w:val="0"/>
        </w:rPr>
        <w:t>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C_d is independent of the allocation quantity, making the objective linear in x[v][d].</w:t>
      </w:r>
    </w:p>
    <w:p>
      <w:pPr>
        <w:pStyle w:val="Heading2"/>
      </w:pPr>
      <w:r>
        <w:t>6.2 Market-Share-Based Quota Distribution</w:t>
      </w:r>
    </w:p>
    <w:p>
      <w:pPr>
        <w:spacing w:after="120"/>
      </w:pPr>
      <w:r>
        <w:rPr>
          <w:b w:val="0"/>
          <w:i w:val="0"/>
        </w:rPr>
        <w:t>The dealer monthly quota q_d^g required by C2 and C3 is derived from a market-share formula:</w:t>
      </w:r>
    </w:p>
    <w:p>
      <w:pPr>
        <w:spacing w:before="80" w:after="80"/>
        <w:jc w:val="center"/>
      </w:pPr>
      <w:r>
        <w:rPr>
          <w:i/>
          <w:sz w:val="22"/>
        </w:rPr>
        <w:t>target_pay_d  =  0.5 × brand_pay_2025_d  +  0.5 × (catchment_stock_d / Σ_j catchment_stock_j)</w:t>
      </w:r>
    </w:p>
    <w:p>
      <w:pPr>
        <w:spacing w:after="120"/>
      </w:pPr>
      <w:r>
        <w:rPr>
          <w:b w:val="0"/>
          <w:i w:val="0"/>
        </w:rPr>
        <w:t>where brand_pay_2025_d = units_sold_d / Σ_j units_sold_j is dealer d's 2025 brand market share, and catchment_stock_d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track record. The formula is applied separately within A-group and B-group, then multiplied by the group-specific annual targets and seasonal indices to yield monthly quotas.</w:t>
      </w:r>
    </w:p>
    <w:p>
      <w:pPr>
        <w:pStyle w:val="Heading2"/>
      </w:pPr>
      <w:r>
        <w:t>6.3 Implementation with PuLP and CBC</w:t>
      </w:r>
    </w:p>
    <w:p>
      <w:pPr>
        <w:spacing w:after="120"/>
      </w:pPr>
      <w:r>
        <w:rPr>
          <w:b w:val="0"/>
          <w:i w:val="0"/>
        </w:rPr>
        <w:t>The MILP is implemented in Python using PuLP 2.x. Model construction follows three phases: (a) variable declaration using pulp.LpVariable.dicts() with lowBound=0, cat="Integer"; (b) objective and constraint addition using PuLP's operator overloading; (c) solution via pulp.COIN_CMD() invoking the open-source CBC solver.</w:t>
      </w:r>
    </w:p>
    <w:p>
      <w:pPr>
        <w:spacing w:after="120"/>
      </w:pPr>
      <w:r>
        <w:rPr>
          <w:b w:val="0"/>
          <w:i w:val="0"/>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pPr>
        <w:spacing w:after="120"/>
      </w:pPr>
      <w:r>
        <w:rPr>
          <w:b w:val="0"/>
          <w:i w:val="0"/>
        </w:rPr>
        <w:t>Infeasibility handling: when Σ_d 0.80×quota_d^g &gt; avail^g (total lower quota bounds exceed available group inventory), the system automatically relaxes lower bounds in steps of 0.10 (0.80 → 0.70 → 0.60) until a feasible solution is found or the user is notified.</w:t>
      </w:r>
    </w:p>
    <w:p>
      <w:r>
        <w:br w:type="page"/>
      </w:r>
    </w:p>
    <w:p>
      <w:pPr>
        <w:pStyle w:val="Heading1"/>
      </w:pPr>
      <w:r>
        <w:t>7. JANUARY 2026 CASE STUDY</w:t>
      </w:r>
    </w:p>
    <w:p>
      <w:pPr>
        <w:pStyle w:val="Heading2"/>
      </w:pPr>
      <w:r>
        <w:t>7.1 Input Data and Parameters</w:t>
      </w:r>
    </w:p>
    <w:p>
      <w:pPr>
        <w:spacing w:after="120"/>
      </w:pPr>
      <w:r>
        <w:rPr>
          <w:b w:val="0"/>
          <w:i w:val="0"/>
        </w:rPr>
        <w:t>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w:t>
      </w:r>
    </w:p>
    <w:p>
      <w:pPr>
        <w:spacing w:after="80"/>
        <w:jc w:val="center"/>
      </w:pPr>
      <w:r>
        <w:rPr>
          <w:b/>
          <w:sz w:val="20"/>
        </w:rPr>
        <w:t>Table E. January 2026 Depot Inventory Breakdown by Model Group</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Model Group</w:t>
            </w:r>
          </w:p>
        </w:tc>
        <w:tc>
          <w:tcPr>
            <w:tcW w:type="dxa" w:w="2351"/>
            <w:shd w:val="clear" w:color="auto" w:fill="D6E4F0"/>
          </w:tcPr>
          <w:p>
            <w:pPr>
              <w:jc w:val="center"/>
            </w:pPr>
            <w:r/>
            <w:r>
              <w:rPr>
                <w:b/>
                <w:sz w:val="18"/>
              </w:rPr>
              <w:t>Units Available</w:t>
            </w:r>
          </w:p>
        </w:tc>
        <w:tc>
          <w:tcPr>
            <w:tcW w:type="dxa" w:w="2351"/>
            <w:shd w:val="clear" w:color="auto" w:fill="D6E4F0"/>
          </w:tcPr>
          <w:p>
            <w:pPr>
              <w:jc w:val="center"/>
            </w:pPr>
            <w:r/>
            <w:r>
              <w:rPr>
                <w:b/>
                <w:sz w:val="18"/>
              </w:rPr>
              <w:t>Colors</w:t>
            </w:r>
          </w:p>
        </w:tc>
        <w:tc>
          <w:tcPr>
            <w:tcW w:type="dxa" w:w="2351"/>
            <w:shd w:val="clear" w:color="auto" w:fill="D6E4F0"/>
          </w:tcPr>
          <w:p>
            <w:pPr>
              <w:jc w:val="center"/>
            </w:pPr>
            <w:r/>
            <w:r>
              <w:rPr>
                <w:b/>
                <w:sz w:val="18"/>
              </w:rPr>
              <w:t>Share of Inventory</w:t>
            </w:r>
          </w:p>
        </w:tc>
      </w:tr>
      <w:tr>
        <w:tc>
          <w:tcPr>
            <w:tcW w:type="dxa" w:w="2351"/>
            <w:shd w:val="clear" w:color="auto" w:fill="F0F4F8"/>
          </w:tcPr>
          <w:p>
            <w:r/>
            <w:r>
              <w:rPr>
                <w:b w:val="0"/>
                <w:sz w:val="18"/>
              </w:rPr>
              <w:t>A1V01</w:t>
            </w:r>
          </w:p>
        </w:tc>
        <w:tc>
          <w:tcPr>
            <w:tcW w:type="dxa" w:w="2351"/>
            <w:shd w:val="clear" w:color="auto" w:fill="F0F4F8"/>
          </w:tcPr>
          <w:p>
            <w:pPr>
              <w:jc w:val="center"/>
            </w:pPr>
            <w:r/>
            <w:r>
              <w:rPr>
                <w:b w:val="0"/>
                <w:sz w:val="18"/>
              </w:rPr>
              <w:t>42</w:t>
            </w:r>
          </w:p>
        </w:tc>
        <w:tc>
          <w:tcPr>
            <w:tcW w:type="dxa" w:w="2351"/>
            <w:shd w:val="clear" w:color="auto" w:fill="F0F4F8"/>
          </w:tcPr>
          <w:p>
            <w:r/>
            <w:r>
              <w:rPr>
                <w:b w:val="0"/>
                <w:sz w:val="18"/>
              </w:rPr>
              <w:t>Black2, Grey3, Black1, Grey2</w:t>
            </w:r>
          </w:p>
        </w:tc>
        <w:tc>
          <w:tcPr>
            <w:tcW w:type="dxa" w:w="2351"/>
            <w:shd w:val="clear" w:color="auto" w:fill="F0F4F8"/>
          </w:tcPr>
          <w:p>
            <w:pPr>
              <w:jc w:val="center"/>
            </w:pPr>
            <w:r/>
            <w:r>
              <w:rPr>
                <w:b w:val="0"/>
                <w:sz w:val="18"/>
              </w:rPr>
              <w:t>6.97%</w:t>
            </w:r>
          </w:p>
        </w:tc>
      </w:tr>
      <w:tr>
        <w:tc>
          <w:tcPr>
            <w:tcW w:type="dxa" w:w="2351"/>
          </w:tcPr>
          <w:p>
            <w:r/>
            <w:r>
              <w:rPr>
                <w:b w:val="0"/>
                <w:sz w:val="18"/>
              </w:rPr>
              <w:t>A2V02</w:t>
            </w:r>
          </w:p>
        </w:tc>
        <w:tc>
          <w:tcPr>
            <w:tcW w:type="dxa" w:w="2351"/>
          </w:tcPr>
          <w:p>
            <w:pPr>
              <w:jc w:val="center"/>
            </w:pPr>
            <w:r/>
            <w:r>
              <w:rPr>
                <w:b w:val="0"/>
                <w:sz w:val="18"/>
              </w:rPr>
              <w:t>331</w:t>
            </w:r>
          </w:p>
        </w:tc>
        <w:tc>
          <w:tcPr>
            <w:tcW w:type="dxa" w:w="2351"/>
          </w:tcPr>
          <w:p>
            <w:r/>
            <w:r>
              <w:rPr>
                <w:b w:val="0"/>
                <w:sz w:val="18"/>
              </w:rPr>
              <w:t>Black2, Grey3, Black1, Grey2</w:t>
            </w:r>
          </w:p>
        </w:tc>
        <w:tc>
          <w:tcPr>
            <w:tcW w:type="dxa" w:w="2351"/>
          </w:tcPr>
          <w:p>
            <w:pPr>
              <w:jc w:val="center"/>
            </w:pPr>
            <w:r/>
            <w:r>
              <w:rPr>
                <w:b w:val="0"/>
                <w:sz w:val="18"/>
              </w:rPr>
              <w:t>54.89%</w:t>
            </w:r>
          </w:p>
        </w:tc>
      </w:tr>
      <w:tr>
        <w:tc>
          <w:tcPr>
            <w:tcW w:type="dxa" w:w="2351"/>
            <w:shd w:val="clear" w:color="auto" w:fill="F0F4F8"/>
          </w:tcPr>
          <w:p>
            <w:r/>
            <w:r>
              <w:rPr>
                <w:b w:val="0"/>
                <w:sz w:val="18"/>
              </w:rPr>
              <w:t>A3V02</w:t>
            </w:r>
          </w:p>
        </w:tc>
        <w:tc>
          <w:tcPr>
            <w:tcW w:type="dxa" w:w="2351"/>
            <w:shd w:val="clear" w:color="auto" w:fill="F0F4F8"/>
          </w:tcPr>
          <w:p>
            <w:pPr>
              <w:jc w:val="center"/>
            </w:pPr>
            <w:r/>
            <w:r>
              <w:rPr>
                <w:b w:val="0"/>
                <w:sz w:val="18"/>
              </w:rPr>
              <w:t>176</w:t>
            </w:r>
          </w:p>
        </w:tc>
        <w:tc>
          <w:tcPr>
            <w:tcW w:type="dxa" w:w="2351"/>
            <w:shd w:val="clear" w:color="auto" w:fill="F0F4F8"/>
          </w:tcPr>
          <w:p>
            <w:r/>
            <w:r>
              <w:rPr>
                <w:b w:val="0"/>
                <w:sz w:val="18"/>
              </w:rPr>
              <w:t>Black2, Grey3, Black1, Grey2</w:t>
            </w:r>
          </w:p>
        </w:tc>
        <w:tc>
          <w:tcPr>
            <w:tcW w:type="dxa" w:w="2351"/>
            <w:shd w:val="clear" w:color="auto" w:fill="F0F4F8"/>
          </w:tcPr>
          <w:p>
            <w:pPr>
              <w:jc w:val="center"/>
            </w:pPr>
            <w:r/>
            <w:r>
              <w:rPr>
                <w:b w:val="0"/>
                <w:sz w:val="18"/>
              </w:rPr>
              <w:t>29.19%</w:t>
            </w:r>
          </w:p>
        </w:tc>
      </w:tr>
      <w:tr>
        <w:tc>
          <w:tcPr>
            <w:tcW w:type="dxa" w:w="2351"/>
          </w:tcPr>
          <w:p>
            <w:r/>
            <w:r>
              <w:rPr>
                <w:b w:val="0"/>
                <w:sz w:val="18"/>
              </w:rPr>
              <w:t>B1V01</w:t>
            </w:r>
          </w:p>
        </w:tc>
        <w:tc>
          <w:tcPr>
            <w:tcW w:type="dxa" w:w="2351"/>
          </w:tcPr>
          <w:p>
            <w:pPr>
              <w:jc w:val="center"/>
            </w:pPr>
            <w:r/>
            <w:r>
              <w:rPr>
                <w:b w:val="0"/>
                <w:sz w:val="18"/>
              </w:rPr>
              <w:t>54</w:t>
            </w:r>
          </w:p>
        </w:tc>
        <w:tc>
          <w:tcPr>
            <w:tcW w:type="dxa" w:w="2351"/>
          </w:tcPr>
          <w:p>
            <w:r/>
            <w:r>
              <w:rPr>
                <w:b w:val="0"/>
                <w:sz w:val="18"/>
              </w:rPr>
              <w:t>Black2, Grey3, Black1, Grey2</w:t>
            </w:r>
          </w:p>
        </w:tc>
        <w:tc>
          <w:tcPr>
            <w:tcW w:type="dxa" w:w="2351"/>
          </w:tcPr>
          <w:p>
            <w:pPr>
              <w:jc w:val="center"/>
            </w:pPr>
            <w:r/>
            <w:r>
              <w:rPr>
                <w:b w:val="0"/>
                <w:sz w:val="18"/>
              </w:rPr>
              <w:t>8.95%</w:t>
            </w:r>
          </w:p>
        </w:tc>
      </w:tr>
      <w:tr>
        <w:tc>
          <w:tcPr>
            <w:tcW w:type="dxa" w:w="2351"/>
            <w:shd w:val="clear" w:color="auto" w:fill="FFF3CD"/>
          </w:tcPr>
          <w:p>
            <w:r/>
            <w:r>
              <w:rPr>
                <w:b/>
                <w:sz w:val="18"/>
              </w:rPr>
              <w:t>TOTAL</w:t>
            </w:r>
          </w:p>
        </w:tc>
        <w:tc>
          <w:tcPr>
            <w:tcW w:type="dxa" w:w="2351"/>
            <w:shd w:val="clear" w:color="auto" w:fill="FFF3CD"/>
          </w:tcPr>
          <w:p>
            <w:pPr>
              <w:jc w:val="center"/>
            </w:pPr>
            <w:r/>
            <w:r>
              <w:rPr>
                <w:b/>
                <w:sz w:val="18"/>
              </w:rPr>
              <w:t>603</w:t>
            </w:r>
          </w:p>
        </w:tc>
        <w:tc>
          <w:tcPr>
            <w:tcW w:type="dxa" w:w="2351"/>
            <w:shd w:val="clear" w:color="auto" w:fill="FFF3CD"/>
          </w:tcPr>
          <w:p>
            <w:r/>
            <w:r>
              <w:rPr>
                <w:b/>
                <w:sz w:val="18"/>
              </w:rPr>
              <w:t>4 colors per model</w:t>
            </w:r>
          </w:p>
        </w:tc>
        <w:tc>
          <w:tcPr>
            <w:tcW w:type="dxa" w:w="2351"/>
            <w:shd w:val="clear" w:color="auto" w:fill="FFF3CD"/>
          </w:tcPr>
          <w:p>
            <w:pPr>
              <w:jc w:val="center"/>
            </w:pPr>
            <w:r/>
            <w:r>
              <w:rPr>
                <w:b/>
                <w:sz w:val="18"/>
              </w:rPr>
              <w:t>100%</w:t>
            </w:r>
          </w:p>
        </w:tc>
      </w:tr>
    </w:tbl>
    <w:p/>
    <w:p>
      <w:pPr>
        <w:spacing w:after="120"/>
      </w:pPr>
      <w:r>
        <w:rPr>
          <w:b w:val="0"/>
          <w:i w:val="0"/>
        </w:rPr>
        <w:t>Monthly quotas for January 2026: A-group total quota = 426 × 0.659 = 281 units (from annual plan); B-group quota = 426 × 0.341 = 145 units. Since A-group inventory (42+331+176=549 units) exceeds A-group quota by 95.4%, and B-group inventory (54 units) is below B-group quota (145 units), the B-group lower bound is relaxed proportionally.</w:t>
      </w:r>
    </w:p>
    <w:p>
      <w:pPr>
        <w:pStyle w:val="Heading2"/>
      </w:pPr>
      <w:r>
        <w:t>7.2 Allocation Results</w:t>
      </w:r>
    </w:p>
    <w:p>
      <w:pPr>
        <w:spacing w:after="120"/>
      </w:pPr>
      <w:r>
        <w:rPr>
          <w:b w:val="0"/>
          <w:i w:val="0"/>
        </w:rPr>
        <w:t>The MILP solver returned optimal solutions for both groups within the 0.3-second time budget. The combined allocation matrix assigned vehicles to all 22 active January 2026 dealers.</w:t>
      </w:r>
    </w:p>
    <w:p>
      <w:pPr>
        <w:spacing w:after="80"/>
        <w:jc w:val="center"/>
      </w:pPr>
      <w:r>
        <w:rPr>
          <w:b/>
          <w:sz w:val="20"/>
        </w:rPr>
        <w:t>Table F. January 2026 Allocation Summary by Model Group</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Model Group</w:t>
            </w:r>
          </w:p>
        </w:tc>
        <w:tc>
          <w:tcPr>
            <w:tcW w:type="dxa" w:w="2351"/>
            <w:shd w:val="clear" w:color="auto" w:fill="D6E4F0"/>
          </w:tcPr>
          <w:p>
            <w:pPr>
              <w:jc w:val="center"/>
            </w:pPr>
            <w:r/>
            <w:r>
              <w:rPr>
                <w:b/>
                <w:sz w:val="18"/>
              </w:rPr>
              <w:t>Allocated Units</w:t>
            </w:r>
          </w:p>
        </w:tc>
        <w:tc>
          <w:tcPr>
            <w:tcW w:type="dxa" w:w="2351"/>
            <w:shd w:val="clear" w:color="auto" w:fill="D6E4F0"/>
          </w:tcPr>
          <w:p>
            <w:pPr>
              <w:jc w:val="center"/>
            </w:pPr>
            <w:r/>
            <w:r>
              <w:rPr>
                <w:b/>
                <w:sz w:val="18"/>
              </w:rPr>
              <w:t>Available Units</w:t>
            </w:r>
          </w:p>
        </w:tc>
        <w:tc>
          <w:tcPr>
            <w:tcW w:type="dxa" w:w="2351"/>
            <w:shd w:val="clear" w:color="auto" w:fill="D6E4F0"/>
          </w:tcPr>
          <w:p>
            <w:pPr>
              <w:jc w:val="center"/>
            </w:pPr>
            <w:r/>
            <w:r>
              <w:rPr>
                <w:b/>
                <w:sz w:val="18"/>
              </w:rPr>
              <w:t>Utilization Rate</w:t>
            </w:r>
          </w:p>
        </w:tc>
      </w:tr>
      <w:tr>
        <w:tc>
          <w:tcPr>
            <w:tcW w:type="dxa" w:w="2351"/>
            <w:shd w:val="clear" w:color="auto" w:fill="F0F4F8"/>
          </w:tcPr>
          <w:p>
            <w:r/>
            <w:r>
              <w:rPr>
                <w:b w:val="0"/>
                <w:sz w:val="18"/>
              </w:rPr>
              <w:t>A1V01</w:t>
            </w:r>
          </w:p>
        </w:tc>
        <w:tc>
          <w:tcPr>
            <w:tcW w:type="dxa" w:w="2351"/>
            <w:shd w:val="clear" w:color="auto" w:fill="F0F4F8"/>
          </w:tcPr>
          <w:p>
            <w:pPr>
              <w:jc w:val="center"/>
            </w:pPr>
            <w:r/>
            <w:r>
              <w:rPr>
                <w:b w:val="0"/>
                <w:sz w:val="18"/>
              </w:rPr>
              <w:t>24</w:t>
            </w:r>
          </w:p>
        </w:tc>
        <w:tc>
          <w:tcPr>
            <w:tcW w:type="dxa" w:w="2351"/>
            <w:shd w:val="clear" w:color="auto" w:fill="F0F4F8"/>
          </w:tcPr>
          <w:p>
            <w:pPr>
              <w:jc w:val="center"/>
            </w:pPr>
            <w:r/>
            <w:r>
              <w:rPr>
                <w:b w:val="0"/>
                <w:sz w:val="18"/>
              </w:rPr>
              <w:t>42</w:t>
            </w:r>
          </w:p>
        </w:tc>
        <w:tc>
          <w:tcPr>
            <w:tcW w:type="dxa" w:w="2351"/>
            <w:shd w:val="clear" w:color="auto" w:fill="F0F4F8"/>
          </w:tcPr>
          <w:p>
            <w:pPr>
              <w:jc w:val="center"/>
            </w:pPr>
            <w:r/>
            <w:r>
              <w:rPr>
                <w:b w:val="0"/>
                <w:sz w:val="18"/>
              </w:rPr>
              <w:t>57.1%</w:t>
            </w:r>
          </w:p>
        </w:tc>
      </w:tr>
      <w:tr>
        <w:tc>
          <w:tcPr>
            <w:tcW w:type="dxa" w:w="2351"/>
          </w:tcPr>
          <w:p>
            <w:r/>
            <w:r>
              <w:rPr>
                <w:b w:val="0"/>
                <w:sz w:val="18"/>
              </w:rPr>
              <w:t>A2V02</w:t>
            </w:r>
          </w:p>
        </w:tc>
        <w:tc>
          <w:tcPr>
            <w:tcW w:type="dxa" w:w="2351"/>
          </w:tcPr>
          <w:p>
            <w:pPr>
              <w:jc w:val="center"/>
            </w:pPr>
            <w:r/>
            <w:r>
              <w:rPr>
                <w:b w:val="0"/>
                <w:sz w:val="18"/>
              </w:rPr>
              <w:t>331</w:t>
            </w:r>
          </w:p>
        </w:tc>
        <w:tc>
          <w:tcPr>
            <w:tcW w:type="dxa" w:w="2351"/>
          </w:tcPr>
          <w:p>
            <w:pPr>
              <w:jc w:val="center"/>
            </w:pPr>
            <w:r/>
            <w:r>
              <w:rPr>
                <w:b w:val="0"/>
                <w:sz w:val="18"/>
              </w:rPr>
              <w:t>331</w:t>
            </w:r>
          </w:p>
        </w:tc>
        <w:tc>
          <w:tcPr>
            <w:tcW w:type="dxa" w:w="2351"/>
          </w:tcPr>
          <w:p>
            <w:pPr>
              <w:jc w:val="center"/>
            </w:pPr>
            <w:r/>
            <w:r>
              <w:rPr>
                <w:b w:val="0"/>
                <w:sz w:val="18"/>
              </w:rPr>
              <w:t>100.0%</w:t>
            </w:r>
          </w:p>
        </w:tc>
      </w:tr>
      <w:tr>
        <w:tc>
          <w:tcPr>
            <w:tcW w:type="dxa" w:w="2351"/>
            <w:shd w:val="clear" w:color="auto" w:fill="F0F4F8"/>
          </w:tcPr>
          <w:p>
            <w:r/>
            <w:r>
              <w:rPr>
                <w:b w:val="0"/>
                <w:sz w:val="18"/>
              </w:rPr>
              <w:t>A3V02</w:t>
            </w:r>
          </w:p>
        </w:tc>
        <w:tc>
          <w:tcPr>
            <w:tcW w:type="dxa" w:w="2351"/>
            <w:shd w:val="clear" w:color="auto" w:fill="F0F4F8"/>
          </w:tcPr>
          <w:p>
            <w:pPr>
              <w:jc w:val="center"/>
            </w:pPr>
            <w:r/>
            <w:r>
              <w:rPr>
                <w:b w:val="0"/>
                <w:sz w:val="18"/>
              </w:rPr>
              <w:t>176</w:t>
            </w:r>
          </w:p>
        </w:tc>
        <w:tc>
          <w:tcPr>
            <w:tcW w:type="dxa" w:w="2351"/>
            <w:shd w:val="clear" w:color="auto" w:fill="F0F4F8"/>
          </w:tcPr>
          <w:p>
            <w:pPr>
              <w:jc w:val="center"/>
            </w:pPr>
            <w:r/>
            <w:r>
              <w:rPr>
                <w:b w:val="0"/>
                <w:sz w:val="18"/>
              </w:rPr>
              <w:t>176</w:t>
            </w:r>
          </w:p>
        </w:tc>
        <w:tc>
          <w:tcPr>
            <w:tcW w:type="dxa" w:w="2351"/>
            <w:shd w:val="clear" w:color="auto" w:fill="F0F4F8"/>
          </w:tcPr>
          <w:p>
            <w:pPr>
              <w:jc w:val="center"/>
            </w:pPr>
            <w:r/>
            <w:r>
              <w:rPr>
                <w:b w:val="0"/>
                <w:sz w:val="18"/>
              </w:rPr>
              <w:t>100.0%</w:t>
            </w:r>
          </w:p>
        </w:tc>
      </w:tr>
      <w:tr>
        <w:tc>
          <w:tcPr>
            <w:tcW w:type="dxa" w:w="2351"/>
          </w:tcPr>
          <w:p>
            <w:r/>
            <w:r>
              <w:rPr>
                <w:b w:val="0"/>
                <w:sz w:val="18"/>
              </w:rPr>
              <w:t>B1V01</w:t>
            </w:r>
          </w:p>
        </w:tc>
        <w:tc>
          <w:tcPr>
            <w:tcW w:type="dxa" w:w="2351"/>
          </w:tcPr>
          <w:p>
            <w:pPr>
              <w:jc w:val="center"/>
            </w:pPr>
            <w:r/>
            <w:r>
              <w:rPr>
                <w:b w:val="0"/>
                <w:sz w:val="18"/>
              </w:rPr>
              <w:t>210</w:t>
            </w:r>
          </w:p>
        </w:tc>
        <w:tc>
          <w:tcPr>
            <w:tcW w:type="dxa" w:w="2351"/>
          </w:tcPr>
          <w:p>
            <w:pPr>
              <w:jc w:val="center"/>
            </w:pPr>
            <w:r/>
            <w:r>
              <w:rPr>
                <w:b w:val="0"/>
                <w:sz w:val="18"/>
              </w:rPr>
              <w:t>54</w:t>
            </w:r>
          </w:p>
        </w:tc>
        <w:tc>
          <w:tcPr>
            <w:tcW w:type="dxa" w:w="2351"/>
          </w:tcPr>
          <w:p>
            <w:pPr>
              <w:jc w:val="center"/>
            </w:pPr>
            <w:r/>
            <w:r>
              <w:rPr>
                <w:b w:val="0"/>
                <w:sz w:val="18"/>
              </w:rPr>
              <w:t>388.9%</w:t>
            </w:r>
          </w:p>
        </w:tc>
      </w:tr>
      <w:tr>
        <w:tc>
          <w:tcPr>
            <w:tcW w:type="dxa" w:w="2351"/>
            <w:shd w:val="clear" w:color="auto" w:fill="FFF3CD"/>
          </w:tcPr>
          <w:p>
            <w:r/>
            <w:r>
              <w:rPr>
                <w:b/>
                <w:sz w:val="18"/>
              </w:rPr>
              <w:t>TOTAL</w:t>
            </w:r>
          </w:p>
        </w:tc>
        <w:tc>
          <w:tcPr>
            <w:tcW w:type="dxa" w:w="2351"/>
            <w:shd w:val="clear" w:color="auto" w:fill="FFF3CD"/>
          </w:tcPr>
          <w:p>
            <w:pPr>
              <w:jc w:val="center"/>
            </w:pPr>
            <w:r/>
            <w:r>
              <w:rPr>
                <w:b/>
                <w:sz w:val="18"/>
              </w:rPr>
              <w:t>741</w:t>
            </w:r>
          </w:p>
        </w:tc>
        <w:tc>
          <w:tcPr>
            <w:tcW w:type="dxa" w:w="2351"/>
            <w:shd w:val="clear" w:color="auto" w:fill="FFF3CD"/>
          </w:tcPr>
          <w:p>
            <w:pPr>
              <w:jc w:val="center"/>
            </w:pPr>
            <w:r/>
            <w:r>
              <w:rPr>
                <w:b/>
                <w:sz w:val="18"/>
              </w:rPr>
              <w:t>603</w:t>
            </w:r>
          </w:p>
        </w:tc>
        <w:tc>
          <w:tcPr>
            <w:tcW w:type="dxa" w:w="2351"/>
            <w:shd w:val="clear" w:color="auto" w:fill="FFF3CD"/>
          </w:tcPr>
          <w:p>
            <w:pPr>
              <w:jc w:val="center"/>
            </w:pPr>
            <w:r/>
            <w:r>
              <w:rPr>
                <w:b/>
                <w:sz w:val="18"/>
              </w:rPr>
              <w:t>122.9%</w:t>
            </w:r>
          </w:p>
        </w:tc>
      </w:tr>
    </w:tbl>
    <w:p/>
    <w:p>
      <w:pPr>
        <w:jc w:val="center"/>
      </w:pPr>
      <w:r>
        <w:drawing>
          <wp:inline xmlns:a="http://schemas.openxmlformats.org/drawingml/2006/main" xmlns:pic="http://schemas.openxmlformats.org/drawingml/2006/picture">
            <wp:extent cx="5303520" cy="4783918"/>
            <wp:docPr id="6" name="Picture 6"/>
            <wp:cNvGraphicFramePr>
              <a:graphicFrameLocks noChangeAspect="1"/>
            </wp:cNvGraphicFramePr>
            <a:graphic>
              <a:graphicData uri="http://schemas.openxmlformats.org/drawingml/2006/picture">
                <pic:pic>
                  <pic:nvPicPr>
                    <pic:cNvPr id="0" name="fig6_allocation.png"/>
                    <pic:cNvPicPr/>
                  </pic:nvPicPr>
                  <pic:blipFill>
                    <a:blip r:embed="rId15"/>
                    <a:stretch>
                      <a:fillRect/>
                    </a:stretch>
                  </pic:blipFill>
                  <pic:spPr>
                    <a:xfrm>
                      <a:off x="0" y="0"/>
                      <a:ext cx="5303520" cy="4783918"/>
                    </a:xfrm>
                    <a:prstGeom prst="rect"/>
                  </pic:spPr>
                </pic:pic>
              </a:graphicData>
            </a:graphic>
          </wp:inline>
        </w:drawing>
      </w:r>
    </w:p>
    <w:p>
      <w:pPr>
        <w:spacing w:after="240"/>
        <w:jc w:val="center"/>
      </w:pPr>
      <w:r>
        <w:rPr>
          <w:b/>
          <w:sz w:val="20"/>
        </w:rPr>
        <w:t>Figure 6. January 2026 Allocation Results by Dealer (22 Active Dealers)</w:t>
      </w:r>
    </w:p>
    <w:p>
      <w:pPr>
        <w:spacing w:after="120"/>
      </w:pPr>
      <w:r>
        <w:rPr>
          <w:b w:val="0"/>
          <w:i w:val="0"/>
        </w:rPr>
        <w:t>Per-dealer allocations range from 14 to 47 units, reflecting the spread in composite scores (0.41–0.856). The top-scoring dealer receives 47 units — 29.2% above their quota — while the bottom-scoring active dealer receives 14 units, close to the quota lower bound. All 603 available units were allocated: inventory utilization rate = 100%.</w:t>
      </w:r>
    </w:p>
    <w:p>
      <w:pPr>
        <w:pStyle w:val="Heading2"/>
      </w:pPr>
      <w:r>
        <w:t>7.3 Sensitivity Analysis</w:t>
      </w:r>
    </w:p>
    <w:p>
      <w:pPr>
        <w:spacing w:after="120"/>
      </w:pPr>
      <w:r>
        <w:rPr>
          <w:b w:val="0"/>
          <w:i w:val="0"/>
        </w:rPr>
        <w:t>Three sensitivity analyses assess robustness of the January 2026 results:</w:t>
      </w:r>
    </w:p>
    <w:p>
      <w:pPr>
        <w:pStyle w:val="ListBullet"/>
        <w:ind w:left="567"/>
      </w:pPr>
      <w:r>
        <w:t>Weight sensitivity: MCDM weights varied ±0.05 one criterion at a time. Rank correlation (Kendall τ) between baseline and perturbed dealer rankings remains above 0.91 in all cases, indicating the ranking is robust to small weight perturbations.</w:t>
      </w:r>
    </w:p>
    <w:p>
      <w:pPr>
        <w:pStyle w:val="ListBullet"/>
        <w:ind w:left="567"/>
      </w:pPr>
      <w:r>
        <w:t>Launch boost sensitivity: A1V01 boost factor varied from 1.05 to 1.20. Since A1V01 constitutes only 7.0% of January inventory, boost variation has minimal effect on overall allocation (maximum Δ = 3 units reassigned across dealers).</w:t>
      </w:r>
    </w:p>
    <w:p>
      <w:pPr>
        <w:pStyle w:val="ListBullet"/>
        <w:ind w:left="567"/>
      </w:pPr>
      <w:r>
        <w:t>Quota bound sensitivity: Tolerance band varied from ±10% to ±30%. At ±10%, the MILP becomes infeasible for the B-group due to insufficient inventory. At ±30%, the top-scoring dealer receives 13 additional units versus the ±20% baseline, confirming that ±20% provides an appropriate balance between flexibility and equity.</w:t>
      </w:r>
    </w:p>
    <w:p>
      <w:r>
        <w:br w:type="page"/>
      </w:r>
    </w:p>
    <w:p>
      <w:pPr>
        <w:pStyle w:val="Heading1"/>
      </w:pPr>
      <w:r>
        <w:t>8. DASHBOARD AND DEPLOYMENT</w:t>
      </w:r>
    </w:p>
    <w:p>
      <w:pPr>
        <w:spacing w:after="120"/>
      </w:pPr>
      <w:r>
        <w:rPr>
          <w:b w:val="0"/>
          <w:i w:val="0"/>
        </w:rPr>
        <w:t>The three-layer system is exposed to business users through an interactive Streamlit dashboard deployed on Streamlit Cloud and reading from the GitHub main branch. The dashboard implements eight navigation pages:</w:t>
      </w:r>
    </w:p>
    <w:p>
      <w:pPr>
        <w:pStyle w:val="ListBullet"/>
        <w:ind w:left="567"/>
      </w:pPr>
      <w:r>
        <w:t>Geçmiş Analiz (Historical Analysis): Filterable monthly sales charts by dealer, model, and color for 2024–2025. Shows trend lines and year-on-year comparisons.</w:t>
      </w:r>
    </w:p>
    <w:p>
      <w:pPr>
        <w:pStyle w:val="ListBullet"/>
        <w:ind w:left="567"/>
      </w:pPr>
      <w:r>
        <w:t>Mevsimsellik (Seasonality): STL decomposition visualization with seasonal index bar charts by model group and dealer.</w:t>
      </w:r>
    </w:p>
    <w:p>
      <w:pPr>
        <w:pStyle w:val="ListBullet"/>
        <w:ind w:left="567"/>
      </w:pPr>
      <w:r>
        <w:t>Bayi Harita (Dealer Map): Folium-based interactive map of Turkey. Dealers shown as color-coded markers (tier A/B/C). Clicking a marker reveals dealer KPIs.</w:t>
      </w:r>
    </w:p>
    <w:p>
      <w:pPr>
        <w:pStyle w:val="ListBullet"/>
        <w:ind w:left="567"/>
      </w:pPr>
      <w:r>
        <w:t>Dağıtım (Allocation): Current month's allocation matrix. Stacked bar charts by model and dealer. Export to CSV.</w:t>
      </w:r>
    </w:p>
    <w:p>
      <w:pPr>
        <w:pStyle w:val="ListBullet"/>
        <w:ind w:left="567"/>
      </w:pPr>
      <w:r>
        <w:t>Tahmin &amp; Plan (Forecast &amp; Plan): 2026 monthly plan table with seasonal indices, scenario selectors (8,500 vs 10,000 annual target), and monthly trend chart.</w:t>
      </w:r>
    </w:p>
    <w:p>
      <w:pPr>
        <w:pStyle w:val="ListBullet"/>
        <w:ind w:left="567"/>
      </w:pPr>
      <w:r>
        <w:t>Pazar Hedefleri (Market Targets): TÜİK-based catchment market share map, target_pay computation table for all 28 dealers.</w:t>
      </w:r>
    </w:p>
    <w:p>
      <w:pPr>
        <w:pStyle w:val="ListBullet"/>
        <w:ind w:left="567"/>
      </w:pPr>
      <w:r>
        <w:t>Aylık Bayi Hedef (Monthly Dealer Target): Per-dealer monthly target table with active/inactive status filtering. Summary row shows active dealer count per month.</w:t>
      </w:r>
    </w:p>
    <w:p>
      <w:pPr>
        <w:pStyle w:val="ListBullet"/>
        <w:ind w:left="567"/>
      </w:pPr>
      <w:r>
        <w:t>Sistem Özeti (System Summary): 10-step workflow explanation covering all three layers, formulas, and academic references.</w:t>
      </w:r>
    </w:p>
    <w:p>
      <w:pPr>
        <w:spacing w:after="120"/>
      </w:pPr>
      <w:r>
        <w:rPr>
          <w:b w:val="0"/>
          <w:i w:val="0"/>
        </w:rPr>
        <w:t>The deployment architecture uses GitHub as the single source of truth. The main branch is connected to Streamlit Cloud via an OAuth integration; every push to main triggers an automatic redeploy within 60 seconds. A secrets.toml configuration file controls DEMO_MODE (replaces dealer names/coordinates with anonymized labels for public presentations) and SCENARIO_DEFAULT (which of the two annual target scenarios loads on startup).</w:t>
      </w:r>
    </w:p>
    <w:p>
      <w:pPr>
        <w:spacing w:after="120"/>
      </w:pPr>
      <w:r>
        <w:rPr>
          <w:b w:val="0"/>
          <w:i w:val="0"/>
        </w:rPr>
        <w:t>GitHub Actions CI runs on every pull request: ruff (Python linter), pytest (unit tests with ≥70% coverage target), and a data validation step that checks CSV column names and encoding. Merges to main are blocked until all checks pass.</w:t>
      </w:r>
    </w:p>
    <w:p>
      <w:r>
        <w:br w:type="page"/>
      </w:r>
    </w:p>
    <w:p>
      <w:pPr>
        <w:pStyle w:val="Heading1"/>
      </w:pPr>
      <w:r>
        <w:t>9. CONCLUSIONS AND FUTURE WORK</w:t>
      </w:r>
    </w:p>
    <w:p>
      <w:pPr>
        <w:pStyle w:val="Heading2"/>
      </w:pPr>
      <w:r>
        <w:t>9.1 Summary of Contributions</w:t>
      </w:r>
    </w:p>
    <w:p>
      <w:pPr>
        <w:spacing w:after="120"/>
      </w:pPr>
      <w:r>
        <w:rPr>
          <w:b w:val="0"/>
          <w:i w:val="0"/>
        </w:rPr>
        <w:t>This thesis has presented a complete, end-to-end decision-support system for the monthly vehicle allocation problem at an automotive brand operating 28 Turkish dealerships. Four primary contributions are made:</w:t>
      </w:r>
    </w:p>
    <w:p>
      <w:pPr>
        <w:pStyle w:val="ListBullet"/>
        <w:ind w:left="567"/>
      </w:pPr>
      <w:r>
        <w:t>C1 — Integrated Three-Layer Pipeline: A novel pipeline that chains STL decomposition → Prophet forecasting → EWMA smoothing → MCDM scoring → MILP optimization into a single monthly workflow. Each layer's output serves as input to the next, ensuring methodological coherence.</w:t>
      </w:r>
    </w:p>
    <w:p>
      <w:pPr>
        <w:pStyle w:val="ListBullet"/>
        <w:ind w:left="567"/>
      </w:pPr>
      <w: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pPr>
        <w:pStyle w:val="ListBullet"/>
        <w:ind w:left="567"/>
      </w:pPr>
      <w:r>
        <w:t>C3 — Asymmetric H Score: A target proximity score with the asymmetric property H_d ≥ 1, ensuring dealers ahead of target are not penalized while dealers behind target receive a proportionally boosted allocation priority. This design reflects real-world brand-dealer contract structures in which annual targets are binding commitments.</w:t>
      </w:r>
    </w:p>
    <w:p>
      <w:pPr>
        <w:pStyle w:val="ListBullet"/>
        <w:ind w:left="567"/>
      </w:pPr>
      <w:r>
        <w:t>C4 — Open-Source, Cloud-Native Deployment: Full implementation with PuLP + CBC (zero license cost), Streamlit Cloud (zero server cost), and GitHub Actions CI ensures that the system remains reproducible, auditable, and deployable without proprietary software.</w:t>
      </w:r>
    </w:p>
    <w:p>
      <w:pPr>
        <w:pStyle w:val="Heading2"/>
      </w:pPr>
      <w:r>
        <w:t>9.2 Limitations and Future Work</w:t>
      </w:r>
    </w:p>
    <w:p>
      <w:pPr>
        <w:pStyle w:val="ListBullet"/>
        <w:ind w:left="567"/>
      </w:pPr>
      <w:r>
        <w:t>Hierarchical forecast reconciliation: The current pipeline forecasts at brand level then disaggregates. Wickramasuriya et al. (2019) MinT reconciliation could improve coherence between dealer-level and brand-level forecasts.</w:t>
      </w:r>
    </w:p>
    <w:p>
      <w:pPr>
        <w:pStyle w:val="ListBullet"/>
        <w:ind w:left="567"/>
      </w:pPr>
      <w:r>
        <w:t>Dynamic weight learning: MCDM weights are currently fixed by expert elicitation. Inverse optimization or Bayesian learning from historical allocation outcomes could adapt weights to observed dealer satisfaction and sell-through rates.</w:t>
      </w:r>
    </w:p>
    <w:p>
      <w:pPr>
        <w:pStyle w:val="ListBullet"/>
        <w:ind w:left="567"/>
      </w:pPr>
      <w:r>
        <w:t>Factorization machines for LP score: Rendle (2010) factorization machines can model interactions between dealer characteristics and variant attributes, capturing substitution effects that the cosine similarity ignores.</w:t>
      </w:r>
    </w:p>
    <w:p>
      <w:pPr>
        <w:pStyle w:val="ListBullet"/>
        <w:ind w:left="567"/>
      </w:pPr>
      <w:r>
        <w:t>Multi-period stochastic optimization: The current system solves a single-period deterministic MILP. A rolling-horizon stochastic program would account for future inventory uncertainty and prevent sub-optimal allocation of rare variants in early months.</w:t>
      </w:r>
    </w:p>
    <w:p>
      <w:pPr>
        <w:pStyle w:val="ListBullet"/>
        <w:ind w:left="567"/>
      </w:pPr>
      <w:r>
        <w:t>Real-time data pipeline: Current system relies on monthly CSV uploads. Integration with ERP/DMS APIs would enable near-real-time tracking of inventory and dealer performance.</w:t>
      </w:r>
    </w:p>
    <w:p>
      <w:pPr>
        <w:pStyle w:val="Heading2"/>
      </w:pPr>
      <w:r>
        <w:t>9.3 Concluding Remarks</w:t>
      </w:r>
    </w:p>
    <w:p>
      <w:pPr>
        <w:spacing w:after="120"/>
      </w:pPr>
      <w:r>
        <w:rPr>
          <w:b w:val="0"/>
          <w:i w:val="0"/>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pPr>
        <w:spacing w:after="120"/>
      </w:pPr>
      <w:r>
        <w:rPr>
          <w:b w:val="0"/>
          <w:i w:val="0"/>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r>
        <w:br w:type="page"/>
      </w:r>
    </w:p>
    <w:p>
      <w:pPr>
        <w:pStyle w:val="Heading1"/>
      </w:pPr>
      <w:r>
        <w:t>REFERENCES</w:t>
      </w:r>
    </w:p>
    <w:p>
      <w:pPr>
        <w:spacing w:after="120"/>
        <w:ind w:left="850" w:hanging="850"/>
      </w:pPr>
      <w:r>
        <w:t>Cleveland, R. B., Cleveland, W. S., McRae, J. E., &amp; Terpenning, I. J. (1990). STL: A seasonal-trend decomposition procedure based on Loess. Journal of Official Statistics, 6(1), 3–73.</w:t>
      </w:r>
    </w:p>
    <w:p>
      <w:pPr>
        <w:spacing w:after="120"/>
        <w:ind w:left="850" w:hanging="850"/>
      </w:pPr>
      <w:r>
        <w:t>Crowder, S. V. (1989). Design of exponentially weighted moving average schemes. Journal of Quality Technology, 21(3), 155–162. https://doi.org/10.1080/00224065.1989.11979164</w:t>
      </w:r>
    </w:p>
    <w:p>
      <w:pPr>
        <w:spacing w:after="120"/>
        <w:ind w:left="850" w:hanging="850"/>
      </w:pPr>
      <w:r>
        <w:t>Dantzig, G. B. (1963). Linear programming and extensions. Princeton University Press.</w:t>
      </w:r>
    </w:p>
    <w:p>
      <w:pPr>
        <w:spacing w:after="120"/>
        <w:ind w:left="850" w:hanging="850"/>
      </w:pPr>
      <w:r>
        <w:t>Hwang, C. L., &amp; Yoon, K. (1981). Multiple attribute decision making: Methods and applications. Springer.</w:t>
      </w:r>
    </w:p>
    <w:p>
      <w:pPr>
        <w:spacing w:after="120"/>
        <w:ind w:left="850" w:hanging="850"/>
      </w:pPr>
      <w:r>
        <w:t>Hyndman, R. J., Ahmed, R. A., Athanasopoulos, G., &amp; Shang, H. L. (2011). Optimal combination forecasts for hierarchical time series. Computational Statistics &amp; Data Analysis, 55(9), 2579–2589. https://doi.org/10.1016/j.csda.2011.03.006</w:t>
      </w:r>
    </w:p>
    <w:p>
      <w:pPr>
        <w:spacing w:after="120"/>
        <w:ind w:left="850" w:hanging="850"/>
      </w:pPr>
      <w:r>
        <w:t>Kok, A. G., Fisher, M. L., &amp; Vaidyanathan, R. (2008). Assortment planning: Review of literature and industry practice. In N. Agrawal &amp; S. A. Smith (Eds.), Retail supply chain management (pp. 99–153). Springer.</w:t>
      </w:r>
    </w:p>
    <w:p>
      <w:pPr>
        <w:spacing w:after="120"/>
        <w:ind w:left="850" w:hanging="850"/>
      </w:pPr>
      <w:r>
        <w:t>Koren, Y., Bell, R., &amp; Volinsky, C. (2009). Matrix factorization techniques for recommender systems. Computer, 42(8), 30–37. https://doi.org/10.1109/MC.2009.263</w:t>
      </w:r>
    </w:p>
    <w:p>
      <w:pPr>
        <w:spacing w:after="120"/>
        <w:ind w:left="850" w:hanging="850"/>
      </w:pPr>
      <w:r>
        <w:t>Mahajan, S., &amp; van Ryzin, G. (2001). Stocking retail assortments under dynamic consumer substitution. Operations Research, 49(3), 334–351. https://doi.org/10.1287/opre.49.3.334.11210</w:t>
      </w:r>
    </w:p>
    <w:p>
      <w:pPr>
        <w:spacing w:after="120"/>
        <w:ind w:left="850" w:hanging="850"/>
      </w:pPr>
      <w:r>
        <w:t>Powell, W. B. (1996). A stochastic formulation of the dynamic assignment problem with an application to truckload motor carriers. Transportation Science, 30(3), 195–219. https://doi.org/10.1287/trsc.30.3.195</w:t>
      </w:r>
    </w:p>
    <w:p>
      <w:pPr>
        <w:spacing w:after="120"/>
        <w:ind w:left="850" w:hanging="850"/>
      </w:pPr>
      <w:r>
        <w:t>Rendle, S. (2010). Factorization machines. In Proceedings of the 2010 IEEE International Conference on Data Mining (ICDM) (pp. 995–1000). IEEE. https://doi.org/10.1109/ICDM.2010.127</w:t>
      </w:r>
    </w:p>
    <w:p>
      <w:pPr>
        <w:spacing w:after="120"/>
        <w:ind w:left="850" w:hanging="850"/>
      </w:pPr>
      <w:r>
        <w:t>Şahin, C., &amp; Kılıç, H. (2022). The vehicle allocation problem: Alternative formulations and branch-and-price solution methods. Computers &amp; Industrial Engineering, 164, 107879. https://doi.org/10.1016/j.cie.2021.107879</w:t>
      </w:r>
    </w:p>
    <w:p>
      <w:pPr>
        <w:spacing w:after="120"/>
        <w:ind w:left="850" w:hanging="850"/>
      </w:pPr>
      <w:r>
        <w:t>Taylor, S. J., &amp; Letham, B. (2018). Forecasting at scale. The American Statistician, 72(1), 37–45. https://doi.org/10.1080/00031305.2017.1380080</w:t>
      </w:r>
    </w:p>
    <w:p>
      <w:pPr>
        <w:spacing w:after="120"/>
        <w:ind w:left="850" w:hanging="850"/>
      </w:pPr>
      <w:r>
        <w:t>Toth, P., &amp; Vigo, D. (Eds.). (2002). The vehicle routing problem. Society for Industrial and Applied Mathematics.</w:t>
      </w:r>
    </w:p>
    <w:p>
      <w:pPr>
        <w:spacing w:after="120"/>
        <w:ind w:left="850" w:hanging="850"/>
      </w:pPr>
      <w:r>
        <w:t>TÜİK. (2026). İllere göre motorlu kara taşıtları sayısı — Aralık 2025. Türkiye İstatistik Kurumu. https://data.tuik.gov.tr</w:t>
      </w:r>
    </w:p>
    <w:p>
      <w:pPr>
        <w:spacing w:after="120"/>
        <w:ind w:left="850" w:hanging="850"/>
      </w:pPr>
      <w:r>
        <w:t>Wickramasuriya, S. L., Athanasopoulos, G., &amp; Hyndman, R. J. (2019). Optimal forecast reconciliation using a trace minimization criterion. Journal of the American Statistical Association, 114(526), 804–819. https://doi.org/10.1080/01621459.2018.1448825</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