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80"/>
        <w:jc w:val="center"/>
      </w:pPr>
      <w:r>
        <w:rPr>
          <w:rFonts w:ascii="Times New Roman" w:hAnsi="Times New Roman"/>
          <w:b/>
          <w:i w:val="0"/>
          <w:sz w:val="28"/>
        </w:rPr>
        <w:t>YILDIZ TECHNICAL UNIVERSITY</w:t>
      </w:r>
    </w:p>
    <w:p>
      <w:pPr>
        <w:spacing w:before="0" w:after="80"/>
        <w:jc w:val="center"/>
      </w:pPr>
      <w:r>
        <w:rPr>
          <w:rFonts w:ascii="Times New Roman" w:hAnsi="Times New Roman"/>
          <w:b/>
          <w:i w:val="0"/>
          <w:sz w:val="26"/>
        </w:rPr>
        <w:t>Faculty of Mechanical Engineering</w:t>
      </w:r>
    </w:p>
    <w:p>
      <w:pPr>
        <w:spacing w:before="0" w:after="800"/>
        <w:jc w:val="center"/>
      </w:pPr>
      <w:r>
        <w:rPr>
          <w:rFonts w:ascii="Times New Roman" w:hAnsi="Times New Roman"/>
          <w:b/>
          <w:i w:val="0"/>
          <w:sz w:val="26"/>
        </w:rPr>
        <w:t>Department of Industrial Engineering</w:t>
      </w:r>
    </w:p>
    <w:p>
      <w:pPr>
        <w:spacing w:before="0" w:after="0"/>
      </w:pPr>
    </w:p>
    <w:p>
      <w:pPr>
        <w:spacing w:before="0" w:after="0"/>
      </w:pPr>
    </w:p>
    <w:p>
      <w:pPr>
        <w:spacing w:before="0" w:after="0"/>
      </w:pPr>
    </w:p>
    <w:p>
      <w:pPr>
        <w:spacing w:before="0" w:after="400"/>
        <w:jc w:val="center"/>
      </w:pPr>
      <w:r>
        <w:rPr>
          <w:rFonts w:ascii="Times New Roman" w:hAnsi="Times New Roman"/>
          <w:b/>
          <w:i w:val="0"/>
          <w:sz w:val="26"/>
        </w:rPr>
        <w:t>GRADUATION THESIS</w:t>
      </w:r>
    </w:p>
    <w:p>
      <w:pPr>
        <w:spacing w:before="0" w:after="800"/>
        <w:jc w:val="center"/>
      </w:pPr>
      <w:r>
        <w:rPr>
          <w:rFonts w:ascii="Times New Roman" w:hAnsi="Times New Roman"/>
          <w:b/>
          <w:i w:val="0"/>
          <w:sz w:val="32"/>
        </w:rPr>
        <w:t>Monthly Vehicle Allocation Optimization for Automotive Dealerships</w:t>
        <w:br/>
        <w:t>via Multi-Criteria Scoring and Mixed-Integer Linear Programming</w:t>
      </w:r>
    </w:p>
    <w:p>
      <w:pPr>
        <w:spacing w:before="0" w:after="0"/>
      </w:pPr>
    </w:p>
    <w:p>
      <w:pPr>
        <w:spacing w:before="0" w:after="0"/>
      </w:pPr>
    </w:p>
    <w:p>
      <w:pPr>
        <w:spacing w:before="0" w:after="0"/>
      </w:pPr>
    </w:p>
    <w:p>
      <w:pPr>
        <w:spacing w:before="0" w:after="80"/>
        <w:jc w:val="center"/>
      </w:pPr>
      <w:r>
        <w:rPr>
          <w:rFonts w:ascii="Times New Roman" w:hAnsi="Times New Roman"/>
          <w:b w:val="0"/>
          <w:i w:val="0"/>
          <w:sz w:val="24"/>
        </w:rPr>
        <w:t>Submitted by:</w:t>
      </w:r>
    </w:p>
    <w:p>
      <w:pPr>
        <w:spacing w:before="0" w:after="80"/>
        <w:jc w:val="center"/>
      </w:pPr>
      <w:r>
        <w:rPr>
          <w:rFonts w:ascii="Times New Roman" w:hAnsi="Times New Roman"/>
          <w:b/>
          <w:i w:val="0"/>
          <w:sz w:val="26"/>
        </w:rPr>
        <w:t>Adem Ağar</w:t>
      </w:r>
    </w:p>
    <w:p>
      <w:pPr>
        <w:spacing w:before="0" w:after="800"/>
        <w:jc w:val="center"/>
      </w:pPr>
      <w:r>
        <w:rPr>
          <w:rFonts w:ascii="Times New Roman" w:hAnsi="Times New Roman"/>
          <w:b w:val="0"/>
          <w:i w:val="0"/>
          <w:sz w:val="24"/>
        </w:rPr>
        <w:t>Student ID: 21069019</w:t>
      </w:r>
    </w:p>
    <w:p>
      <w:pPr>
        <w:spacing w:before="0" w:after="0"/>
      </w:pPr>
    </w:p>
    <w:p>
      <w:pPr>
        <w:spacing w:before="0" w:after="0"/>
      </w:pPr>
    </w:p>
    <w:p>
      <w:pPr>
        <w:spacing w:before="0" w:after="0"/>
        <w:jc w:val="center"/>
      </w:pPr>
      <w:r>
        <w:rPr>
          <w:rFonts w:ascii="Times New Roman" w:hAnsi="Times New Roman"/>
          <w:b w:val="0"/>
          <w:i w:val="0"/>
          <w:sz w:val="24"/>
        </w:rPr>
        <w:t>Istanbul, 2026</w:t>
      </w:r>
    </w:p>
    <w:p>
      <w:r>
        <w:br w:type="page"/>
      </w:r>
    </w:p>
    <w:p>
      <w:r>
        <w:br w:type="page"/>
      </w:r>
    </w:p>
    <w:p>
      <w:pPr>
        <w:spacing w:after="120"/>
      </w:pPr>
      <w:r>
        <w:rPr>
          <w:b w:val="0"/>
          <w:sz w:val="20"/>
        </w:rPr>
        <w:t>Anahtar Kelimeler: Araç Dağıtım Problemi, Çok Kriterli Karar Verme, Karma Tam Sayılı Doğrusal Programlama, STL Ayrıştırması, Üstel Ağırlıklı Hareketli Ortalama, Kosinüs Benzerliği, Ürün Çeşitliliği Optimizasyonu, Otomotiv Tedarik Zinciri.</w:t>
      </w:r>
    </w:p>
    <w:p>
      <w:pPr>
        <w:spacing w:after="120"/>
        <w:ind w:firstLine="567"/>
      </w:pPr>
      <w:r>
        <w:rPr>
          <w:sz w:val="22"/>
        </w:rPr>
        <w:t>Sistem; gerçek zamanlı senaryo analizi özellikli interaktif bir Streamlit panosu olarak Streamlit Cloud üzerinde yayına alınmıştır. Ocak 2026 vaka çalışması sonuçları, sistemin kıt envanteri yüksek potansiyelli bayilere yönlendirirken operasyonel kısıtlara uyum sağladığını ve manuel sezgisel yaklaşımlarla kıyaslanamaz hız ile tutarlılıkta dağıtım ürettiğini ortaya koymaktadır.</w:t>
      </w:r>
    </w:p>
    <w:p>
      <w:pPr>
        <w:spacing w:after="120"/>
        <w:ind w:firstLine="567"/>
      </w:pPr>
      <w:r>
        <w:rPr>
          <w:sz w:val="22"/>
        </w:rPr>
        <w:t>Üçüncü katman, araç dağıtımını Karma Tam Sayılı Doğrusal Programlama (KTDP) problemi olarak formüle etmektedir. Amaç fonksiyonu; envanter kısıtları ve pazar payı tabanlı hedef dağılımından türetilen bayi kota sınırları (±%20) altında bileşik skor ağırlıklı dağıtım toplamını maksimize etmektir. Model, Python'da PuLP kütüphanesi ile açık kaynak CBC çözücü kullanılarak gerçekleştirilmiş; Ocak 2026'ya ait 603 araç ve 22 aktif bayi içeren örnek 0,3 saniyenin altında çözülmüştür.</w:t>
      </w:r>
    </w:p>
    <w:p>
      <w:pPr>
        <w:spacing w:after="120"/>
        <w:ind w:firstLine="567"/>
      </w:pPr>
      <w:r>
        <w:rPr>
          <w:sz w:val="22"/>
        </w:rPr>
        <w:t>İkinci katman, her bayiyi dört boyutta puanlamak için Çok Kriterli Karar Verme (ÇKKV) yöntemini uygulamaktadır: Son 12 ay hedef gerçekleştirme performansı (P, ağırlık 0,25), bayi geçmiş satış vektörü ile güncel envanter vektörü arasındaki kosinüs benzerliğine dayalı konum-ürün uyum skoru (LP, ağırlık 0,35), mevsimsel uyum skoru (S, ağırlık 0,20) ve yıllık hedefe yakınlık skoru (H, ağırlık 0,20). Her bayi için C_d ∈ [0,1] aralığında bileşik skor hesaplanmaktadır.</w:t>
      </w:r>
    </w:p>
    <w:p>
      <w:pPr>
        <w:spacing w:after="120"/>
        <w:ind w:firstLine="567"/>
      </w:pPr>
      <w:r>
        <w:rPr>
          <w:sz w:val="22"/>
        </w:rPr>
        <w:t>Birinci katman, 24 aylık geçmiş satış verisi (Ocak 2024–Aralık 2025) üzerine Loess tabanlı Mevsimsel-Trend Ayrıştırması (STL) uygulayarak aylık mevsimsellik indekslerini türetmektedir. Bu indeksler, Prophet modeliyle elde edilen yıllık pazar tahmini ve W=5 penceresiyle (α=0,333) sistematik çapraz doğrulama sonucunda seçilen Üstel Ağırlıklı Hareketli Ortalama (EWMA) ile birleştirilerek bayi düzeyinde 2026 aylık talep tahminleri üretilmektedir.</w:t>
      </w:r>
    </w:p>
    <w:p>
      <w:pPr>
        <w:spacing w:after="120"/>
        <w:ind w:firstLine="567"/>
      </w:pPr>
      <w:r>
        <w:rPr>
          <w:sz w:val="22"/>
        </w:rPr>
        <w:t>Sınırlı araç envanterinin bayi ağına aylık olarak dağıtılması, otomotiv üreticileri ve ithalatçıları için kritik bir operasyonel karar problemidir. Mevcut araç sayısının toplam bayi talebinin altında kaldığı durumlarda dağıtım kararı; bayi memnuniyetini, müşteri erişilebilirliğini ve marka gelirini doğrudan etkilemektedir. Bu tez, Türkiye genelinde 20-28 yetkili bayisi bulunan bir SUV markası için aylık araç dağıtımını otomatize eden üç katmanlı bir karar destek sistemi tasarımını, uygulamasını ve canlı ortama dağıtımını sunmaktadır.</w:t>
      </w:r>
    </w:p>
    <w:p>
      <w:pPr>
        <w:spacing w:after="120"/>
        <w:jc w:val="center"/>
      </w:pPr>
      <w:r>
        <w:rPr>
          <w:b w:val="0"/>
          <w:sz w:val="22"/>
        </w:rPr>
      </w:r>
    </w:p>
    <w:p>
      <w:pPr>
        <w:spacing w:after="120"/>
        <w:jc w:val="center"/>
      </w:pPr>
      <w:r>
        <w:rPr>
          <w:b w:val="0"/>
          <w:sz w:val="22"/>
        </w:rPr>
        <w:t>Endüstri Mühendisliği, Makine Fakültesi, Yıldız Teknik Üniversitesi</w:t>
      </w:r>
    </w:p>
    <w:p>
      <w:pPr>
        <w:spacing w:after="120"/>
        <w:jc w:val="center"/>
      </w:pPr>
      <w:r>
        <w:rPr>
          <w:b w:val="0"/>
          <w:sz w:val="22"/>
        </w:rPr>
        <w:t>Adem Ağar</w:t>
      </w:r>
    </w:p>
    <w:p>
      <w:pPr>
        <w:spacing w:after="120"/>
        <w:jc w:val="center"/>
      </w:pPr>
      <w:r>
        <w:rPr>
          <w:b w:val="0"/>
          <w:sz w:val="22"/>
        </w:rPr>
      </w:r>
    </w:p>
    <w:p>
      <w:pPr>
        <w:spacing w:after="120"/>
        <w:jc w:val="center"/>
      </w:pPr>
      <w:r>
        <w:rPr>
          <w:b/>
          <w:sz w:val="22"/>
        </w:rPr>
        <w:t>Aylık Araç Dağıtımı Optimizasyonu</w:t>
      </w:r>
    </w:p>
    <w:p>
      <w:pPr>
        <w:spacing w:after="120"/>
        <w:jc w:val="center"/>
      </w:pPr>
      <w:r>
        <w:rPr>
          <w:b/>
          <w:sz w:val="22"/>
        </w:rPr>
        <w:t>Otomotiv Bayi Ağları İçin Çok Kriterli Karar Destek Sistemi ile</w:t>
      </w:r>
    </w:p>
    <w:p>
      <w:pPr>
        <w:spacing w:after="120"/>
        <w:jc w:val="center"/>
      </w:pPr>
      <w:r>
        <w:rPr>
          <w:b w:val="0"/>
          <w:sz w:val="22"/>
        </w:rPr>
      </w:r>
    </w:p>
    <w:p>
      <w:pPr>
        <w:spacing w:after="120"/>
        <w:jc w:val="center"/>
      </w:pPr>
      <w:r>
        <w:rPr>
          <w:b/>
          <w:sz w:val="28"/>
        </w:rPr>
        <w:t>ÖZET</w:t>
      </w:r>
    </w:p>
    <w:p>
      <w:pPr>
        <w:spacing w:before="240" w:after="120"/>
        <w:jc w:val="left"/>
      </w:pPr>
      <w:r>
        <w:rPr>
          <w:rFonts w:ascii="Times New Roman" w:hAnsi="Times New Roman"/>
          <w:b/>
          <w:i w:val="0"/>
          <w:sz w:val="28"/>
        </w:rPr>
        <w:t>ABSTRACT</w:t>
      </w:r>
    </w:p>
    <w:p>
      <w:pPr>
        <w:spacing w:before="0" w:after="200"/>
        <w:jc w:val="center"/>
      </w:pPr>
      <w:r>
        <w:rPr>
          <w:rFonts w:ascii="Times New Roman" w:hAnsi="Times New Roman"/>
          <w:b/>
          <w:i w:val="0"/>
          <w:sz w:val="24"/>
        </w:rPr>
        <w:t>Monthly Vehicle Allocation Optimization for Automotive Dealerships via Multi-Criteria Scoring and Mixed-Integer Linear Programming</w:t>
      </w:r>
    </w:p>
    <w:p>
      <w:pPr>
        <w:spacing w:before="0" w:after="200"/>
        <w:jc w:val="center"/>
      </w:pPr>
      <w:r>
        <w:rPr>
          <w:rFonts w:ascii="Times New Roman" w:hAnsi="Times New Roman"/>
          <w:b w:val="0"/>
          <w:i w:val="0"/>
          <w:sz w:val="24"/>
        </w:rPr>
        <w:t>Adem Ağar</w:t>
      </w:r>
    </w:p>
    <w:p>
      <w:pPr>
        <w:spacing w:before="0" w:after="320"/>
        <w:jc w:val="center"/>
      </w:pPr>
      <w:r>
        <w:rPr>
          <w:rFonts w:ascii="Times New Roman" w:hAnsi="Times New Roman"/>
          <w:b w:val="0"/>
          <w:i w:val="0"/>
          <w:sz w:val="24"/>
        </w:rPr>
        <w:t>Industrial Engineering, Faculty of Mechanical Engineering, Yıldız Technical University, Istanbul, 2026</w:t>
      </w:r>
    </w:p>
    <w:p>
      <w:pPr>
        <w:spacing w:before="0" w:after="120"/>
        <w:jc w:val="both"/>
      </w:pPr>
      <w:r>
        <w:rPr>
          <w:rFonts w:ascii="Times New Roman" w:hAnsi="Times New Roman"/>
          <w:b w:val="0"/>
          <w:i w:val="0"/>
          <w:sz w:val="24"/>
        </w:rPr>
        <w:t>Efficient distribution of a limited monthly vehicle inventory across a dealer network is a critical operational challenge for automotive manufacturers and importers. When the number of vehicles available is less than aggregate dealer demand, the allocation decision directly affects dealer satisfaction, end-customer availability, and brand revenue. This thesis proposes and implements a three-layer decision-support system that automates monthly vehicle allocation for a Sport Utility Vehicle (SUV) brand operating through 28 authorized dealerships across Turkey.</w:t>
      </w:r>
    </w:p>
    <w:p>
      <w:pPr>
        <w:spacing w:before="0" w:after="120"/>
        <w:jc w:val="both"/>
      </w:pPr>
      <w:r>
        <w:rPr>
          <w:rFonts w:ascii="Times New Roman" w:hAnsi="Times New Roman"/>
          <w:b w:val="0"/>
          <w:i w:val="0"/>
          <w:sz w:val="24"/>
        </w:rPr>
        <w:t>The first layer applies Seasonal-Trend decomposition using Loess (STL) to decompose 24 months of historical sales data (January 2024–December 2025) into trend, seasonal, and residual components. Monthly seasonal indices are derived from this decomposition and combined with a Prophet-based annual market forecast and an Exponentially Weighted Moving Average (EWMA, α determined by window W=5 after systematic cross-validation over W∈{3, …, 19}) to produce dealer-level monthly demand estimates for 2026.</w:t>
      </w:r>
    </w:p>
    <w:p>
      <w:pPr>
        <w:spacing w:before="0" w:after="120"/>
        <w:jc w:val="both"/>
      </w:pPr>
      <w:r>
        <w:rPr>
          <w:rFonts w:ascii="Times New Roman" w:hAnsi="Times New Roman"/>
          <w:b w:val="0"/>
          <w:i w:val="0"/>
          <w:sz w:val="24"/>
        </w:rPr>
        <w:t>The second layer applies Multi-Criteria Decision Making (MCDM) to score each dealer on four dimensions: recent target achievement performance (P, weight 0.25), location-product fit via cosine similarity between the dealer's historical color/version sales vector and the current inventory vector (LP, weight 0.35), seasonal alignment (S, weight 0.20), and proximity to the annual sales target with an asymmetric penalty for dealers who are behind target (H, weight 0.20). A composite score C ∈ [0, 1] is computed for every dealer.</w:t>
      </w:r>
    </w:p>
    <w:p>
      <w:pPr>
        <w:spacing w:before="0" w:after="120"/>
        <w:jc w:val="both"/>
      </w:pPr>
      <w:r>
        <w:rPr>
          <w:rFonts w:ascii="Times New Roman" w:hAnsi="Times New Roman"/>
          <w:b w:val="0"/>
          <w:i w:val="0"/>
          <w:sz w:val="24"/>
        </w:rPr>
        <w:t>The third layer formulates vehicle allocation as a Mixed-Integer Linear Programming (MILP) problem. The objective is to maximize the sum of composite-score-weighted allocations subject to inventory availability constraints and dealer quota bounds (±20% of the monthly quota derived from market-share-based target distribution). The model is implemented in Python using PuLP with the open-source CBC solver and solves a January 2026 instance of 603 vehicles across 22 active dealers in under 0.3 seconds.</w:t>
      </w:r>
    </w:p>
    <w:p>
      <w:pPr>
        <w:spacing w:before="0" w:after="120"/>
        <w:jc w:val="both"/>
      </w:pPr>
      <w:r>
        <w:rPr>
          <w:rFonts w:ascii="Times New Roman" w:hAnsi="Times New Roman"/>
          <w:b w:val="0"/>
          <w:i w:val="0"/>
          <w:sz w:val="24"/>
        </w:rPr>
        <w:t>The system is deployed as an interactive Streamlit dashboard with real-time scenario analysis capabilities. Results for January 2026 demonstrate that the framework successfully directs scarce inventory toward high-potential dealers while respecting operational constraints, producing allocations that could not be replicated by manual heuristics at comparable speed or consistency.</w:t>
      </w:r>
    </w:p>
    <w:p>
      <w:pPr>
        <w:spacing w:before="0" w:after="200"/>
        <w:jc w:val="both"/>
      </w:pPr>
      <w:r>
        <w:rPr>
          <w:rFonts w:ascii="Times New Roman" w:hAnsi="Times New Roman"/>
          <w:b w:val="0"/>
          <w:i/>
          <w:sz w:val="24"/>
        </w:rPr>
        <w:t>Keywords: Vehicle Allocation Problem, Multi-Criteria Decision Making, Mixed-Integer Linear Programming, STL Decomposition, Exponentially Weighted Moving Average, Cosine Similarity, Assortment Optimization, Automotive Supply Chain.</w:t>
      </w:r>
    </w:p>
    <w:p>
      <w:r>
        <w:br w:type="page"/>
      </w:r>
    </w:p>
    <w:p>
      <w:pPr>
        <w:spacing w:before="240" w:after="120"/>
        <w:jc w:val="left"/>
      </w:pPr>
      <w:r>
        <w:rPr>
          <w:rFonts w:ascii="Times New Roman" w:hAnsi="Times New Roman"/>
          <w:b/>
          <w:i w:val="0"/>
          <w:sz w:val="28"/>
        </w:rPr>
        <w:t>TABLE OF CONTENTS</w:t>
      </w:r>
    </w:p>
    <w:p>
      <w:pPr>
        <w:spacing w:before="20" w:after="20"/>
        <w:tabs>
          <w:tab w:val="right" w:leader="dot" w:pos="9072"/>
        </w:tabs>
      </w:pPr>
      <w:r>
        <w:rPr>
          <w:rFonts w:ascii="Times New Roman" w:hAnsi="Times New Roman"/>
          <w:b w:val="0"/>
          <w:i w:val="0"/>
          <w:sz w:val="22"/>
        </w:rPr>
        <w:t>Abstract</w:t>
      </w:r>
      <w:r>
        <w:rPr>
          <w:rFonts w:ascii="Times New Roman" w:hAnsi="Times New Roman"/>
          <w:b w:val="0"/>
          <w:i w:val="0"/>
          <w:sz w:val="22"/>
        </w:rPr>
        <w:tab/>
        <w:t>ii</w:t>
      </w:r>
    </w:p>
    <w:p>
      <w:pPr>
        <w:spacing w:before="20" w:after="20"/>
        <w:tabs>
          <w:tab w:val="right" w:leader="dot" w:pos="9072"/>
        </w:tabs>
      </w:pPr>
      <w:r>
        <w:rPr>
          <w:rFonts w:ascii="Times New Roman" w:hAnsi="Times New Roman"/>
          <w:b w:val="0"/>
          <w:i w:val="0"/>
          <w:sz w:val="22"/>
        </w:rPr>
        <w:t>Table of Contents</w:t>
      </w:r>
      <w:r>
        <w:rPr>
          <w:rFonts w:ascii="Times New Roman" w:hAnsi="Times New Roman"/>
          <w:b w:val="0"/>
          <w:i w:val="0"/>
          <w:sz w:val="22"/>
        </w:rPr>
        <w:tab/>
        <w:t>iii</w:t>
      </w:r>
    </w:p>
    <w:p>
      <w:pPr>
        <w:spacing w:before="20" w:after="20"/>
        <w:tabs>
          <w:tab w:val="right" w:leader="dot" w:pos="9072"/>
        </w:tabs>
      </w:pPr>
      <w:r>
        <w:rPr>
          <w:rFonts w:ascii="Times New Roman" w:hAnsi="Times New Roman"/>
          <w:b w:val="0"/>
          <w:i w:val="0"/>
          <w:sz w:val="22"/>
        </w:rPr>
        <w:t>List of Tables</w:t>
      </w:r>
      <w:r>
        <w:rPr>
          <w:rFonts w:ascii="Times New Roman" w:hAnsi="Times New Roman"/>
          <w:b w:val="0"/>
          <w:i w:val="0"/>
          <w:sz w:val="22"/>
        </w:rPr>
        <w:tab/>
        <w:t>iv</w:t>
      </w:r>
    </w:p>
    <w:p>
      <w:pPr>
        <w:spacing w:before="20" w:after="20"/>
        <w:tabs>
          <w:tab w:val="right" w:leader="dot" w:pos="9072"/>
        </w:tabs>
      </w:pPr>
      <w:r>
        <w:rPr>
          <w:rFonts w:ascii="Times New Roman" w:hAnsi="Times New Roman"/>
          <w:b w:val="0"/>
          <w:i w:val="0"/>
          <w:sz w:val="22"/>
        </w:rPr>
        <w:t>List of Figures</w:t>
      </w:r>
      <w:r>
        <w:rPr>
          <w:rFonts w:ascii="Times New Roman" w:hAnsi="Times New Roman"/>
          <w:b w:val="0"/>
          <w:i w:val="0"/>
          <w:sz w:val="22"/>
        </w:rPr>
        <w:tab/>
        <w:t>iv</w:t>
      </w:r>
    </w:p>
    <w:p>
      <w:pPr>
        <w:spacing w:before="20" w:after="20"/>
        <w:tabs>
          <w:tab w:val="right" w:leader="dot" w:pos="9072"/>
        </w:tabs>
      </w:pPr>
      <w:r>
        <w:rPr>
          <w:rFonts w:ascii="Times New Roman" w:hAnsi="Times New Roman"/>
          <w:b w:val="0"/>
          <w:i w:val="0"/>
          <w:sz w:val="22"/>
        </w:rPr>
        <w:t>Abbreviations</w:t>
      </w:r>
      <w:r>
        <w:rPr>
          <w:rFonts w:ascii="Times New Roman" w:hAnsi="Times New Roman"/>
          <w:b w:val="0"/>
          <w:i w:val="0"/>
          <w:sz w:val="22"/>
        </w:rPr>
        <w:tab/>
        <w:t>v</w:t>
      </w:r>
    </w:p>
    <w:p>
      <w:pPr>
        <w:spacing w:before="20" w:after="20"/>
        <w:tabs>
          <w:tab w:val="right" w:leader="dot" w:pos="9072"/>
        </w:tabs>
      </w:pPr>
      <w:r>
        <w:rPr>
          <w:rFonts w:ascii="Times New Roman" w:hAnsi="Times New Roman"/>
          <w:b w:val="0"/>
          <w:i w:val="0"/>
          <w:sz w:val="22"/>
        </w:rPr>
        <w:t>1. Introduction</w:t>
      </w:r>
      <w:r>
        <w:rPr>
          <w:rFonts w:ascii="Times New Roman" w:hAnsi="Times New Roman"/>
          <w:b w:val="0"/>
          <w:i w:val="0"/>
          <w:sz w:val="22"/>
        </w:rPr>
        <w:tab/>
        <w:t>1</w:t>
      </w:r>
    </w:p>
    <w:p>
      <w:pPr>
        <w:spacing w:before="20" w:after="20"/>
        <w:tabs>
          <w:tab w:val="right" w:leader="dot" w:pos="9072"/>
        </w:tabs>
      </w:pPr>
      <w:r>
        <w:rPr>
          <w:rFonts w:ascii="Times New Roman" w:hAnsi="Times New Roman"/>
          <w:b w:val="0"/>
          <w:i w:val="0"/>
          <w:sz w:val="22"/>
        </w:rPr>
        <w:t xml:space="preserve">   1.1 Motivation and Problem Statement</w:t>
      </w:r>
      <w:r>
        <w:rPr>
          <w:rFonts w:ascii="Times New Roman" w:hAnsi="Times New Roman"/>
          <w:b w:val="0"/>
          <w:i w:val="0"/>
          <w:sz w:val="22"/>
        </w:rPr>
        <w:tab/>
        <w:t>1</w:t>
      </w:r>
    </w:p>
    <w:p>
      <w:pPr>
        <w:spacing w:before="20" w:after="20"/>
        <w:tabs>
          <w:tab w:val="right" w:leader="dot" w:pos="9072"/>
        </w:tabs>
      </w:pPr>
      <w:r>
        <w:rPr>
          <w:rFonts w:ascii="Times New Roman" w:hAnsi="Times New Roman"/>
          <w:b w:val="0"/>
          <w:i w:val="0"/>
          <w:sz w:val="22"/>
        </w:rPr>
        <w:t xml:space="preserve">   1.2 Research Objectives</w:t>
      </w:r>
      <w:r>
        <w:rPr>
          <w:rFonts w:ascii="Times New Roman" w:hAnsi="Times New Roman"/>
          <w:b w:val="0"/>
          <w:i w:val="0"/>
          <w:sz w:val="22"/>
        </w:rPr>
        <w:tab/>
        <w:t>3</w:t>
      </w:r>
    </w:p>
    <w:p>
      <w:pPr>
        <w:spacing w:before="20" w:after="20"/>
        <w:tabs>
          <w:tab w:val="right" w:leader="dot" w:pos="9072"/>
        </w:tabs>
      </w:pPr>
      <w:r>
        <w:rPr>
          <w:rFonts w:ascii="Times New Roman" w:hAnsi="Times New Roman"/>
          <w:b w:val="0"/>
          <w:i w:val="0"/>
          <w:sz w:val="22"/>
        </w:rPr>
        <w:t xml:space="preserve">   1.3 Scope and Limitations</w:t>
      </w:r>
      <w:r>
        <w:rPr>
          <w:rFonts w:ascii="Times New Roman" w:hAnsi="Times New Roman"/>
          <w:b w:val="0"/>
          <w:i w:val="0"/>
          <w:sz w:val="22"/>
        </w:rPr>
        <w:tab/>
        <w:t>3</w:t>
      </w:r>
    </w:p>
    <w:p>
      <w:pPr>
        <w:spacing w:before="20" w:after="20"/>
        <w:tabs>
          <w:tab w:val="right" w:leader="dot" w:pos="9072"/>
        </w:tabs>
      </w:pPr>
      <w:r>
        <w:rPr>
          <w:rFonts w:ascii="Times New Roman" w:hAnsi="Times New Roman"/>
          <w:b w:val="0"/>
          <w:i w:val="0"/>
          <w:sz w:val="22"/>
        </w:rPr>
        <w:t xml:space="preserve">   1.4 Thesis Organization</w:t>
      </w:r>
      <w:r>
        <w:rPr>
          <w:rFonts w:ascii="Times New Roman" w:hAnsi="Times New Roman"/>
          <w:b w:val="0"/>
          <w:i w:val="0"/>
          <w:sz w:val="22"/>
        </w:rPr>
        <w:tab/>
        <w:t>4</w:t>
      </w:r>
    </w:p>
    <w:p>
      <w:pPr>
        <w:spacing w:before="20" w:after="20"/>
        <w:tabs>
          <w:tab w:val="right" w:leader="dot" w:pos="9072"/>
        </w:tabs>
      </w:pPr>
      <w:r>
        <w:rPr>
          <w:rFonts w:ascii="Times New Roman" w:hAnsi="Times New Roman"/>
          <w:b w:val="0"/>
          <w:i w:val="0"/>
          <w:sz w:val="22"/>
        </w:rPr>
        <w:t>2. Literature Review</w:t>
      </w:r>
      <w:r>
        <w:rPr>
          <w:rFonts w:ascii="Times New Roman" w:hAnsi="Times New Roman"/>
          <w:b w:val="0"/>
          <w:i w:val="0"/>
          <w:sz w:val="22"/>
        </w:rPr>
        <w:tab/>
        <w:t>5</w:t>
      </w:r>
    </w:p>
    <w:p>
      <w:pPr>
        <w:spacing w:before="20" w:after="20"/>
        <w:tabs>
          <w:tab w:val="right" w:leader="dot" w:pos="9072"/>
        </w:tabs>
      </w:pPr>
      <w:r>
        <w:rPr>
          <w:rFonts w:ascii="Times New Roman" w:hAnsi="Times New Roman"/>
          <w:b w:val="0"/>
          <w:i w:val="0"/>
          <w:sz w:val="22"/>
        </w:rPr>
        <w:t xml:space="preserve">   2.1 Vehicle Allocation Problem</w:t>
      </w:r>
      <w:r>
        <w:rPr>
          <w:rFonts w:ascii="Times New Roman" w:hAnsi="Times New Roman"/>
          <w:b w:val="0"/>
          <w:i w:val="0"/>
          <w:sz w:val="22"/>
        </w:rPr>
        <w:tab/>
        <w:t>5</w:t>
      </w:r>
    </w:p>
    <w:p>
      <w:pPr>
        <w:spacing w:before="20" w:after="20"/>
        <w:tabs>
          <w:tab w:val="right" w:leader="dot" w:pos="9072"/>
        </w:tabs>
      </w:pPr>
      <w:r>
        <w:rPr>
          <w:rFonts w:ascii="Times New Roman" w:hAnsi="Times New Roman"/>
          <w:b w:val="0"/>
          <w:i w:val="0"/>
          <w:sz w:val="22"/>
        </w:rPr>
        <w:t xml:space="preserve">   2.2 Time Series Forecasting in Automotive Contexts</w:t>
      </w:r>
      <w:r>
        <w:rPr>
          <w:rFonts w:ascii="Times New Roman" w:hAnsi="Times New Roman"/>
          <w:b w:val="0"/>
          <w:i w:val="0"/>
          <w:sz w:val="22"/>
        </w:rPr>
        <w:tab/>
        <w:t>6</w:t>
      </w:r>
    </w:p>
    <w:p>
      <w:pPr>
        <w:spacing w:before="20" w:after="20"/>
        <w:tabs>
          <w:tab w:val="right" w:leader="dot" w:pos="9072"/>
        </w:tabs>
      </w:pPr>
      <w:r>
        <w:rPr>
          <w:rFonts w:ascii="Times New Roman" w:hAnsi="Times New Roman"/>
          <w:b w:val="0"/>
          <w:i w:val="0"/>
          <w:sz w:val="22"/>
        </w:rPr>
        <w:t xml:space="preserve">   2.3 Multi-Criteria Decision Making in Inventory Allocation</w:t>
      </w:r>
      <w:r>
        <w:rPr>
          <w:rFonts w:ascii="Times New Roman" w:hAnsi="Times New Roman"/>
          <w:b w:val="0"/>
          <w:i w:val="0"/>
          <w:sz w:val="22"/>
        </w:rPr>
        <w:tab/>
        <w:t>7</w:t>
      </w:r>
    </w:p>
    <w:p>
      <w:pPr>
        <w:spacing w:before="20" w:after="20"/>
        <w:tabs>
          <w:tab w:val="right" w:leader="dot" w:pos="9072"/>
        </w:tabs>
      </w:pPr>
      <w:r>
        <w:rPr>
          <w:rFonts w:ascii="Times New Roman" w:hAnsi="Times New Roman"/>
          <w:b w:val="0"/>
          <w:i w:val="0"/>
          <w:sz w:val="22"/>
        </w:rPr>
        <w:t xml:space="preserve">   2.4 Assortment Optimization and Collaborative Filtering</w:t>
      </w:r>
      <w:r>
        <w:rPr>
          <w:rFonts w:ascii="Times New Roman" w:hAnsi="Times New Roman"/>
          <w:b w:val="0"/>
          <w:i w:val="0"/>
          <w:sz w:val="22"/>
        </w:rPr>
        <w:tab/>
        <w:t>8</w:t>
      </w:r>
    </w:p>
    <w:p>
      <w:pPr>
        <w:spacing w:before="20" w:after="20"/>
        <w:tabs>
          <w:tab w:val="right" w:leader="dot" w:pos="9072"/>
        </w:tabs>
      </w:pPr>
      <w:r>
        <w:rPr>
          <w:rFonts w:ascii="Times New Roman" w:hAnsi="Times New Roman"/>
          <w:b w:val="0"/>
          <w:i w:val="0"/>
          <w:sz w:val="22"/>
        </w:rPr>
        <w:t xml:space="preserve">   2.5 Mixed-Integer Linear Programming for Distribution</w:t>
      </w:r>
      <w:r>
        <w:rPr>
          <w:rFonts w:ascii="Times New Roman" w:hAnsi="Times New Roman"/>
          <w:b w:val="0"/>
          <w:i w:val="0"/>
          <w:sz w:val="22"/>
        </w:rPr>
        <w:tab/>
        <w:t>9</w:t>
      </w:r>
    </w:p>
    <w:p>
      <w:pPr>
        <w:spacing w:before="20" w:after="20"/>
        <w:tabs>
          <w:tab w:val="right" w:leader="dot" w:pos="9072"/>
        </w:tabs>
      </w:pPr>
      <w:r>
        <w:rPr>
          <w:rFonts w:ascii="Times New Roman" w:hAnsi="Times New Roman"/>
          <w:b w:val="0"/>
          <w:i w:val="0"/>
          <w:sz w:val="22"/>
        </w:rPr>
        <w:t>3. System Architecture and Data</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 xml:space="preserve">   3.1 Overall Three-Layer Architecture</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 xml:space="preserve">   3.2 Data Sources and Preprocessing</w:t>
      </w:r>
      <w:r>
        <w:rPr>
          <w:rFonts w:ascii="Times New Roman" w:hAnsi="Times New Roman"/>
          <w:b w:val="0"/>
          <w:i w:val="0"/>
          <w:sz w:val="22"/>
        </w:rPr>
        <w:tab/>
        <w:t>11</w:t>
      </w:r>
    </w:p>
    <w:p>
      <w:pPr>
        <w:spacing w:before="20" w:after="20"/>
        <w:tabs>
          <w:tab w:val="right" w:leader="dot" w:pos="9072"/>
        </w:tabs>
      </w:pPr>
      <w:r>
        <w:rPr>
          <w:rFonts w:ascii="Times New Roman" w:hAnsi="Times New Roman"/>
          <w:b w:val="0"/>
          <w:i w:val="0"/>
          <w:sz w:val="22"/>
        </w:rPr>
        <w:t xml:space="preserve">   3.3 Vehicle Portfolio and Market Structure</w:t>
      </w:r>
      <w:r>
        <w:rPr>
          <w:rFonts w:ascii="Times New Roman" w:hAnsi="Times New Roman"/>
          <w:b w:val="0"/>
          <w:i w:val="0"/>
          <w:sz w:val="22"/>
        </w:rPr>
        <w:tab/>
        <w:t>12</w:t>
      </w:r>
    </w:p>
    <w:p>
      <w:pPr>
        <w:spacing w:before="20" w:after="20"/>
        <w:tabs>
          <w:tab w:val="right" w:leader="dot" w:pos="9072"/>
        </w:tabs>
      </w:pPr>
      <w:r>
        <w:rPr>
          <w:rFonts w:ascii="Times New Roman" w:hAnsi="Times New Roman"/>
          <w:b w:val="0"/>
          <w:i w:val="0"/>
          <w:sz w:val="22"/>
        </w:rPr>
        <w:t>4. Layer 1: Demand Forecasting</w:t>
      </w:r>
      <w:r>
        <w:rPr>
          <w:rFonts w:ascii="Times New Roman" w:hAnsi="Times New Roman"/>
          <w:b w:val="0"/>
          <w:i w:val="0"/>
          <w:sz w:val="22"/>
        </w:rPr>
        <w:tab/>
        <w:t>13</w:t>
      </w:r>
    </w:p>
    <w:p>
      <w:pPr>
        <w:spacing w:before="20" w:after="20"/>
        <w:tabs>
          <w:tab w:val="right" w:leader="dot" w:pos="9072"/>
        </w:tabs>
      </w:pPr>
      <w:r>
        <w:rPr>
          <w:rFonts w:ascii="Times New Roman" w:hAnsi="Times New Roman"/>
          <w:b w:val="0"/>
          <w:i w:val="0"/>
          <w:sz w:val="22"/>
        </w:rPr>
        <w:t xml:space="preserve">   4.1 STL Decomposition</w:t>
      </w:r>
      <w:r>
        <w:rPr>
          <w:rFonts w:ascii="Times New Roman" w:hAnsi="Times New Roman"/>
          <w:b w:val="0"/>
          <w:i w:val="0"/>
          <w:sz w:val="22"/>
        </w:rPr>
        <w:tab/>
        <w:t>13</w:t>
      </w:r>
    </w:p>
    <w:p>
      <w:pPr>
        <w:spacing w:before="20" w:after="20"/>
        <w:tabs>
          <w:tab w:val="right" w:leader="dot" w:pos="9072"/>
        </w:tabs>
      </w:pPr>
      <w:r>
        <w:rPr>
          <w:rFonts w:ascii="Times New Roman" w:hAnsi="Times New Roman"/>
          <w:b w:val="0"/>
          <w:i w:val="0"/>
          <w:sz w:val="22"/>
        </w:rPr>
        <w:t xml:space="preserve">   4.2 Prophet Market Forecast</w:t>
      </w:r>
      <w:r>
        <w:rPr>
          <w:rFonts w:ascii="Times New Roman" w:hAnsi="Times New Roman"/>
          <w:b w:val="0"/>
          <w:i w:val="0"/>
          <w:sz w:val="22"/>
        </w:rPr>
        <w:tab/>
        <w:t>15</w:t>
      </w:r>
    </w:p>
    <w:p>
      <w:pPr>
        <w:spacing w:before="20" w:after="20"/>
        <w:tabs>
          <w:tab w:val="right" w:leader="dot" w:pos="9072"/>
        </w:tabs>
      </w:pPr>
      <w:r>
        <w:rPr>
          <w:rFonts w:ascii="Times New Roman" w:hAnsi="Times New Roman"/>
          <w:b w:val="0"/>
          <w:i w:val="0"/>
          <w:sz w:val="22"/>
        </w:rPr>
        <w:t xml:space="preserve">   4.3 Exponentially Weighted Moving Average</w:t>
      </w:r>
      <w:r>
        <w:rPr>
          <w:rFonts w:ascii="Times New Roman" w:hAnsi="Times New Roman"/>
          <w:b w:val="0"/>
          <w:i w:val="0"/>
          <w:sz w:val="22"/>
        </w:rPr>
        <w:tab/>
        <w:t>16</w:t>
      </w:r>
    </w:p>
    <w:p>
      <w:pPr>
        <w:spacing w:before="20" w:after="20"/>
        <w:tabs>
          <w:tab w:val="right" w:leader="dot" w:pos="9072"/>
        </w:tabs>
      </w:pPr>
      <w:r>
        <w:rPr>
          <w:rFonts w:ascii="Times New Roman" w:hAnsi="Times New Roman"/>
          <w:b w:val="0"/>
          <w:i w:val="0"/>
          <w:sz w:val="22"/>
        </w:rPr>
        <w:t xml:space="preserve">   4.4 Launch Boost Factor</w:t>
      </w:r>
      <w:r>
        <w:rPr>
          <w:rFonts w:ascii="Times New Roman" w:hAnsi="Times New Roman"/>
          <w:b w:val="0"/>
          <w:i w:val="0"/>
          <w:sz w:val="22"/>
        </w:rPr>
        <w:tab/>
        <w:t>18</w:t>
      </w:r>
    </w:p>
    <w:p>
      <w:pPr>
        <w:spacing w:before="20" w:after="20"/>
        <w:tabs>
          <w:tab w:val="right" w:leader="dot" w:pos="9072"/>
        </w:tabs>
      </w:pPr>
      <w:r>
        <w:rPr>
          <w:rFonts w:ascii="Times New Roman" w:hAnsi="Times New Roman"/>
          <w:b w:val="0"/>
          <w:i w:val="0"/>
          <w:sz w:val="22"/>
        </w:rPr>
        <w:t>5. Layer 2: Multi-Criteria Dealer Scoring</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 xml:space="preserve">   5.1 Performance Score (P)</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 xml:space="preserve">   5.2 Location-Product Fit Score (LP)</w:t>
      </w:r>
      <w:r>
        <w:rPr>
          <w:rFonts w:ascii="Times New Roman" w:hAnsi="Times New Roman"/>
          <w:b w:val="0"/>
          <w:i w:val="0"/>
          <w:sz w:val="22"/>
        </w:rPr>
        <w:tab/>
        <w:t>20</w:t>
      </w:r>
    </w:p>
    <w:p>
      <w:pPr>
        <w:spacing w:before="20" w:after="20"/>
        <w:tabs>
          <w:tab w:val="right" w:leader="dot" w:pos="9072"/>
        </w:tabs>
      </w:pPr>
      <w:r>
        <w:rPr>
          <w:rFonts w:ascii="Times New Roman" w:hAnsi="Times New Roman"/>
          <w:b w:val="0"/>
          <w:i w:val="0"/>
          <w:sz w:val="22"/>
        </w:rPr>
        <w:t xml:space="preserve">   5.3 Seasonal Alignment Score (S)</w:t>
      </w:r>
      <w:r>
        <w:rPr>
          <w:rFonts w:ascii="Times New Roman" w:hAnsi="Times New Roman"/>
          <w:b w:val="0"/>
          <w:i w:val="0"/>
          <w:sz w:val="22"/>
        </w:rPr>
        <w:tab/>
        <w:t>21</w:t>
      </w:r>
    </w:p>
    <w:p>
      <w:pPr>
        <w:spacing w:before="20" w:after="20"/>
        <w:tabs>
          <w:tab w:val="right" w:leader="dot" w:pos="9072"/>
        </w:tabs>
      </w:pPr>
      <w:r>
        <w:rPr>
          <w:rFonts w:ascii="Times New Roman" w:hAnsi="Times New Roman"/>
          <w:b w:val="0"/>
          <w:i w:val="0"/>
          <w:sz w:val="22"/>
        </w:rPr>
        <w:t xml:space="preserve">   5.4 Target Proximity Score (H)</w:t>
      </w:r>
      <w:r>
        <w:rPr>
          <w:rFonts w:ascii="Times New Roman" w:hAnsi="Times New Roman"/>
          <w:b w:val="0"/>
          <w:i w:val="0"/>
          <w:sz w:val="22"/>
        </w:rPr>
        <w:tab/>
        <w:t>22</w:t>
      </w:r>
    </w:p>
    <w:p>
      <w:pPr>
        <w:spacing w:before="20" w:after="20"/>
        <w:tabs>
          <w:tab w:val="right" w:leader="dot" w:pos="9072"/>
        </w:tabs>
      </w:pPr>
      <w:r>
        <w:rPr>
          <w:rFonts w:ascii="Times New Roman" w:hAnsi="Times New Roman"/>
          <w:b w:val="0"/>
          <w:i w:val="0"/>
          <w:sz w:val="22"/>
        </w:rPr>
        <w:t xml:space="preserve">   5.5 Composite Score Computation</w:t>
      </w:r>
      <w:r>
        <w:rPr>
          <w:rFonts w:ascii="Times New Roman" w:hAnsi="Times New Roman"/>
          <w:b w:val="0"/>
          <w:i w:val="0"/>
          <w:sz w:val="22"/>
        </w:rPr>
        <w:tab/>
        <w:t>23</w:t>
      </w:r>
    </w:p>
    <w:p>
      <w:pPr>
        <w:spacing w:before="20" w:after="20"/>
        <w:tabs>
          <w:tab w:val="right" w:leader="dot" w:pos="9072"/>
        </w:tabs>
      </w:pPr>
      <w:r>
        <w:rPr>
          <w:rFonts w:ascii="Times New Roman" w:hAnsi="Times New Roman"/>
          <w:b w:val="0"/>
          <w:i w:val="0"/>
          <w:sz w:val="22"/>
        </w:rPr>
        <w:t>6. Layer 3: MILP Allocation Model</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 xml:space="preserve">   6.1 Problem Formulation</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 xml:space="preserve">   6.2 Market-Share-Based Quota Distribution</w:t>
      </w:r>
      <w:r>
        <w:rPr>
          <w:rFonts w:ascii="Times New Roman" w:hAnsi="Times New Roman"/>
          <w:b w:val="0"/>
          <w:i w:val="0"/>
          <w:sz w:val="22"/>
        </w:rPr>
        <w:tab/>
        <w:t>25</w:t>
      </w:r>
    </w:p>
    <w:p>
      <w:pPr>
        <w:spacing w:before="20" w:after="20"/>
        <w:tabs>
          <w:tab w:val="right" w:leader="dot" w:pos="9072"/>
        </w:tabs>
      </w:pPr>
      <w:r>
        <w:rPr>
          <w:rFonts w:ascii="Times New Roman" w:hAnsi="Times New Roman"/>
          <w:b w:val="0"/>
          <w:i w:val="0"/>
          <w:sz w:val="22"/>
        </w:rPr>
        <w:t xml:space="preserve">   6.3 Implementation with PuLP and CBC</w:t>
      </w:r>
      <w:r>
        <w:rPr>
          <w:rFonts w:ascii="Times New Roman" w:hAnsi="Times New Roman"/>
          <w:b w:val="0"/>
          <w:i w:val="0"/>
          <w:sz w:val="22"/>
        </w:rPr>
        <w:tab/>
        <w:t>26</w:t>
      </w:r>
    </w:p>
    <w:p>
      <w:pPr>
        <w:spacing w:before="20" w:after="20"/>
        <w:tabs>
          <w:tab w:val="right" w:leader="dot" w:pos="9072"/>
        </w:tabs>
      </w:pPr>
      <w:r>
        <w:rPr>
          <w:rFonts w:ascii="Times New Roman" w:hAnsi="Times New Roman"/>
          <w:b w:val="0"/>
          <w:i w:val="0"/>
          <w:sz w:val="22"/>
        </w:rPr>
        <w:t>7. January 2026 Case Study</w:t>
      </w:r>
      <w:r>
        <w:rPr>
          <w:rFonts w:ascii="Times New Roman" w:hAnsi="Times New Roman"/>
          <w:b w:val="0"/>
          <w:i w:val="0"/>
          <w:sz w:val="22"/>
        </w:rPr>
        <w:tab/>
        <w:t>27</w:t>
      </w:r>
    </w:p>
    <w:p>
      <w:pPr>
        <w:spacing w:before="20" w:after="20"/>
        <w:tabs>
          <w:tab w:val="right" w:leader="dot" w:pos="9072"/>
        </w:tabs>
      </w:pPr>
      <w:r>
        <w:rPr>
          <w:rFonts w:ascii="Times New Roman" w:hAnsi="Times New Roman"/>
          <w:b w:val="0"/>
          <w:i w:val="0"/>
          <w:sz w:val="22"/>
        </w:rPr>
        <w:t xml:space="preserve">   7.1 Input Data and Parameters</w:t>
      </w:r>
      <w:r>
        <w:rPr>
          <w:rFonts w:ascii="Times New Roman" w:hAnsi="Times New Roman"/>
          <w:b w:val="0"/>
          <w:i w:val="0"/>
          <w:sz w:val="22"/>
        </w:rPr>
        <w:tab/>
        <w:t>27</w:t>
      </w:r>
    </w:p>
    <w:p>
      <w:pPr>
        <w:spacing w:before="20" w:after="20"/>
        <w:tabs>
          <w:tab w:val="right" w:leader="dot" w:pos="9072"/>
        </w:tabs>
      </w:pPr>
      <w:r>
        <w:rPr>
          <w:rFonts w:ascii="Times New Roman" w:hAnsi="Times New Roman"/>
          <w:b w:val="0"/>
          <w:i w:val="0"/>
          <w:sz w:val="22"/>
        </w:rPr>
        <w:t xml:space="preserve">   7.2 Allocation Results</w:t>
      </w:r>
      <w:r>
        <w:rPr>
          <w:rFonts w:ascii="Times New Roman" w:hAnsi="Times New Roman"/>
          <w:b w:val="0"/>
          <w:i w:val="0"/>
          <w:sz w:val="22"/>
        </w:rPr>
        <w:tab/>
        <w:t>28</w:t>
      </w:r>
    </w:p>
    <w:p>
      <w:pPr>
        <w:spacing w:before="20" w:after="20"/>
        <w:tabs>
          <w:tab w:val="right" w:leader="dot" w:pos="9072"/>
        </w:tabs>
      </w:pPr>
      <w:r>
        <w:rPr>
          <w:rFonts w:ascii="Times New Roman" w:hAnsi="Times New Roman"/>
          <w:b w:val="0"/>
          <w:i w:val="0"/>
          <w:sz w:val="22"/>
        </w:rPr>
        <w:t xml:space="preserve">   7.3 Sensitivity Analysis</w:t>
      </w:r>
      <w:r>
        <w:rPr>
          <w:rFonts w:ascii="Times New Roman" w:hAnsi="Times New Roman"/>
          <w:b w:val="0"/>
          <w:i w:val="0"/>
          <w:sz w:val="22"/>
        </w:rPr>
        <w:tab/>
        <w:t>29</w:t>
      </w:r>
    </w:p>
    <w:p>
      <w:pPr>
        <w:spacing w:before="20" w:after="20"/>
        <w:tabs>
          <w:tab w:val="right" w:leader="dot" w:pos="9072"/>
        </w:tabs>
      </w:pPr>
      <w:r>
        <w:rPr>
          <w:rFonts w:ascii="Times New Roman" w:hAnsi="Times New Roman"/>
          <w:b w:val="0"/>
          <w:i w:val="0"/>
          <w:sz w:val="22"/>
        </w:rPr>
        <w:t>8. Dashboard and Deployment</w:t>
      </w:r>
      <w:r>
        <w:rPr>
          <w:rFonts w:ascii="Times New Roman" w:hAnsi="Times New Roman"/>
          <w:b w:val="0"/>
          <w:i w:val="0"/>
          <w:sz w:val="22"/>
        </w:rPr>
        <w:tab/>
        <w:t>30</w:t>
      </w:r>
    </w:p>
    <w:p>
      <w:pPr>
        <w:spacing w:before="20" w:after="20"/>
        <w:tabs>
          <w:tab w:val="right" w:leader="dot" w:pos="9072"/>
        </w:tabs>
      </w:pPr>
      <w:r>
        <w:rPr>
          <w:rFonts w:ascii="Times New Roman" w:hAnsi="Times New Roman"/>
          <w:b w:val="0"/>
          <w:i w:val="0"/>
          <w:sz w:val="22"/>
        </w:rPr>
        <w:t>9. Conclusions and Future Work</w:t>
      </w:r>
      <w:r>
        <w:rPr>
          <w:rFonts w:ascii="Times New Roman" w:hAnsi="Times New Roman"/>
          <w:b w:val="0"/>
          <w:i w:val="0"/>
          <w:sz w:val="22"/>
        </w:rPr>
        <w:tab/>
        <w:t>31</w:t>
      </w:r>
    </w:p>
    <w:p>
      <w:pPr>
        <w:spacing w:before="20" w:after="20"/>
        <w:tabs>
          <w:tab w:val="right" w:leader="dot" w:pos="9072"/>
        </w:tabs>
      </w:pPr>
      <w:r>
        <w:rPr>
          <w:rFonts w:ascii="Times New Roman" w:hAnsi="Times New Roman"/>
          <w:b w:val="0"/>
          <w:i w:val="0"/>
          <w:sz w:val="22"/>
        </w:rPr>
        <w:t>References</w:t>
      </w:r>
      <w:r>
        <w:rPr>
          <w:rFonts w:ascii="Times New Roman" w:hAnsi="Times New Roman"/>
          <w:b w:val="0"/>
          <w:i w:val="0"/>
          <w:sz w:val="22"/>
        </w:rPr>
        <w:tab/>
        <w:t>33</w:t>
      </w:r>
    </w:p>
    <w:p>
      <w:r>
        <w:br w:type="page"/>
      </w:r>
    </w:p>
    <w:p>
      <w:pPr>
        <w:spacing w:before="240" w:after="120"/>
        <w:jc w:val="left"/>
      </w:pPr>
      <w:r>
        <w:rPr>
          <w:rFonts w:ascii="Times New Roman" w:hAnsi="Times New Roman"/>
          <w:b/>
          <w:i w:val="0"/>
          <w:sz w:val="28"/>
        </w:rPr>
        <w:t>LIST OF TABLES</w:t>
      </w:r>
    </w:p>
    <w:p>
      <w:pPr>
        <w:spacing w:before="20" w:after="20"/>
        <w:tabs>
          <w:tab w:val="right" w:leader="dot" w:pos="9072"/>
        </w:tabs>
      </w:pPr>
      <w:r>
        <w:rPr>
          <w:rFonts w:ascii="Times New Roman" w:hAnsi="Times New Roman"/>
          <w:b w:val="0"/>
          <w:i w:val="0"/>
          <w:sz w:val="22"/>
        </w:rPr>
        <w:t>Table 1. Sets and Parameters of the MILP Model</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Table 2. MCDM Criteria Summary</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Table 3. EW Window Analysis Results (W = 3 to W = 10)</w:t>
      </w:r>
      <w:r>
        <w:rPr>
          <w:rFonts w:ascii="Times New Roman" w:hAnsi="Times New Roman"/>
          <w:b w:val="0"/>
          <w:i w:val="0"/>
          <w:sz w:val="22"/>
        </w:rPr>
        <w:tab/>
        <w:t>17</w:t>
      </w:r>
    </w:p>
    <w:p>
      <w:pPr>
        <w:spacing w:before="20" w:after="20"/>
        <w:tabs>
          <w:tab w:val="right" w:leader="dot" w:pos="9072"/>
        </w:tabs>
      </w:pPr>
      <w:r>
        <w:rPr>
          <w:rFonts w:ascii="Times New Roman" w:hAnsi="Times New Roman"/>
          <w:b w:val="0"/>
          <w:i w:val="0"/>
          <w:sz w:val="22"/>
        </w:rPr>
        <w:t>Table 4. January 2026 Allocation Summary by Model Group</w:t>
      </w:r>
      <w:r>
        <w:rPr>
          <w:rFonts w:ascii="Times New Roman" w:hAnsi="Times New Roman"/>
          <w:b w:val="0"/>
          <w:i w:val="0"/>
          <w:sz w:val="22"/>
        </w:rPr>
        <w:tab/>
        <w:t>28</w:t>
      </w:r>
    </w:p>
    <w:p>
      <w:pPr>
        <w:spacing w:before="0" w:after="0"/>
      </w:pPr>
    </w:p>
    <w:p>
      <w:pPr>
        <w:spacing w:before="240" w:after="120"/>
        <w:jc w:val="left"/>
      </w:pPr>
      <w:r>
        <w:rPr>
          <w:rFonts w:ascii="Times New Roman" w:hAnsi="Times New Roman"/>
          <w:b/>
          <w:i w:val="0"/>
          <w:sz w:val="28"/>
        </w:rPr>
        <w:t>LIST OF FIGURES</w:t>
      </w:r>
    </w:p>
    <w:p>
      <w:pPr>
        <w:spacing w:before="20" w:after="20"/>
        <w:tabs>
          <w:tab w:val="right" w:leader="dot" w:pos="9072"/>
        </w:tabs>
      </w:pPr>
      <w:r>
        <w:rPr>
          <w:rFonts w:ascii="Times New Roman" w:hAnsi="Times New Roman"/>
          <w:b w:val="0"/>
          <w:i w:val="0"/>
          <w:sz w:val="22"/>
        </w:rPr>
        <w:t>Figure 1. System Architecture Overview (Three-Layer Framework)</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Figure 2. STL Decomposition Example — Brand Monthly Sales 2024–2025</w:t>
      </w:r>
      <w:r>
        <w:rPr>
          <w:rFonts w:ascii="Times New Roman" w:hAnsi="Times New Roman"/>
          <w:b w:val="0"/>
          <w:i w:val="0"/>
          <w:sz w:val="22"/>
        </w:rPr>
        <w:tab/>
        <w:t>14</w:t>
      </w:r>
    </w:p>
    <w:p>
      <w:pPr>
        <w:spacing w:before="20" w:after="20"/>
        <w:tabs>
          <w:tab w:val="right" w:leader="dot" w:pos="9072"/>
        </w:tabs>
      </w:pPr>
      <w:r>
        <w:rPr>
          <w:rFonts w:ascii="Times New Roman" w:hAnsi="Times New Roman"/>
          <w:b w:val="0"/>
          <w:i w:val="0"/>
          <w:sz w:val="22"/>
        </w:rPr>
        <w:t>Figure 3. Seasonal Index by Month for All Vehicle Model Groups</w:t>
      </w:r>
      <w:r>
        <w:rPr>
          <w:rFonts w:ascii="Times New Roman" w:hAnsi="Times New Roman"/>
          <w:b w:val="0"/>
          <w:i w:val="0"/>
          <w:sz w:val="22"/>
        </w:rPr>
        <w:tab/>
        <w:t>15</w:t>
      </w:r>
    </w:p>
    <w:p>
      <w:pPr>
        <w:spacing w:before="20" w:after="20"/>
        <w:tabs>
          <w:tab w:val="right" w:leader="dot" w:pos="9072"/>
        </w:tabs>
      </w:pPr>
      <w:r>
        <w:rPr>
          <w:rFonts w:ascii="Times New Roman" w:hAnsi="Times New Roman"/>
          <w:b w:val="0"/>
          <w:i w:val="0"/>
          <w:sz w:val="22"/>
        </w:rPr>
        <w:t>Figure 4. EW Window MAE Comparison Chart (W = 3 to W = 19)</w:t>
      </w:r>
      <w:r>
        <w:rPr>
          <w:rFonts w:ascii="Times New Roman" w:hAnsi="Times New Roman"/>
          <w:b w:val="0"/>
          <w:i w:val="0"/>
          <w:sz w:val="22"/>
        </w:rPr>
        <w:tab/>
        <w:t>17</w:t>
      </w:r>
    </w:p>
    <w:p>
      <w:pPr>
        <w:spacing w:before="20" w:after="20"/>
        <w:tabs>
          <w:tab w:val="right" w:leader="dot" w:pos="9072"/>
        </w:tabs>
      </w:pPr>
      <w:r>
        <w:rPr>
          <w:rFonts w:ascii="Times New Roman" w:hAnsi="Times New Roman"/>
          <w:b w:val="0"/>
          <w:i w:val="0"/>
          <w:sz w:val="22"/>
        </w:rPr>
        <w:t>Figure 5. MCDM Composite Score Distribution Across 28 Dealers</w:t>
      </w:r>
      <w:r>
        <w:rPr>
          <w:rFonts w:ascii="Times New Roman" w:hAnsi="Times New Roman"/>
          <w:b w:val="0"/>
          <w:i w:val="0"/>
          <w:sz w:val="22"/>
        </w:rPr>
        <w:tab/>
        <w:t>23</w:t>
      </w:r>
    </w:p>
    <w:p>
      <w:pPr>
        <w:spacing w:before="20" w:after="20"/>
        <w:tabs>
          <w:tab w:val="right" w:leader="dot" w:pos="9072"/>
        </w:tabs>
      </w:pPr>
      <w:r>
        <w:rPr>
          <w:rFonts w:ascii="Times New Roman" w:hAnsi="Times New Roman"/>
          <w:b w:val="0"/>
          <w:i w:val="0"/>
          <w:sz w:val="22"/>
        </w:rPr>
        <w:t>Figure 6. January 2026 Allocation Results by Dealer</w:t>
      </w:r>
      <w:r>
        <w:rPr>
          <w:rFonts w:ascii="Times New Roman" w:hAnsi="Times New Roman"/>
          <w:b w:val="0"/>
          <w:i w:val="0"/>
          <w:sz w:val="22"/>
        </w:rPr>
        <w:tab/>
        <w:t>28</w:t>
      </w:r>
    </w:p>
    <w:p>
      <w:r>
        <w:br w:type="page"/>
      </w:r>
    </w:p>
    <w:p>
      <w:pPr>
        <w:spacing w:before="240" w:after="120"/>
        <w:jc w:val="left"/>
      </w:pPr>
      <w:r>
        <w:rPr>
          <w:rFonts w:ascii="Times New Roman" w:hAnsi="Times New Roman"/>
          <w:b/>
          <w:i w:val="0"/>
          <w:sz w:val="28"/>
        </w:rPr>
        <w:t>ABBREVIATIONS</w:t>
      </w:r>
    </w:p>
    <w:p>
      <w:pPr>
        <w:spacing w:before="20" w:after="20"/>
        <w:tabs>
          <w:tab w:val="left" w:pos="1440"/>
        </w:tabs>
      </w:pPr>
      <w:r>
        <w:rPr>
          <w:rFonts w:ascii="Times New Roman" w:hAnsi="Times New Roman"/>
          <w:b/>
          <w:i w:val="0"/>
          <w:sz w:val="22"/>
        </w:rPr>
        <w:t>CBC</w:t>
      </w:r>
      <w:r>
        <w:rPr>
          <w:rFonts w:ascii="Times New Roman" w:hAnsi="Times New Roman"/>
          <w:b w:val="0"/>
          <w:i w:val="0"/>
          <w:sz w:val="22"/>
        </w:rPr>
        <w:tab/>
        <w:t>COIN-OR Branch and Cut (open-source MIP solver)</w:t>
      </w:r>
    </w:p>
    <w:p>
      <w:pPr>
        <w:spacing w:before="20" w:after="20"/>
        <w:tabs>
          <w:tab w:val="left" w:pos="1440"/>
        </w:tabs>
      </w:pPr>
      <w:r>
        <w:rPr>
          <w:rFonts w:ascii="Times New Roman" w:hAnsi="Times New Roman"/>
          <w:b/>
          <w:i w:val="0"/>
          <w:sz w:val="22"/>
        </w:rPr>
        <w:t>EWMA</w:t>
      </w:r>
      <w:r>
        <w:rPr>
          <w:rFonts w:ascii="Times New Roman" w:hAnsi="Times New Roman"/>
          <w:b w:val="0"/>
          <w:i w:val="0"/>
          <w:sz w:val="22"/>
        </w:rPr>
        <w:tab/>
        <w:t>Exponentially Weighted Moving Average</w:t>
      </w:r>
    </w:p>
    <w:p>
      <w:pPr>
        <w:spacing w:before="20" w:after="20"/>
        <w:tabs>
          <w:tab w:val="left" w:pos="1440"/>
        </w:tabs>
      </w:pPr>
      <w:r>
        <w:rPr>
          <w:rFonts w:ascii="Times New Roman" w:hAnsi="Times New Roman"/>
          <w:b/>
          <w:i w:val="0"/>
          <w:sz w:val="22"/>
        </w:rPr>
        <w:t>KPI</w:t>
      </w:r>
      <w:r>
        <w:rPr>
          <w:rFonts w:ascii="Times New Roman" w:hAnsi="Times New Roman"/>
          <w:b w:val="0"/>
          <w:i w:val="0"/>
          <w:sz w:val="22"/>
        </w:rPr>
        <w:tab/>
        <w:t>Key Performance Indicator</w:t>
      </w:r>
    </w:p>
    <w:p>
      <w:pPr>
        <w:spacing w:before="20" w:after="20"/>
        <w:tabs>
          <w:tab w:val="left" w:pos="1440"/>
        </w:tabs>
      </w:pPr>
      <w:r>
        <w:rPr>
          <w:rFonts w:ascii="Times New Roman" w:hAnsi="Times New Roman"/>
          <w:b/>
          <w:i w:val="0"/>
          <w:sz w:val="22"/>
        </w:rPr>
        <w:t>LP</w:t>
      </w:r>
      <w:r>
        <w:rPr>
          <w:rFonts w:ascii="Times New Roman" w:hAnsi="Times New Roman"/>
          <w:b w:val="0"/>
          <w:i w:val="0"/>
          <w:sz w:val="22"/>
        </w:rPr>
        <w:tab/>
        <w:t>Location-Product Fit Score (also: Linear Program in context)</w:t>
      </w:r>
    </w:p>
    <w:p>
      <w:pPr>
        <w:spacing w:before="20" w:after="20"/>
        <w:tabs>
          <w:tab w:val="left" w:pos="1440"/>
        </w:tabs>
      </w:pPr>
      <w:r>
        <w:rPr>
          <w:rFonts w:ascii="Times New Roman" w:hAnsi="Times New Roman"/>
          <w:b/>
          <w:i w:val="0"/>
          <w:sz w:val="22"/>
        </w:rPr>
        <w:t>MAE</w:t>
      </w:r>
      <w:r>
        <w:rPr>
          <w:rFonts w:ascii="Times New Roman" w:hAnsi="Times New Roman"/>
          <w:b w:val="0"/>
          <w:i w:val="0"/>
          <w:sz w:val="22"/>
        </w:rPr>
        <w:tab/>
        <w:t>Mean Absolute Error</w:t>
      </w:r>
    </w:p>
    <w:p>
      <w:pPr>
        <w:spacing w:before="20" w:after="20"/>
        <w:tabs>
          <w:tab w:val="left" w:pos="1440"/>
        </w:tabs>
      </w:pPr>
      <w:r>
        <w:rPr>
          <w:rFonts w:ascii="Times New Roman" w:hAnsi="Times New Roman"/>
          <w:b/>
          <w:i w:val="0"/>
          <w:sz w:val="22"/>
        </w:rPr>
        <w:t>MCDM</w:t>
      </w:r>
      <w:r>
        <w:rPr>
          <w:rFonts w:ascii="Times New Roman" w:hAnsi="Times New Roman"/>
          <w:b w:val="0"/>
          <w:i w:val="0"/>
          <w:sz w:val="22"/>
        </w:rPr>
        <w:tab/>
        <w:t>Multi-Criteria Decision Making</w:t>
      </w:r>
    </w:p>
    <w:p>
      <w:pPr>
        <w:spacing w:before="20" w:after="20"/>
        <w:tabs>
          <w:tab w:val="left" w:pos="1440"/>
        </w:tabs>
      </w:pPr>
      <w:r>
        <w:rPr>
          <w:rFonts w:ascii="Times New Roman" w:hAnsi="Times New Roman"/>
          <w:b/>
          <w:i w:val="0"/>
          <w:sz w:val="22"/>
        </w:rPr>
        <w:t>MILP</w:t>
      </w:r>
      <w:r>
        <w:rPr>
          <w:rFonts w:ascii="Times New Roman" w:hAnsi="Times New Roman"/>
          <w:b w:val="0"/>
          <w:i w:val="0"/>
          <w:sz w:val="22"/>
        </w:rPr>
        <w:tab/>
        <w:t>Mixed-Integer Linear Programming</w:t>
      </w:r>
    </w:p>
    <w:p>
      <w:pPr>
        <w:spacing w:before="20" w:after="20"/>
        <w:tabs>
          <w:tab w:val="left" w:pos="1440"/>
        </w:tabs>
      </w:pPr>
      <w:r>
        <w:rPr>
          <w:rFonts w:ascii="Times New Roman" w:hAnsi="Times New Roman"/>
          <w:b/>
          <w:i w:val="0"/>
          <w:sz w:val="22"/>
        </w:rPr>
        <w:t>RMSE</w:t>
      </w:r>
      <w:r>
        <w:rPr>
          <w:rFonts w:ascii="Times New Roman" w:hAnsi="Times New Roman"/>
          <w:b w:val="0"/>
          <w:i w:val="0"/>
          <w:sz w:val="22"/>
        </w:rPr>
        <w:tab/>
        <w:t>Root Mean Square Error</w:t>
      </w:r>
    </w:p>
    <w:p>
      <w:pPr>
        <w:spacing w:before="20" w:after="20"/>
        <w:tabs>
          <w:tab w:val="left" w:pos="1440"/>
        </w:tabs>
      </w:pPr>
      <w:r>
        <w:rPr>
          <w:rFonts w:ascii="Times New Roman" w:hAnsi="Times New Roman"/>
          <w:b/>
          <w:i w:val="0"/>
          <w:sz w:val="22"/>
        </w:rPr>
        <w:t>SI</w:t>
      </w:r>
      <w:r>
        <w:rPr>
          <w:rFonts w:ascii="Times New Roman" w:hAnsi="Times New Roman"/>
          <w:b w:val="0"/>
          <w:i w:val="0"/>
          <w:sz w:val="22"/>
        </w:rPr>
        <w:tab/>
        <w:t>Seasonal Index</w:t>
      </w:r>
    </w:p>
    <w:p>
      <w:pPr>
        <w:spacing w:before="20" w:after="20"/>
        <w:tabs>
          <w:tab w:val="left" w:pos="1440"/>
        </w:tabs>
      </w:pPr>
      <w:r>
        <w:rPr>
          <w:rFonts w:ascii="Times New Roman" w:hAnsi="Times New Roman"/>
          <w:b/>
          <w:i w:val="0"/>
          <w:sz w:val="22"/>
        </w:rPr>
        <w:t>STL</w:t>
      </w:r>
      <w:r>
        <w:rPr>
          <w:rFonts w:ascii="Times New Roman" w:hAnsi="Times New Roman"/>
          <w:b w:val="0"/>
          <w:i w:val="0"/>
          <w:sz w:val="22"/>
        </w:rPr>
        <w:tab/>
        <w:t>Seasonal-Trend decomposition using Loess</w:t>
      </w:r>
    </w:p>
    <w:p>
      <w:pPr>
        <w:spacing w:before="20" w:after="20"/>
        <w:tabs>
          <w:tab w:val="left" w:pos="1440"/>
        </w:tabs>
      </w:pPr>
      <w:r>
        <w:rPr>
          <w:rFonts w:ascii="Times New Roman" w:hAnsi="Times New Roman"/>
          <w:b/>
          <w:i w:val="0"/>
          <w:sz w:val="22"/>
        </w:rPr>
        <w:t>SUV</w:t>
      </w:r>
      <w:r>
        <w:rPr>
          <w:rFonts w:ascii="Times New Roman" w:hAnsi="Times New Roman"/>
          <w:b w:val="0"/>
          <w:i w:val="0"/>
          <w:sz w:val="22"/>
        </w:rPr>
        <w:tab/>
        <w:t>Sport Utility Vehicle</w:t>
      </w:r>
    </w:p>
    <w:p>
      <w:pPr>
        <w:spacing w:before="20" w:after="20"/>
        <w:tabs>
          <w:tab w:val="left" w:pos="1440"/>
        </w:tabs>
      </w:pPr>
      <w:r>
        <w:rPr>
          <w:rFonts w:ascii="Times New Roman" w:hAnsi="Times New Roman"/>
          <w:b/>
          <w:i w:val="0"/>
          <w:sz w:val="22"/>
        </w:rPr>
        <w:t>TÜİK</w:t>
      </w:r>
      <w:r>
        <w:rPr>
          <w:rFonts w:ascii="Times New Roman" w:hAnsi="Times New Roman"/>
          <w:b w:val="0"/>
          <w:i w:val="0"/>
          <w:sz w:val="22"/>
        </w:rPr>
        <w:tab/>
        <w:t>Türkiye İstatistik Kurumu (Turkish Statistical Institute)</w:t>
      </w:r>
    </w:p>
    <w:p>
      <w:pPr>
        <w:spacing w:before="20" w:after="20"/>
        <w:tabs>
          <w:tab w:val="left" w:pos="1440"/>
        </w:tabs>
      </w:pPr>
      <w:r>
        <w:rPr>
          <w:rFonts w:ascii="Times New Roman" w:hAnsi="Times New Roman"/>
          <w:b/>
          <w:i w:val="0"/>
          <w:sz w:val="22"/>
        </w:rPr>
        <w:t>VAP</w:t>
      </w:r>
      <w:r>
        <w:rPr>
          <w:rFonts w:ascii="Times New Roman" w:hAnsi="Times New Roman"/>
          <w:b w:val="0"/>
          <w:i w:val="0"/>
          <w:sz w:val="22"/>
        </w:rPr>
        <w:tab/>
        <w:t>Vehicle Allocation Problem</w:t>
      </w:r>
    </w:p>
    <w:p>
      <w:pPr>
        <w:spacing w:before="20" w:after="20"/>
        <w:tabs>
          <w:tab w:val="left" w:pos="1440"/>
        </w:tabs>
      </w:pPr>
      <w:r>
        <w:rPr>
          <w:rFonts w:ascii="Times New Roman" w:hAnsi="Times New Roman"/>
          <w:b/>
          <w:i w:val="0"/>
          <w:sz w:val="22"/>
        </w:rPr>
        <w:t>YTD</w:t>
      </w:r>
      <w:r>
        <w:rPr>
          <w:rFonts w:ascii="Times New Roman" w:hAnsi="Times New Roman"/>
          <w:b w:val="0"/>
          <w:i w:val="0"/>
          <w:sz w:val="22"/>
        </w:rPr>
        <w:tab/>
        <w:t>Year-to-Date</w:t>
      </w:r>
    </w:p>
    <w:p>
      <w:r>
        <w:br w:type="page"/>
      </w:r>
    </w:p>
    <w:p>
      <w:r>
        <w:br w:type="page"/>
      </w:r>
    </w:p>
    <w:p>
      <w:pPr>
        <w:pStyle w:val="Heading1"/>
      </w:pPr>
      <w:r>
        <w:t>1. INTRODUCTION</w:t>
      </w:r>
    </w:p>
    <w:p>
      <w:pPr>
        <w:pStyle w:val="Heading2"/>
      </w:pPr>
      <w:r>
        <w:t>1.1 Motivation and Problem Statement</w:t>
      </w:r>
    </w:p>
    <w:p>
      <w:pPr>
        <w:spacing w:after="120"/>
      </w:pPr>
      <w:r>
        <w:rPr>
          <w:b w:val="0"/>
          <w:i w:val="0"/>
        </w:rPr>
        <w:t>The Turkish automotive market ranks among the largest in Europe by registered vehicle volume, with 17,373,581 registered automobiles as of December 2025 (TÜİK, 2026). Within this competitive environment, Sport Utility Vehicle (SUV) manufacturers distribute monthly inventory allocations to their dealer networks under strict supply constraints. The central challenge — allocating a limited number of vehicles across geographically dispersed dealerships with heterogeneous sales profiles, seasonal demand patterns, and year-to-date performance gaps — constitutes the Vehicle Allocation Problem (VAP), a well-studied but practically underserved area of operations research.</w:t>
      </w:r>
    </w:p>
    <w:p>
      <w:pPr>
        <w:spacing w:after="120"/>
      </w:pPr>
      <w:r>
        <w:rPr>
          <w:b w:val="0"/>
          <w:i w:val="0"/>
        </w:rPr>
        <w:t>In the absence of a systematic decision-support system, allocation decisions are typically made by regional sales managers relying on intuition, historical averages, and dealer lobbying. This approach produces three recurring failure modes: (i) over-allocation to high-volume dealers that have already met their annual targets, (ii) under-allocation to newly opened or high-potential dealers in emerging markets, and (iii) mismatch between the color/version composition of delivered vehicles and each dealer's local customer preferences. These inefficiencies reduce total brand revenue, generate dealer dissatisfaction, and create end-customer stockouts for sought-after configurations.</w:t>
      </w:r>
    </w:p>
    <w:p>
      <w:pPr>
        <w:spacing w:after="120"/>
      </w:pPr>
      <w:r>
        <w:rPr>
          <w:b w:val="0"/>
          <w:i w:val="0"/>
        </w:rPr>
        <w:t>This thesis designs, implements, and deploys a three-layer decision-support system that automates the monthly vehicle allocation process for a SUV brand operating through 22–28 authorized dealerships across Turkey. The system integrates time-series demand forecasting, multi-criteria dealer scoring, and Mixed-Integer Linear Programming (MILP) optimization into a single pipeline exposed through an interactive Streamlit dashboard. The January 2026 case study demonstrates that 603 vehicles can be optimally allocated to 22 active dealers in under 0.3 seconds, directing scarce inventory toward high-composite-score dealers while enforcing ±20% quota bounds.</w:t>
      </w:r>
    </w:p>
    <w:p>
      <w:pPr>
        <w:pStyle w:val="Heading2"/>
      </w:pPr>
      <w:r>
        <w:t>1.2 Research Objectives</w:t>
      </w:r>
    </w:p>
    <w:p>
      <w:pPr>
        <w:spacing w:after="120"/>
      </w:pPr>
      <w:r>
        <w:rPr>
          <w:b w:val="0"/>
          <w:i w:val="0"/>
        </w:rPr>
        <w:t>This thesis pursues four interrelated research objectives:</w:t>
      </w:r>
    </w:p>
    <w:p>
      <w:pPr>
        <w:pStyle w:val="ListBullet"/>
        <w:ind w:left="567"/>
      </w:pPr>
      <w:r>
        <w:t>RO1: Design and validate a seasonal demand forecasting pipeline combining STL decomposition, Prophet-based market projection, and EWMA smoothing for dealer-level monthly demand estimation.</w:t>
      </w:r>
    </w:p>
    <w:p>
      <w:pPr>
        <w:pStyle w:val="ListBullet"/>
        <w:ind w:left="567"/>
      </w:pPr>
      <w:r>
        <w:t>RO2: Develop an MCDM scoring framework that integrates performance history, location-product fit (via cosine similarity), seasonal alignment, and target proximity into a single composite score.</w:t>
      </w:r>
    </w:p>
    <w:p>
      <w:pPr>
        <w:pStyle w:val="ListBullet"/>
        <w:ind w:left="567"/>
      </w:pPr>
      <w:r>
        <w:t>RO3: Formulate and solve the monthly vehicle allocation problem as a MILP, demonstrating practical solvability with open-source tools (PuLP + CBC solver) on real-scale instances.</w:t>
      </w:r>
    </w:p>
    <w:p>
      <w:pPr>
        <w:pStyle w:val="ListBullet"/>
        <w:ind w:left="567"/>
      </w:pPr>
      <w:r>
        <w:t>RO4: Deploy the integrated system as a Streamlit dashboard accessible to business users without programming knowledge, with real-time scenario analysis and anonymized demo mode.</w:t>
      </w:r>
    </w:p>
    <w:p>
      <w:pPr>
        <w:pStyle w:val="Heading2"/>
      </w:pPr>
      <w:r>
        <w:t>1.3 Scope and Limitations</w:t>
      </w:r>
    </w:p>
    <w:p>
      <w:pPr>
        <w:spacing w:after="120"/>
      </w:pPr>
      <w:r>
        <w:rPr>
          <w:b w:val="0"/>
          <w:i w:val="0"/>
        </w:rPr>
        <w:t>The system is designed specifically for the SUV portfolio of a single automotive brand operating in Turkey. The following constraints define the scope:</w:t>
      </w:r>
    </w:p>
    <w:p>
      <w:pPr>
        <w:pStyle w:val="ListBullet"/>
        <w:ind w:left="567"/>
      </w:pPr>
      <w:r>
        <w:t>The planning horizon is monthly; intra-month reallocation is out of scope.</w:t>
      </w:r>
    </w:p>
    <w:p>
      <w:pPr>
        <w:pStyle w:val="ListBullet"/>
        <w:ind w:left="567"/>
      </w:pPr>
      <w:r>
        <w:t>Dealer stock capacity constraints are omitted because monthly throughput remains well below 1,000 units per dealer.</w:t>
      </w:r>
    </w:p>
    <w:p>
      <w:pPr>
        <w:pStyle w:val="ListBullet"/>
        <w:ind w:left="567"/>
      </w:pPr>
      <w:r>
        <w:t>Engine type, transmission, and fuel variant distinctions are not modelled; all vehicles are classified by model (A1, A2, A3, B1), version (V01, V02), and color.</w:t>
      </w:r>
    </w:p>
    <w:p>
      <w:pPr>
        <w:pStyle w:val="ListBullet"/>
        <w:ind w:left="567"/>
      </w:pPr>
      <w:r>
        <w:t>The MILP assumes composite score independence from allocation quantity (linear objective).</w:t>
      </w:r>
    </w:p>
    <w:p>
      <w:pPr>
        <w:pStyle w:val="ListBullet"/>
        <w:ind w:left="567"/>
      </w:pPr>
      <w:r>
        <w:t>Geographic catchment for quota computation uses province-level automobile stock from TÜİK December 2025; intra-province competition is not modelled.</w:t>
      </w:r>
    </w:p>
    <w:p>
      <w:pPr>
        <w:pStyle w:val="ListBullet"/>
        <w:ind w:left="567"/>
      </w:pPr>
      <w:r>
        <w:t>The system covers only Dealers 1–28; dealer entry/exit is handled by the Bayi-Aktiflik-Durumu.csv activity file.</w:t>
      </w:r>
    </w:p>
    <w:p>
      <w:pPr>
        <w:pStyle w:val="Heading2"/>
      </w:pPr>
      <w:r>
        <w:t>1.4 Thesis Organization</w:t>
      </w:r>
    </w:p>
    <w:p>
      <w:pPr>
        <w:spacing w:after="120"/>
      </w:pPr>
      <w:r>
        <w:rPr>
          <w:b w:val="0"/>
          <w:i w:val="0"/>
        </w:rPr>
        <w:t>Chapter 2 reviews the relevant literature on the Vehicle Allocation Problem, automotive demand forecasting, MCDM methods, assortment optimization, and MILP solvers. Chapter 3 describes the three-layer system architecture and data sources. Chapters 4–6 detail each layer. Chapter 7 presents the January 2026 case study. Chapter 8 documents the Streamlit dashboard deployment. Chapter 9 concludes with contributions, limitations, and future directions.</w:t>
      </w:r>
    </w:p>
    <w:p>
      <w:r>
        <w:br w:type="page"/>
      </w:r>
    </w:p>
    <w:p>
      <w:pPr>
        <w:pStyle w:val="Heading1"/>
      </w:pPr>
      <w:r>
        <w:t>2. LITERATURE REVIEW</w:t>
      </w:r>
    </w:p>
    <w:p>
      <w:pPr>
        <w:pStyle w:val="Heading2"/>
      </w:pPr>
      <w:r>
        <w:t>2.1 Vehicle Allocation Problem</w:t>
      </w:r>
    </w:p>
    <w:p>
      <w:pPr>
        <w:spacing w:after="120"/>
      </w:pPr>
      <w:r>
        <w:rPr>
          <w:b w:val="0"/>
          <w:i w:val="0"/>
        </w:rPr>
        <w:t>The Vehicle Allocation Problem (VAP) is defined in the operations research literature as the assignment of heterogeneous vehicles from one or more supply depots to a set of geographically distributed demand points, subject to supply, demand, and operational constraints. Powell (1996) formalized the dynamic VAP as a stochastic integer program and showed that myopic policies — which ignore future uncertainty — can be significantly suboptimal over multi-period horizons.</w:t>
      </w:r>
    </w:p>
    <w:p>
      <w:pPr>
        <w:spacing w:after="120"/>
      </w:pPr>
      <w:r>
        <w:rPr>
          <w:b w:val="0"/>
          <w:i w:val="0"/>
        </w:rPr>
        <w:t>Şahin and Kılıç (2022) provide the most direct precedent for this work, presenting an alternative MILP formulation for the VAP with branch-and-price solution methods that scale to hundreds of vehicles and dozens of delivery points. Their formulation directly inspired the quota-bound constraints used in Layer 3 of the present system. Toth and Vigo (2002) survey vehicle routing and distribution problems more broadly; their treatment of capacity constraints and objective function design informed the decision to separate A-group and B-group allocations into independent MILP instances.</w:t>
      </w:r>
    </w:p>
    <w:p>
      <w:pPr>
        <w:spacing w:after="120"/>
      </w:pPr>
      <w:r>
        <w:rPr>
          <w:b w:val="0"/>
          <w:i w:val="0"/>
        </w:rPr>
        <w:t>The present work differs from classical VAP literature in two important respects: (i) vehicle heterogeneity is captured not at the routing level but at the model-version-color variant level, requiring an assortment dimension absent from most VAP formulations; and (ii) the allocation objective is not cost minimization but composite-score maximization, reflecting the brand's strategic priorities rather than pure logistics efficiency.</w:t>
      </w:r>
    </w:p>
    <w:p>
      <w:pPr>
        <w:pStyle w:val="Heading2"/>
      </w:pPr>
      <w:r>
        <w:t>2.2 Time Series Forecasting in Automotive Contexts</w:t>
      </w:r>
    </w:p>
    <w:p>
      <w:pPr>
        <w:spacing w:after="120"/>
      </w:pPr>
      <w:r>
        <w:rPr>
          <w:b w:val="0"/>
          <w:i w:val="0"/>
        </w:rPr>
        <w:t>Accurate demand forecasting is a prerequisite for meaningful allocation. In the automotive context, monthly sales exhibit strong seasonality driven by model-year transitions, tax incentives, and consumer registration behavior. Cleveland et al. (1990) introduced STL decomposition as a robust, non-parametric method for separating trend, seasonal, and residual components from time-series data. STL is particularly well suited to short retail sales series because its Loess smoother tolerates outliers and irregular spacing without distributional assumptions.</w:t>
      </w:r>
    </w:p>
    <w:p>
      <w:pPr>
        <w:spacing w:after="120"/>
      </w:pPr>
      <w:r>
        <w:rPr>
          <w:b w:val="0"/>
          <w:i w:val="0"/>
        </w:rPr>
        <w:t>Taylor and Letham (2018) describe the Prophet model — an additive decomposition framework incorporating piecewise linear trend, Fourier-series seasonality, and holiday effects. Prophet's interpretable parameterization and robustness to missing data make it attractive for annual market-level forecasts where macroeconomic shocks can cause structural breaks.</w:t>
      </w:r>
    </w:p>
    <w:p>
      <w:pPr>
        <w:spacing w:after="120"/>
      </w:pPr>
      <w:r>
        <w:rPr>
          <w:b w:val="0"/>
          <w:i w:val="0"/>
        </w:rPr>
        <w:t>Wickramasuriya et al. (2019) review hierarchical time series forecasting methods relevant to this work: the system must produce estimates at both the total-brand level (for inventory budgeting) and the dealer level (for quota computation). The MinT reconciliation approach they describe is a natural direction for future work. The EWMA smoothing parameter selection protocol in this thesis follows the cross-validation framework recommended by Crowder (1989), adapted for cross-year consistency rather than single-period accuracy.</w:t>
      </w:r>
    </w:p>
    <w:p>
      <w:pPr>
        <w:pStyle w:val="Heading2"/>
      </w:pPr>
      <w:r>
        <w:t>2.3 Multi-Criteria Decision Making in Inventory Allocation</w:t>
      </w:r>
    </w:p>
    <w:p>
      <w:pPr>
        <w:spacing w:after="120"/>
      </w:pPr>
      <w:r>
        <w:rPr>
          <w:b w:val="0"/>
          <w:i w:val="0"/>
        </w:rPr>
        <w:t>Multi-Criteria Decision Making (MCDM) provides structured frameworks for ranking alternatives when no single criterion dominates. Hwang and Yoon (1981) introduced TOPSIS (Technique for Order Preference by Similarity to Ideal Solution), the most widely cited MCDM method. The present work uses Simple Additive Weighting (SAW), a computationally simpler approach justified by the need to embed scores directly into a MILP objective function — SAW scores are linear in the criteria values, whereas TOPSIS scores are not.</w:t>
      </w:r>
    </w:p>
    <w:p>
      <w:pPr>
        <w:spacing w:after="120"/>
      </w:pPr>
      <w:r>
        <w:rPr>
          <w:b w:val="0"/>
          <w:i w:val="0"/>
        </w:rPr>
        <w:t>The four criteria — P, LP, S, H — and their weights (0.25, 0.35, 0.20, 0.20) were determined through structured elicitation from the brand's regional sales director and two district managers. The dominance of the LP weight (0.35) reflects the practical insight that placing the wrong product variant at a dealer generates returns, swap costs, and customer dissatisfaction that outweigh short-term volume gains from purely performance-driven allocation.</w:t>
      </w:r>
    </w:p>
    <w:p>
      <w:pPr>
        <w:pStyle w:val="Heading2"/>
      </w:pPr>
      <w:r>
        <w:t>2.4 Assortment Optimization and Collaborative Filtering</w:t>
      </w:r>
    </w:p>
    <w:p>
      <w:pPr>
        <w:spacing w:after="120"/>
      </w:pPr>
      <w:r>
        <w:rPr>
          <w:b w:val="0"/>
          <w:i w:val="0"/>
        </w:rPr>
        <w:t>The Location-Product Fit score (LP) is computed using cosine similarity between the dealer's historical color/version sales vector and the current depot inventory vector. This approach draws directly from item-item collaborative filtering as described by Koren et al. (2009) in the context of recommendation systems. In the vehicle allocation setting, the "item" is a (model, version, color) triplet, and the "user" is a dealer whose historical purchases reveal latent local customer preferences.</w:t>
      </w:r>
    </w:p>
    <w:p>
      <w:pPr>
        <w:spacing w:after="120"/>
      </w:pPr>
      <w:r>
        <w:rPr>
          <w:b w:val="0"/>
          <w:i w:val="0"/>
        </w:rPr>
        <w:t>Kok et al. (2008) review assortment optimization — the problem of selecting which product variants to stock at each location — and show that demand substitution effects create interdependencies that pure cosine similarity ignores. Rendle (2010) describes factorization machines as a generalization that can capture such interactions; adapting this approach to the LP score is identified as a direction for future work in Chapter 9.</w:t>
      </w:r>
    </w:p>
    <w:p>
      <w:pPr>
        <w:pStyle w:val="Heading2"/>
      </w:pPr>
      <w:r>
        <w:t>2.5 Mixed-Integer Linear Programming for Distribution</w:t>
      </w:r>
    </w:p>
    <w:p>
      <w:pPr>
        <w:spacing w:after="120"/>
      </w:pPr>
      <w:r>
        <w:rPr>
          <w:b w:val="0"/>
          <w:i w:val="0"/>
        </w:rPr>
        <w:t>Mixed-Integer Linear Programming extends linear programming by requiring some decision variables to take integer values. Dantzig (1963) established the foundational theory; modern branch-and-cut algorithms implemented in open-source solvers such as CBC (COIN-OR Branch and Cut) routinely solve instances with thousands of integer variables to global optimality in seconds.</w:t>
      </w:r>
    </w:p>
    <w:p>
      <w:pPr>
        <w:spacing w:after="120"/>
      </w:pPr>
      <w:r>
        <w:rPr>
          <w:b w:val="0"/>
          <w:i w:val="0"/>
        </w:rPr>
        <w:t>PuLP is a Python linear programming modeler that provides a high-level API mirroring the mathematical notation of LP formulations. Its tight integration with CBC — used without license restrictions in commercial and academic settings — makes it the natural choice for a cloud-deployed system where solver licensing costs must be zero. The January 2026 instance (88 integer variables, 92 constraints) is solved in under 0.3 seconds, confirming that the VAP instances encountered in this application are trivially tractable for modern MILP solvers.</w:t>
      </w:r>
    </w:p>
    <w:p>
      <w:r>
        <w:br w:type="page"/>
      </w:r>
    </w:p>
    <w:p>
      <w:pPr>
        <w:pStyle w:val="Heading1"/>
      </w:pPr>
      <w:r>
        <w:t>3. SYSTEM ARCHITECTURE AND DATA</w:t>
      </w:r>
    </w:p>
    <w:p>
      <w:pPr>
        <w:pStyle w:val="Heading2"/>
      </w:pPr>
      <w:r>
        <w:t>3.1 Overall Three-Layer Architecture</w:t>
      </w:r>
    </w:p>
    <w:p>
      <w:pPr>
        <w:spacing w:after="120"/>
      </w:pPr>
      <w:r>
        <w:rPr>
          <w:b w:val="0"/>
          <w:i w:val="0"/>
        </w:rPr>
        <w:t>The decision-support system is organized into three computationally and conceptually distinct layers implemented as Python modules in a GitHub repository. Data flows from raw CSV files through Layers 1–3 and is surfaced to end users through the Streamlit dashboard. Figure 1 illustrates the full architecture.</w:t>
      </w:r>
    </w:p>
    <w:p>
      <w:pPr>
        <w:jc w:val="center"/>
      </w:pPr>
      <w:r>
        <w:drawing>
          <wp:inline xmlns:a="http://schemas.openxmlformats.org/drawingml/2006/main" xmlns:pic="http://schemas.openxmlformats.org/drawingml/2006/picture">
            <wp:extent cx="5486400" cy="318119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486400" cy="3181190"/>
                    </a:xfrm>
                    <a:prstGeom prst="rect"/>
                  </pic:spPr>
                </pic:pic>
              </a:graphicData>
            </a:graphic>
          </wp:inline>
        </w:drawing>
      </w:r>
    </w:p>
    <w:p>
      <w:pPr>
        <w:spacing w:after="240"/>
        <w:jc w:val="center"/>
      </w:pPr>
      <w:r>
        <w:rPr>
          <w:b/>
          <w:sz w:val="20"/>
        </w:rPr>
        <w:t>Figure 1. Three-Layer Decision Support System Architecture</w:t>
      </w:r>
    </w:p>
    <w:p>
      <w:pPr>
        <w:spacing w:after="120"/>
      </w:pPr>
      <w:r>
        <w:t xml:space="preserve">Layer 1 (Demand Forecasting) ingests 24 months of historical sales data and produces: (a) monthly seasonal indices </w:t>
      </w:r>
      <m:oMath>
        <m:sSub>
          <m:sSubPr>
            <m:ctrlPr/>
          </m:sSubPr>
          <m:e>
            <m:r>
              <m:rPr>
                <m:sty m:val="i"/>
              </m:rPr>
              <m:t>SI</m:t>
            </m:r>
          </m:e>
          <m:sub>
            <m:r>
              <m:rPr>
                <m:sty m:val="i"/>
              </m:rPr>
              <m:t>m</m:t>
            </m:r>
          </m:sub>
        </m:sSub>
      </m:oMath>
      <w:r>
        <w:t xml:space="preserve"> for each model group, and (b) annual brand-level demand projection for 2026. Layer 2 (MCDM Scoring) combines seasonal indices with 2025 performance records and current inventory to compute a composite score </w:t>
      </w:r>
      <m:oMath>
        <m:sSub>
          <m:sSubPr>
            <m:ctrlPr/>
          </m:sSubPr>
          <m:e>
            <m:r>
              <m:rPr>
                <m:sty m:val="i"/>
              </m:rPr>
              <m:t>C</m:t>
            </m:r>
          </m:e>
          <m:sub>
            <m:r>
              <m:rPr>
                <m:sty m:val="i"/>
              </m:rPr>
              <m:t>d</m:t>
            </m:r>
          </m:sub>
        </m:sSub>
        <m:r>
          <m:rPr>
            <m:sty m:val="p"/>
          </m:rPr>
          <m:t> ∈ [0, 1]</m:t>
        </m:r>
      </m:oMath>
      <w:r>
        <w:t xml:space="preserve"> for each dealer. Layer 3 (MILP Allocation) maximizes </w:t>
      </w:r>
      <m:oMath>
        <m:r>
          <m:rPr>
            <m:sty m:val="p"/>
          </m:rPr>
          <m:t>Σ </m:t>
        </m:r>
        <m:sSub>
          <m:sSubPr>
            <m:ctrlPr/>
          </m:sSubPr>
          <m:e>
            <m:r>
              <m:rPr>
                <m:sty m:val="i"/>
              </m:rPr>
              <m:t>C</m:t>
            </m:r>
          </m:e>
          <m:sub>
            <m:r>
              <m:rPr>
                <m:sty m:val="i"/>
              </m:rPr>
              <m:t>d</m:t>
            </m:r>
          </m:sub>
        </m:sSub>
        <m:r>
          <m:rPr>
            <m:sty m:val="p"/>
          </m:rPr>
          <m:t> · </m:t>
        </m:r>
        <m:r>
          <m:rPr>
            <m:sty m:val="i"/>
          </m:rPr>
          <m:t>x[v][d]</m:t>
        </m:r>
      </m:oMath>
      <w:r>
        <w:t xml:space="preserve"> subject to inventory availability and quota bound constraints, producing the monthly allocation matrix </w:t>
      </w:r>
      <m:oMath>
        <m:r>
          <m:rPr>
            <m:sty m:val="i"/>
          </m:rPr>
          <m:t>x[v][d]</m:t>
        </m:r>
      </m:oMath>
      <w:r>
        <w:t>.</w:t>
      </w:r>
    </w:p>
    <w:p>
      <w:pPr>
        <w:spacing w:after="120"/>
      </w:pPr>
      <w:r>
        <w:rPr>
          <w:b w:val="0"/>
          <w:i w:val="0"/>
        </w:rPr>
        <w:t>All modules are cloud-native: paths use Python's pathlib.Path with repository-relative references, data files are UTF-8 encoded CSVs committed to the repository, and the dashboard is deployed on Streamlit Cloud reading from the main branch. GitHub Actions CI runs pytest and ruff on every pull request. A secrets.toml file controls DEMO_MODE, which replaces real dealer identifiers with anonymized labels (Bayi 01 – Bayi 28) for public-facing presentations.</w:t>
      </w:r>
    </w:p>
    <w:p>
      <w:pPr>
        <w:pStyle w:val="Heading2"/>
      </w:pPr>
      <w:r>
        <w:t>3.2 Data Sources and Preprocessing</w:t>
      </w:r>
    </w:p>
    <w:p>
      <w:pPr>
        <w:spacing w:after="120"/>
      </w:pPr>
      <w:r>
        <w:rPr>
          <w:b w:val="0"/>
          <w:i w:val="0"/>
        </w:rPr>
        <w:t>Six primary CSV data files constitute the system's input layer:</w:t>
      </w:r>
    </w:p>
    <w:p>
      <w:pPr>
        <w:pStyle w:val="ListBullet"/>
        <w:ind w:left="567"/>
      </w:pPr>
      <w:r>
        <w:t>sales_2024_2025.csv — Chassis-level sales transactions (January 2024 – December 2025). Each row: dealer, model, version, color, sale date. Used for STL decomposition and LP score vector construction.</w:t>
      </w:r>
    </w:p>
    <w:p>
      <w:pPr>
        <w:pStyle w:val="ListBullet"/>
        <w:ind w:left="567"/>
      </w:pPr>
      <w:r>
        <w:t>dealer_targets_2026.csv — Annual and monthly dealer targets for 2026 expressed in vehicle units. Used to derive quota bounds in the MILP.</w:t>
      </w:r>
    </w:p>
    <w:p>
      <w:pPr>
        <w:pStyle w:val="ListBullet"/>
        <w:ind w:left="567"/>
      </w:pPr>
      <w:r>
        <w:t>dealer_locations.csv — Geographic attributes: province (il), district (ilçe), latitude, longitude. Used for catchment market share calculation.</w:t>
      </w:r>
    </w:p>
    <w:p>
      <w:pPr>
        <w:pStyle w:val="ListBullet"/>
        <w:ind w:left="567"/>
      </w:pPr>
      <w:r>
        <w:t>monthly_performance_2025.csv — Monthly target, actual sales, and achievement percentage per dealer for 2025. Primary input for P score computation.</w:t>
      </w:r>
    </w:p>
    <w:p>
      <w:pPr>
        <w:pStyle w:val="ListBullet"/>
        <w:ind w:left="567"/>
      </w:pPr>
      <w:r>
        <w:t>competitor_sales.csv — Provincial market share data for competing brands. Used for context in the pazar_kapasitesi analysis.</w:t>
      </w:r>
    </w:p>
    <w:p>
      <w:pPr>
        <w:pStyle w:val="ListBullet"/>
        <w:ind w:left="567"/>
      </w:pPr>
      <w:r>
        <w:t>inventory_2026_01.csv — Chassis-level central depot inventory for January 2026: 603 vehicles across four active model-version groups (A1V01, A2V02, A3V02, B1V01).</w:t>
      </w:r>
    </w:p>
    <w:p>
      <w:pPr>
        <w:spacing w:after="120"/>
      </w:pPr>
      <w:r>
        <w:rPr>
          <w:b w:val="0"/>
          <w:i w:val="0"/>
        </w:rPr>
        <w:t>Preprocessing steps: (a) deduplication of chassis records; (b) UTF-8 normalization of Turkish characters — specifically, İ→i and I→i before lowercasing to avoid Python's locale-dependent str.lower() producing incorrect results for İzmir (İ.lower() returns "i̇", a two-character sequence); (c) date parsing to pandas Period objects with monthly frequency; (d) province name normalization for joining dealer_locations with TÜİK provincial data.</w:t>
      </w:r>
    </w:p>
    <w:p>
      <w:pPr>
        <w:pStyle w:val="Heading2"/>
      </w:pPr>
      <w:r>
        <w:t>3.3 Vehicle Portfolio and Market Structure</w:t>
      </w:r>
    </w:p>
    <w:p>
      <w:pPr>
        <w:spacing w:after="120"/>
      </w:pPr>
      <w:r>
        <w:rPr>
          <w:b w:val="0"/>
          <w:i w:val="0"/>
        </w:rPr>
        <w:t>The brand's portfolio in January 2026 consists of four active model-version groups, all in the SUV segment:</w:t>
      </w:r>
    </w:p>
    <w:p>
      <w:pPr>
        <w:spacing w:after="80"/>
        <w:jc w:val="center"/>
      </w:pPr>
      <w:r>
        <w:rPr>
          <w:b/>
          <w:sz w:val="20"/>
        </w:rPr>
        <w:t>Table 0. January 2026 Active Vehicle Portfolio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6E4F0"/>
          </w:tcPr>
          <w:p>
            <w:pPr>
              <w:jc w:val="center"/>
            </w:pPr>
            <w:r/>
            <w:r>
              <w:rPr>
                <w:b/>
                <w:sz w:val="18"/>
              </w:rPr>
              <w:t>Model-Version</w:t>
            </w:r>
          </w:p>
        </w:tc>
        <w:tc>
          <w:tcPr>
            <w:tcW w:type="dxa" w:w="1881"/>
            <w:shd w:val="clear" w:color="auto" w:fill="D6E4F0"/>
          </w:tcPr>
          <w:p>
            <w:pPr>
              <w:jc w:val="center"/>
            </w:pPr>
            <w:r/>
            <w:r>
              <w:rPr>
                <w:b/>
                <w:sz w:val="18"/>
              </w:rPr>
              <w:t>Chassis Prefix</w:t>
            </w:r>
          </w:p>
        </w:tc>
        <w:tc>
          <w:tcPr>
            <w:tcW w:type="dxa" w:w="1881"/>
            <w:shd w:val="clear" w:color="auto" w:fill="D6E4F0"/>
          </w:tcPr>
          <w:p>
            <w:pPr>
              <w:jc w:val="center"/>
            </w:pPr>
            <w:r/>
            <w:r>
              <w:rPr>
                <w:b/>
                <w:sz w:val="18"/>
              </w:rPr>
              <w:t>Segment</w:t>
            </w:r>
          </w:p>
        </w:tc>
        <w:tc>
          <w:tcPr>
            <w:tcW w:type="dxa" w:w="1881"/>
            <w:shd w:val="clear" w:color="auto" w:fill="D6E4F0"/>
          </w:tcPr>
          <w:p>
            <w:pPr>
              <w:jc w:val="center"/>
            </w:pPr>
            <w:r/>
            <w:r>
              <w:rPr>
                <w:b/>
                <w:sz w:val="18"/>
              </w:rPr>
              <w:t>January Inventory</w:t>
            </w:r>
          </w:p>
        </w:tc>
        <w:tc>
          <w:tcPr>
            <w:tcW w:type="dxa" w:w="1881"/>
            <w:shd w:val="clear" w:color="auto" w:fill="D6E4F0"/>
          </w:tcPr>
          <w:p>
            <w:pPr>
              <w:jc w:val="center"/>
            </w:pPr>
            <w:r/>
            <w:r>
              <w:rPr>
                <w:b/>
                <w:sz w:val="18"/>
              </w:rPr>
              <w:t>Market Launch</w:t>
            </w:r>
          </w:p>
        </w:tc>
      </w:tr>
      <w:tr>
        <w:tc>
          <w:tcPr>
            <w:tcW w:type="dxa" w:w="1881"/>
          </w:tcPr>
          <w:p>
            <w:r/>
            <w:r>
              <w:rPr>
                <w:b w:val="0"/>
                <w:sz w:val="18"/>
              </w:rPr>
              <w:t>A1V01</w:t>
            </w:r>
          </w:p>
        </w:tc>
        <w:tc>
          <w:tcPr>
            <w:tcW w:type="dxa" w:w="1881"/>
          </w:tcPr>
          <w:p>
            <w:pPr>
              <w:jc w:val="center"/>
            </w:pPr>
            <w:r/>
            <w:r>
              <w:rPr>
                <w:b w:val="0"/>
                <w:sz w:val="18"/>
              </w:rPr>
              <w:t>A1V01MY26K5</w:t>
            </w:r>
          </w:p>
        </w:tc>
        <w:tc>
          <w:tcPr>
            <w:tcW w:type="dxa" w:w="1881"/>
          </w:tcPr>
          <w:p>
            <w:pPr>
              <w:jc w:val="center"/>
            </w:pPr>
            <w:r/>
            <w:r>
              <w:rPr>
                <w:b w:val="0"/>
                <w:sz w:val="18"/>
              </w:rPr>
              <w:t>Compact SUV</w:t>
            </w:r>
          </w:p>
        </w:tc>
        <w:tc>
          <w:tcPr>
            <w:tcW w:type="dxa" w:w="1881"/>
          </w:tcPr>
          <w:p>
            <w:pPr>
              <w:jc w:val="center"/>
            </w:pPr>
            <w:r/>
            <w:r>
              <w:rPr>
                <w:b w:val="0"/>
                <w:sz w:val="18"/>
              </w:rPr>
              <w:t>42 units</w:t>
            </w:r>
          </w:p>
        </w:tc>
        <w:tc>
          <w:tcPr>
            <w:tcW w:type="dxa" w:w="1881"/>
          </w:tcPr>
          <w:p>
            <w:pPr>
              <w:jc w:val="center"/>
            </w:pPr>
            <w:r/>
            <w:r>
              <w:rPr>
                <w:b w:val="0"/>
                <w:sz w:val="18"/>
              </w:rPr>
              <w:t>September 2025</w:t>
            </w:r>
          </w:p>
        </w:tc>
      </w:tr>
      <w:tr>
        <w:tc>
          <w:tcPr>
            <w:tcW w:type="dxa" w:w="1881"/>
          </w:tcPr>
          <w:p>
            <w:r/>
            <w:r>
              <w:rPr>
                <w:b w:val="0"/>
                <w:sz w:val="18"/>
              </w:rPr>
              <w:t>A2V02</w:t>
            </w:r>
          </w:p>
        </w:tc>
        <w:tc>
          <w:tcPr>
            <w:tcW w:type="dxa" w:w="1881"/>
          </w:tcPr>
          <w:p>
            <w:pPr>
              <w:jc w:val="center"/>
            </w:pPr>
            <w:r/>
            <w:r>
              <w:rPr>
                <w:b w:val="0"/>
                <w:sz w:val="18"/>
              </w:rPr>
              <w:t>A2V02MY26L6</w:t>
            </w:r>
          </w:p>
        </w:tc>
        <w:tc>
          <w:tcPr>
            <w:tcW w:type="dxa" w:w="1881"/>
          </w:tcPr>
          <w:p>
            <w:pPr>
              <w:jc w:val="center"/>
            </w:pPr>
            <w:r/>
            <w:r>
              <w:rPr>
                <w:b w:val="0"/>
                <w:sz w:val="18"/>
              </w:rPr>
              <w:t>Compact SUV</w:t>
            </w:r>
          </w:p>
        </w:tc>
        <w:tc>
          <w:tcPr>
            <w:tcW w:type="dxa" w:w="1881"/>
          </w:tcPr>
          <w:p>
            <w:pPr>
              <w:jc w:val="center"/>
            </w:pPr>
            <w:r/>
            <w:r>
              <w:rPr>
                <w:b w:val="0"/>
                <w:sz w:val="18"/>
              </w:rPr>
              <w:t>331 units</w:t>
            </w:r>
          </w:p>
        </w:tc>
        <w:tc>
          <w:tcPr>
            <w:tcW w:type="dxa" w:w="1881"/>
          </w:tcPr>
          <w:p>
            <w:pPr>
              <w:jc w:val="center"/>
            </w:pPr>
            <w:r/>
            <w:r>
              <w:rPr>
                <w:b w:val="0"/>
                <w:sz w:val="18"/>
              </w:rPr>
              <w:t>January 2024</w:t>
            </w:r>
          </w:p>
        </w:tc>
      </w:tr>
      <w:tr>
        <w:tc>
          <w:tcPr>
            <w:tcW w:type="dxa" w:w="1881"/>
          </w:tcPr>
          <w:p>
            <w:r/>
            <w:r>
              <w:rPr>
                <w:b w:val="0"/>
                <w:sz w:val="18"/>
              </w:rPr>
              <w:t>A3V02</w:t>
            </w:r>
          </w:p>
        </w:tc>
        <w:tc>
          <w:tcPr>
            <w:tcW w:type="dxa" w:w="1881"/>
          </w:tcPr>
          <w:p>
            <w:pPr>
              <w:jc w:val="center"/>
            </w:pPr>
            <w:r/>
            <w:r>
              <w:rPr>
                <w:b w:val="0"/>
                <w:sz w:val="18"/>
              </w:rPr>
              <w:t>A3V02MY26M8</w:t>
            </w:r>
          </w:p>
        </w:tc>
        <w:tc>
          <w:tcPr>
            <w:tcW w:type="dxa" w:w="1881"/>
          </w:tcPr>
          <w:p>
            <w:pPr>
              <w:jc w:val="center"/>
            </w:pPr>
            <w:r/>
            <w:r>
              <w:rPr>
                <w:b w:val="0"/>
                <w:sz w:val="18"/>
              </w:rPr>
              <w:t>Compact SUV</w:t>
            </w:r>
          </w:p>
        </w:tc>
        <w:tc>
          <w:tcPr>
            <w:tcW w:type="dxa" w:w="1881"/>
          </w:tcPr>
          <w:p>
            <w:pPr>
              <w:jc w:val="center"/>
            </w:pPr>
            <w:r/>
            <w:r>
              <w:rPr>
                <w:b w:val="0"/>
                <w:sz w:val="18"/>
              </w:rPr>
              <w:t>176 units</w:t>
            </w:r>
          </w:p>
        </w:tc>
        <w:tc>
          <w:tcPr>
            <w:tcW w:type="dxa" w:w="1881"/>
          </w:tcPr>
          <w:p>
            <w:pPr>
              <w:jc w:val="center"/>
            </w:pPr>
            <w:r/>
            <w:r>
              <w:rPr>
                <w:b w:val="0"/>
                <w:sz w:val="18"/>
              </w:rPr>
              <w:t>January 2024</w:t>
            </w:r>
          </w:p>
        </w:tc>
      </w:tr>
      <w:tr>
        <w:tc>
          <w:tcPr>
            <w:tcW w:type="dxa" w:w="1881"/>
          </w:tcPr>
          <w:p>
            <w:r/>
            <w:r>
              <w:rPr>
                <w:b w:val="0"/>
                <w:sz w:val="18"/>
              </w:rPr>
              <w:t>B1V01</w:t>
            </w:r>
          </w:p>
        </w:tc>
        <w:tc>
          <w:tcPr>
            <w:tcW w:type="dxa" w:w="1881"/>
          </w:tcPr>
          <w:p>
            <w:pPr>
              <w:jc w:val="center"/>
            </w:pPr>
            <w:r/>
            <w:r>
              <w:rPr>
                <w:b w:val="0"/>
                <w:sz w:val="18"/>
              </w:rPr>
              <w:t>B1V01MY26N7</w:t>
            </w:r>
          </w:p>
        </w:tc>
        <w:tc>
          <w:tcPr>
            <w:tcW w:type="dxa" w:w="1881"/>
          </w:tcPr>
          <w:p>
            <w:pPr>
              <w:jc w:val="center"/>
            </w:pPr>
            <w:r/>
            <w:r>
              <w:rPr>
                <w:b w:val="0"/>
                <w:sz w:val="18"/>
              </w:rPr>
              <w:t>Large SUV</w:t>
            </w:r>
          </w:p>
        </w:tc>
        <w:tc>
          <w:tcPr>
            <w:tcW w:type="dxa" w:w="1881"/>
          </w:tcPr>
          <w:p>
            <w:pPr>
              <w:jc w:val="center"/>
            </w:pPr>
            <w:r/>
            <w:r>
              <w:rPr>
                <w:b w:val="0"/>
                <w:sz w:val="18"/>
              </w:rPr>
              <w:t>210 units</w:t>
            </w:r>
          </w:p>
        </w:tc>
        <w:tc>
          <w:tcPr>
            <w:tcW w:type="dxa" w:w="1881"/>
          </w:tcPr>
          <w:p>
            <w:pPr>
              <w:jc w:val="center"/>
            </w:pPr>
            <w:r/>
            <w:r>
              <w:rPr>
                <w:b w:val="0"/>
                <w:sz w:val="18"/>
              </w:rPr>
              <w:t>January 2024</w:t>
            </w:r>
          </w:p>
        </w:tc>
      </w:tr>
      <w:tr>
        <w:tc>
          <w:tcPr>
            <w:tcW w:type="dxa" w:w="1881"/>
          </w:tcPr>
          <w:p/>
        </w:tc>
        <w:tc>
          <w:tcPr>
            <w:tcW w:type="dxa" w:w="1881"/>
          </w:tcPr>
          <w:p/>
        </w:tc>
        <w:tc>
          <w:tcPr>
            <w:tcW w:type="dxa" w:w="1881"/>
          </w:tcPr>
          <w:p/>
        </w:tc>
        <w:tc>
          <w:tcPr>
            <w:tcW w:type="dxa" w:w="1881"/>
          </w:tcPr>
          <w:p/>
        </w:tc>
        <w:tc>
          <w:tcPr>
            <w:tcW w:type="dxa" w:w="1881"/>
          </w:tcPr>
          <w:p/>
        </w:tc>
      </w:tr>
    </w:tbl>
    <w:p/>
    <w:p>
      <w:pPr>
        <w:spacing w:after="120"/>
      </w:pPr>
      <w:r>
        <w:rPr>
          <w:b w:val="0"/>
          <w:i w:val="0"/>
        </w:rPr>
        <w:t>A1V01 was launched in September 2025 and therefore has only four months of sales history. A launch boost factor of 1.11 (empirically derived from the observed first-four-months sales trajectory relative to comparable model launches) is applied to its seasonal index from March 2026 onwards, when the launch effect is deemed to have stabilized. Models C1 and D1 were discontinued at end of 2025 and are excluded from the 2026 portfolio.</w:t>
      </w:r>
    </w:p>
    <w:p>
      <w:pPr>
        <w:spacing w:after="120"/>
      </w:pPr>
      <w:r>
        <w:rPr>
          <w:b w:val="0"/>
          <w:i w:val="0"/>
        </w:rPr>
        <w:t>The brand held approximately 3.2% of the national SUV market in 2025. The geographic distribution of its 28 registered dealerships spans 20 Turkish provinces, with concentration in the Marmara (Istanbul, Tekirdağ, Bursa, Kocaeli), Aegean (İzmir), and Central Anatolia (Ankara, Konya, Kayseri) regions. Catchment market share is computed using TÜİK December 2025 provincial automobile registration counts (17,373,581 total) and dealer-province assignments.</w:t>
      </w:r>
    </w:p>
    <w:p>
      <w:r>
        <w:br w:type="page"/>
      </w:r>
    </w:p>
    <w:p>
      <w:pPr>
        <w:pStyle w:val="Heading1"/>
      </w:pPr>
      <w:r>
        <w:t>4. LAYER 1: DEMAND FORECASTING</w:t>
      </w:r>
    </w:p>
    <w:p>
      <w:pPr>
        <w:pStyle w:val="Heading2"/>
      </w:pPr>
      <w:r>
        <w:t>4.1 STL Decomposition</w:t>
      </w:r>
    </w:p>
    <w:p>
      <w:pPr>
        <w:spacing w:after="120"/>
      </w:pPr>
      <w:r>
        <w:rPr>
          <w:b w:val="0"/>
          <w:i w:val="0"/>
        </w:rPr>
        <w:t>Seasonal-Trend decomposition using Loess (STL; Cleveland et al., 1990) is applied to 24 months of brand-level monthly sales data (January 2024 – December 2025). The additive decomposition model is:</w:t>
      </w:r>
    </w:p>
    <w:p>
      <w:pPr>
        <w:spacing w:before="80" w:after="80"/>
        <w:jc w:val="center"/>
      </w:pPr>
      <w:r>
        <w:rPr>
          <w:i/>
          <w:sz w:val="22"/>
        </w:rPr>
        <w:t>Y_t  =  T_t  +  S_t  +  R_t</w:t>
      </w:r>
    </w:p>
    <w:p>
      <w:pPr>
        <w:spacing w:after="120"/>
      </w:pPr>
      <w:r>
        <w:rPr>
          <w:b w:val="0"/>
          <w:i w:val="0"/>
        </w:rPr>
        <w:t>where T_t is the slowly varying trend component estimated by a Loess smoother with bandwidth parameter s_t, S_t is the periodic seasonal component estimated by iterative Loess smoothing of sub-series (one per calendar month), and R_t = Y_t − T_t − S_t is the residual. STL is estimated using statsmodels.tsa.seasonal.STL with period=12, seasonal=7 (seasonal Loess bandwidth), and trend=13 (trend Loess bandwidth), following the recommendation for monthly series of Cleveland et al. (1990).</w:t>
      </w:r>
    </w:p>
    <w:p>
      <w:pPr>
        <w:spacing w:after="120"/>
      </w:pPr>
      <w:r>
        <w:rPr>
          <w:b w:val="0"/>
          <w:i w:val="0"/>
        </w:rPr>
        <w:t>Figure 2 shows the four-panel STL decomposition of brand monthly sales for 2024–2025. The trend component reveals modest growth of approximately 5.6% year-on-year. The seasonal component confirms the well-known Turkish automotive market pattern: depressed January registrations (SI ≈ 0.66) followed by a spring peak (March SI ≈ 1.03) and a strong year-end surge (December SI ≈ 1.62). Residuals remain within ±15 units, indicating good model fit.</w:t>
      </w:r>
    </w:p>
    <w:p>
      <w:pPr>
        <w:jc w:val="center"/>
      </w:pPr>
      <w:r>
        <w:drawing>
          <wp:inline xmlns:a="http://schemas.openxmlformats.org/drawingml/2006/main" xmlns:pic="http://schemas.openxmlformats.org/drawingml/2006/picture">
            <wp:extent cx="5669280" cy="3871626"/>
            <wp:docPr id="2" name="Picture 2"/>
            <wp:cNvGraphicFramePr>
              <a:graphicFrameLocks noChangeAspect="1"/>
            </wp:cNvGraphicFramePr>
            <a:graphic>
              <a:graphicData uri="http://schemas.openxmlformats.org/drawingml/2006/picture">
                <pic:pic>
                  <pic:nvPicPr>
                    <pic:cNvPr id="0" name="fig2_stl.png"/>
                    <pic:cNvPicPr/>
                  </pic:nvPicPr>
                  <pic:blipFill>
                    <a:blip r:embed="rId11"/>
                    <a:stretch>
                      <a:fillRect/>
                    </a:stretch>
                  </pic:blipFill>
                  <pic:spPr>
                    <a:xfrm>
                      <a:off x="0" y="0"/>
                      <a:ext cx="5669280" cy="3871626"/>
                    </a:xfrm>
                    <a:prstGeom prst="rect"/>
                  </pic:spPr>
                </pic:pic>
              </a:graphicData>
            </a:graphic>
          </wp:inline>
        </w:drawing>
      </w:r>
    </w:p>
    <w:p>
      <w:pPr>
        <w:spacing w:after="240"/>
        <w:jc w:val="center"/>
      </w:pPr>
      <w:r>
        <w:rPr>
          <w:b/>
          <w:sz w:val="20"/>
        </w:rPr>
        <w:t>Figure 2. STL Decomposition — Brand Monthly SUV Sales 2024–2025</w:t>
      </w:r>
    </w:p>
    <w:p>
      <w:pPr>
        <w:spacing w:after="120"/>
      </w:pPr>
      <w:r>
        <w:rPr>
          <w:b w:val="0"/>
          <w:i w:val="0"/>
        </w:rPr>
        <w:t>From the decomposed seasonal component S_t, a monthly seasonal index for each calendar month m is computed as:</w:t>
      </w:r>
    </w:p>
    <w:p>
      <w:pPr>
        <w:spacing w:before="80" w:after="80"/>
        <w:jc w:val="center"/>
      </w:pPr>
      <w:r>
        <w:rPr>
          <w:i/>
          <w:sz w:val="22"/>
        </w:rPr>
        <w:t>SI_m  =  mean_annual_monthly_sales_m  /  mean_overall_monthly_sales</w:t>
      </w:r>
    </w:p>
    <w:p>
      <w:pPr>
        <w:spacing w:after="120"/>
      </w:pPr>
      <w:r>
        <w:rPr>
          <w:b w:val="0"/>
          <w:i w:val="0"/>
        </w:rPr>
        <w:t>where mean_annual_monthly_sales_m is the average of observed sales in month m across both calendar years, and mean_overall_monthly_sales is the grand mean across all 24 months. SI_m &gt; 1 indicates above-average demand in month m; SI_m &lt; 1 indicates below-average. Figure 3 shows SI_m for all four model groups.</w:t>
      </w:r>
    </w:p>
    <w:p>
      <w:pPr>
        <w:jc w:val="center"/>
      </w:pPr>
      <w:r>
        <w:drawing>
          <wp:inline xmlns:a="http://schemas.openxmlformats.org/drawingml/2006/main" xmlns:pic="http://schemas.openxmlformats.org/drawingml/2006/picture">
            <wp:extent cx="5669280" cy="2334409"/>
            <wp:docPr id="3" name="Picture 3"/>
            <wp:cNvGraphicFramePr>
              <a:graphicFrameLocks noChangeAspect="1"/>
            </wp:cNvGraphicFramePr>
            <a:graphic>
              <a:graphicData uri="http://schemas.openxmlformats.org/drawingml/2006/picture">
                <pic:pic>
                  <pic:nvPicPr>
                    <pic:cNvPr id="0" name="fig3_seasonal.png"/>
                    <pic:cNvPicPr/>
                  </pic:nvPicPr>
                  <pic:blipFill>
                    <a:blip r:embed="rId12"/>
                    <a:stretch>
                      <a:fillRect/>
                    </a:stretch>
                  </pic:blipFill>
                  <pic:spPr>
                    <a:xfrm>
                      <a:off x="0" y="0"/>
                      <a:ext cx="5669280" cy="2334409"/>
                    </a:xfrm>
                    <a:prstGeom prst="rect"/>
                  </pic:spPr>
                </pic:pic>
              </a:graphicData>
            </a:graphic>
          </wp:inline>
        </w:drawing>
      </w:r>
    </w:p>
    <w:p>
      <w:pPr>
        <w:spacing w:after="240"/>
        <w:jc w:val="center"/>
      </w:pPr>
      <w:r>
        <w:rPr>
          <w:b/>
          <w:sz w:val="20"/>
        </w:rPr>
        <w:t>Figure 3. Seasonal Index by Month — All Vehicle Model Groups</w:t>
      </w:r>
    </w:p>
    <w:p>
      <w:pPr>
        <w:pStyle w:val="Heading2"/>
      </w:pPr>
      <w:r>
        <w:t>4.2 Prophet Market Forecast</w:t>
      </w:r>
    </w:p>
    <w:p>
      <w:pPr>
        <w:spacing w:after="120"/>
      </w:pPr>
      <w:r>
        <w:rPr>
          <w:b w:val="0"/>
          <w:i w:val="0"/>
        </w:rPr>
        <w:t>Prophet (Taylor &amp; Letham, 2018) is applied at the total brand level to project the 2026 annual sales volume. The additive Prophet model decomposes observed sales y(t) as:</w:t>
      </w:r>
    </w:p>
    <w:p>
      <w:pPr>
        <w:spacing w:before="80" w:after="80"/>
        <w:jc w:val="center"/>
      </w:pPr>
      <w:r>
        <w:rPr>
          <w:i/>
          <w:sz w:val="22"/>
        </w:rPr>
        <w:t>y(t)  =  g(t)  +  s(t)  +  h(t)  +  ε_t</w:t>
      </w:r>
    </w:p>
    <w:p>
      <w:pPr>
        <w:spacing w:after="120"/>
      </w:pPr>
      <w:r>
        <w:rPr>
          <w:b w:val="0"/>
          <w:i w:val="0"/>
        </w:rPr>
        <w:t>where g(t) is the piecewise linear trend with automatically detected changepoints, s(t) is a Fourier-series seasonal component with annual period P=365.25, h(t) captures holiday and special event effects (Turkish national holidays; annual model-year announcement periods), and ε_t is a normally distributed error term. The model is trained on 24 monthly observations converted to daily-frequency pseudo-data by uniform distribution within each month.</w:t>
      </w:r>
    </w:p>
    <w:p>
      <w:pPr>
        <w:spacing w:after="120"/>
      </w:pPr>
      <w:r>
        <w:rPr>
          <w:b w:val="0"/>
          <w:i w:val="0"/>
        </w:rPr>
        <w:t>Prophet's 2026 annual forecast for the senaryo_8500 scenario yields a projected total brand sales of 8,500 units, corresponding to a 5.8% market-share-adjusted growth over 2025 actuals. Monthly disaggregation is performed by multiplying the annual total by SI_m for each month, then normalizing so that the 12-month sum equals the annual projection exactly.</w:t>
      </w:r>
    </w:p>
    <w:p>
      <w:pPr>
        <w:spacing w:after="80"/>
        <w:jc w:val="center"/>
      </w:pPr>
      <w:r>
        <w:rPr>
          <w:b/>
          <w:sz w:val="20"/>
        </w:rPr>
        <w:t>Table A. 2026 Monthly Allocation Plan (Scenario: 8,500 units/year)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Month</w:t>
            </w:r>
          </w:p>
        </w:tc>
        <w:tc>
          <w:tcPr>
            <w:tcW w:type="dxa" w:w="2351"/>
            <w:shd w:val="clear" w:color="auto" w:fill="D6E4F0"/>
          </w:tcPr>
          <w:p>
            <w:pPr>
              <w:jc w:val="center"/>
            </w:pPr>
            <w:r/>
            <w:r>
              <w:rPr>
                <w:b/>
                <w:sz w:val="18"/>
              </w:rPr>
              <w:t>Seasonal Index (SI)</w:t>
            </w:r>
          </w:p>
        </w:tc>
        <w:tc>
          <w:tcPr>
            <w:tcW w:type="dxa" w:w="2351"/>
            <w:shd w:val="clear" w:color="auto" w:fill="D6E4F0"/>
          </w:tcPr>
          <w:p>
            <w:pPr>
              <w:jc w:val="center"/>
            </w:pPr>
            <w:r/>
            <w:r>
              <w:rPr>
                <w:b/>
                <w:sz w:val="18"/>
              </w:rPr>
              <w:t>Monthly Target (units)</w:t>
            </w:r>
          </w:p>
        </w:tc>
        <w:tc>
          <w:tcPr>
            <w:tcW w:type="dxa" w:w="2351"/>
            <w:shd w:val="clear" w:color="auto" w:fill="D6E4F0"/>
          </w:tcPr>
          <w:p>
            <w:pPr>
              <w:jc w:val="center"/>
            </w:pPr>
            <w:r/>
            <w:r>
              <w:rPr>
                <w:b/>
                <w:sz w:val="18"/>
              </w:rPr>
              <w:t>Share of Annual (%)</w:t>
            </w:r>
          </w:p>
        </w:tc>
      </w:tr>
      <w:tr>
        <w:tc>
          <w:tcPr>
            <w:tcW w:type="dxa" w:w="2351"/>
            <w:shd w:val="clear" w:color="auto" w:fill="F0F4F8"/>
          </w:tcPr>
          <w:p>
            <w:pPr>
              <w:jc w:val="center"/>
            </w:pPr>
            <w:r/>
            <w:r>
              <w:rPr>
                <w:b w:val="0"/>
                <w:sz w:val="18"/>
              </w:rPr>
              <w:t>Ocak</w:t>
            </w:r>
          </w:p>
        </w:tc>
        <w:tc>
          <w:tcPr>
            <w:tcW w:type="dxa" w:w="2351"/>
            <w:shd w:val="clear" w:color="auto" w:fill="F0F4F8"/>
          </w:tcPr>
          <w:p>
            <w:pPr>
              <w:jc w:val="center"/>
            </w:pPr>
            <w:r/>
            <w:r>
              <w:rPr>
                <w:b w:val="0"/>
                <w:sz w:val="18"/>
              </w:rPr>
              <w:t>0.6592</w:t>
            </w:r>
          </w:p>
        </w:tc>
        <w:tc>
          <w:tcPr>
            <w:tcW w:type="dxa" w:w="2351"/>
            <w:shd w:val="clear" w:color="auto" w:fill="F0F4F8"/>
          </w:tcPr>
          <w:p>
            <w:pPr>
              <w:jc w:val="center"/>
            </w:pPr>
            <w:r/>
            <w:r>
              <w:rPr>
                <w:b w:val="0"/>
                <w:sz w:val="18"/>
              </w:rPr>
              <w:t>426</w:t>
            </w:r>
          </w:p>
        </w:tc>
        <w:tc>
          <w:tcPr>
            <w:tcW w:type="dxa" w:w="2351"/>
            <w:shd w:val="clear" w:color="auto" w:fill="F0F4F8"/>
          </w:tcPr>
          <w:p>
            <w:pPr>
              <w:jc w:val="center"/>
            </w:pPr>
            <w:r/>
            <w:r>
              <w:rPr>
                <w:b w:val="0"/>
                <w:sz w:val="18"/>
              </w:rPr>
              <w:t>5.01%</w:t>
            </w:r>
          </w:p>
        </w:tc>
      </w:tr>
      <w:tr>
        <w:tc>
          <w:tcPr>
            <w:tcW w:type="dxa" w:w="2351"/>
          </w:tcPr>
          <w:p>
            <w:pPr>
              <w:jc w:val="center"/>
            </w:pPr>
            <w:r/>
            <w:r>
              <w:rPr>
                <w:b w:val="0"/>
                <w:sz w:val="18"/>
              </w:rPr>
              <w:t>Şubat</w:t>
            </w:r>
          </w:p>
        </w:tc>
        <w:tc>
          <w:tcPr>
            <w:tcW w:type="dxa" w:w="2351"/>
          </w:tcPr>
          <w:p>
            <w:pPr>
              <w:jc w:val="center"/>
            </w:pPr>
            <w:r/>
            <w:r>
              <w:rPr>
                <w:b w:val="0"/>
                <w:sz w:val="18"/>
              </w:rPr>
              <w:t>0.8861</w:t>
            </w:r>
          </w:p>
        </w:tc>
        <w:tc>
          <w:tcPr>
            <w:tcW w:type="dxa" w:w="2351"/>
          </w:tcPr>
          <w:p>
            <w:pPr>
              <w:jc w:val="center"/>
            </w:pPr>
            <w:r/>
            <w:r>
              <w:rPr>
                <w:b w:val="0"/>
                <w:sz w:val="18"/>
              </w:rPr>
              <w:t>573</w:t>
            </w:r>
          </w:p>
        </w:tc>
        <w:tc>
          <w:tcPr>
            <w:tcW w:type="dxa" w:w="2351"/>
          </w:tcPr>
          <w:p>
            <w:pPr>
              <w:jc w:val="center"/>
            </w:pPr>
            <w:r/>
            <w:r>
              <w:rPr>
                <w:b w:val="0"/>
                <w:sz w:val="18"/>
              </w:rPr>
              <w:t>6.74%</w:t>
            </w:r>
          </w:p>
        </w:tc>
      </w:tr>
      <w:tr>
        <w:tc>
          <w:tcPr>
            <w:tcW w:type="dxa" w:w="2351"/>
            <w:shd w:val="clear" w:color="auto" w:fill="F0F4F8"/>
          </w:tcPr>
          <w:p>
            <w:pPr>
              <w:jc w:val="center"/>
            </w:pPr>
            <w:r/>
            <w:r>
              <w:rPr>
                <w:b w:val="0"/>
                <w:sz w:val="18"/>
              </w:rPr>
              <w:t>Mart</w:t>
            </w:r>
          </w:p>
        </w:tc>
        <w:tc>
          <w:tcPr>
            <w:tcW w:type="dxa" w:w="2351"/>
            <w:shd w:val="clear" w:color="auto" w:fill="F0F4F8"/>
          </w:tcPr>
          <w:p>
            <w:pPr>
              <w:jc w:val="center"/>
            </w:pPr>
            <w:r/>
            <w:r>
              <w:rPr>
                <w:b w:val="0"/>
                <w:sz w:val="18"/>
              </w:rPr>
              <w:t>1.0334</w:t>
            </w:r>
          </w:p>
        </w:tc>
        <w:tc>
          <w:tcPr>
            <w:tcW w:type="dxa" w:w="2351"/>
            <w:shd w:val="clear" w:color="auto" w:fill="F0F4F8"/>
          </w:tcPr>
          <w:p>
            <w:pPr>
              <w:jc w:val="center"/>
            </w:pPr>
            <w:r/>
            <w:r>
              <w:rPr>
                <w:b w:val="0"/>
                <w:sz w:val="18"/>
              </w:rPr>
              <w:t>741</w:t>
            </w:r>
          </w:p>
        </w:tc>
        <w:tc>
          <w:tcPr>
            <w:tcW w:type="dxa" w:w="2351"/>
            <w:shd w:val="clear" w:color="auto" w:fill="F0F4F8"/>
          </w:tcPr>
          <w:p>
            <w:pPr>
              <w:jc w:val="center"/>
            </w:pPr>
            <w:r/>
            <w:r>
              <w:rPr>
                <w:b w:val="0"/>
                <w:sz w:val="18"/>
              </w:rPr>
              <w:t>8.72%</w:t>
            </w:r>
          </w:p>
        </w:tc>
      </w:tr>
      <w:tr>
        <w:tc>
          <w:tcPr>
            <w:tcW w:type="dxa" w:w="2351"/>
          </w:tcPr>
          <w:p>
            <w:pPr>
              <w:jc w:val="center"/>
            </w:pPr>
            <w:r/>
            <w:r>
              <w:rPr>
                <w:b w:val="0"/>
                <w:sz w:val="18"/>
              </w:rPr>
              <w:t>Nisan</w:t>
            </w:r>
          </w:p>
        </w:tc>
        <w:tc>
          <w:tcPr>
            <w:tcW w:type="dxa" w:w="2351"/>
          </w:tcPr>
          <w:p>
            <w:pPr>
              <w:jc w:val="center"/>
            </w:pPr>
            <w:r/>
            <w:r>
              <w:rPr>
                <w:b w:val="0"/>
                <w:sz w:val="18"/>
              </w:rPr>
              <w:t>0.8346</w:t>
            </w:r>
          </w:p>
        </w:tc>
        <w:tc>
          <w:tcPr>
            <w:tcW w:type="dxa" w:w="2351"/>
          </w:tcPr>
          <w:p>
            <w:pPr>
              <w:jc w:val="center"/>
            </w:pPr>
            <w:r/>
            <w:r>
              <w:rPr>
                <w:b w:val="0"/>
                <w:sz w:val="18"/>
              </w:rPr>
              <w:t>599</w:t>
            </w:r>
          </w:p>
        </w:tc>
        <w:tc>
          <w:tcPr>
            <w:tcW w:type="dxa" w:w="2351"/>
          </w:tcPr>
          <w:p>
            <w:pPr>
              <w:jc w:val="center"/>
            </w:pPr>
            <w:r/>
            <w:r>
              <w:rPr>
                <w:b w:val="0"/>
                <w:sz w:val="18"/>
              </w:rPr>
              <w:t>7.05%</w:t>
            </w:r>
          </w:p>
        </w:tc>
      </w:tr>
      <w:tr>
        <w:tc>
          <w:tcPr>
            <w:tcW w:type="dxa" w:w="2351"/>
            <w:shd w:val="clear" w:color="auto" w:fill="F0F4F8"/>
          </w:tcPr>
          <w:p>
            <w:pPr>
              <w:jc w:val="center"/>
            </w:pPr>
            <w:r/>
            <w:r>
              <w:rPr>
                <w:b w:val="0"/>
                <w:sz w:val="18"/>
              </w:rPr>
              <w:t>Mayıs</w:t>
            </w:r>
          </w:p>
        </w:tc>
        <w:tc>
          <w:tcPr>
            <w:tcW w:type="dxa" w:w="2351"/>
            <w:shd w:val="clear" w:color="auto" w:fill="F0F4F8"/>
          </w:tcPr>
          <w:p>
            <w:pPr>
              <w:jc w:val="center"/>
            </w:pPr>
            <w:r/>
            <w:r>
              <w:rPr>
                <w:b w:val="0"/>
                <w:sz w:val="18"/>
              </w:rPr>
              <w:t>0.9613</w:t>
            </w:r>
          </w:p>
        </w:tc>
        <w:tc>
          <w:tcPr>
            <w:tcW w:type="dxa" w:w="2351"/>
            <w:shd w:val="clear" w:color="auto" w:fill="F0F4F8"/>
          </w:tcPr>
          <w:p>
            <w:pPr>
              <w:jc w:val="center"/>
            </w:pPr>
            <w:r/>
            <w:r>
              <w:rPr>
                <w:b w:val="0"/>
                <w:sz w:val="18"/>
              </w:rPr>
              <w:t>690</w:t>
            </w:r>
          </w:p>
        </w:tc>
        <w:tc>
          <w:tcPr>
            <w:tcW w:type="dxa" w:w="2351"/>
            <w:shd w:val="clear" w:color="auto" w:fill="F0F4F8"/>
          </w:tcPr>
          <w:p>
            <w:pPr>
              <w:jc w:val="center"/>
            </w:pPr>
            <w:r/>
            <w:r>
              <w:rPr>
                <w:b w:val="0"/>
                <w:sz w:val="18"/>
              </w:rPr>
              <w:t>8.12%</w:t>
            </w:r>
          </w:p>
        </w:tc>
      </w:tr>
      <w:tr>
        <w:tc>
          <w:tcPr>
            <w:tcW w:type="dxa" w:w="2351"/>
          </w:tcPr>
          <w:p>
            <w:pPr>
              <w:jc w:val="center"/>
            </w:pPr>
            <w:r/>
            <w:r>
              <w:rPr>
                <w:b w:val="0"/>
                <w:sz w:val="18"/>
              </w:rPr>
              <w:t>Haziran</w:t>
            </w:r>
          </w:p>
        </w:tc>
        <w:tc>
          <w:tcPr>
            <w:tcW w:type="dxa" w:w="2351"/>
          </w:tcPr>
          <w:p>
            <w:pPr>
              <w:jc w:val="center"/>
            </w:pPr>
            <w:r/>
            <w:r>
              <w:rPr>
                <w:b w:val="0"/>
                <w:sz w:val="18"/>
              </w:rPr>
              <w:t>1.0720</w:t>
            </w:r>
          </w:p>
        </w:tc>
        <w:tc>
          <w:tcPr>
            <w:tcW w:type="dxa" w:w="2351"/>
          </w:tcPr>
          <w:p>
            <w:pPr>
              <w:jc w:val="center"/>
            </w:pPr>
            <w:r/>
            <w:r>
              <w:rPr>
                <w:b w:val="0"/>
                <w:sz w:val="18"/>
              </w:rPr>
              <w:t>769</w:t>
            </w:r>
          </w:p>
        </w:tc>
        <w:tc>
          <w:tcPr>
            <w:tcW w:type="dxa" w:w="2351"/>
          </w:tcPr>
          <w:p>
            <w:pPr>
              <w:jc w:val="center"/>
            </w:pPr>
            <w:r/>
            <w:r>
              <w:rPr>
                <w:b w:val="0"/>
                <w:sz w:val="18"/>
              </w:rPr>
              <w:t>9.05%</w:t>
            </w:r>
          </w:p>
        </w:tc>
      </w:tr>
      <w:tr>
        <w:tc>
          <w:tcPr>
            <w:tcW w:type="dxa" w:w="2351"/>
            <w:shd w:val="clear" w:color="auto" w:fill="F0F4F8"/>
          </w:tcPr>
          <w:p>
            <w:pPr>
              <w:jc w:val="center"/>
            </w:pPr>
            <w:r/>
            <w:r>
              <w:rPr>
                <w:b w:val="0"/>
                <w:sz w:val="18"/>
              </w:rPr>
              <w:t>Temmuz</w:t>
            </w:r>
          </w:p>
        </w:tc>
        <w:tc>
          <w:tcPr>
            <w:tcW w:type="dxa" w:w="2351"/>
            <w:shd w:val="clear" w:color="auto" w:fill="F0F4F8"/>
          </w:tcPr>
          <w:p>
            <w:pPr>
              <w:jc w:val="center"/>
            </w:pPr>
            <w:r/>
            <w:r>
              <w:rPr>
                <w:b w:val="0"/>
                <w:sz w:val="18"/>
              </w:rPr>
              <w:t>0.9364</w:t>
            </w:r>
          </w:p>
        </w:tc>
        <w:tc>
          <w:tcPr>
            <w:tcW w:type="dxa" w:w="2351"/>
            <w:shd w:val="clear" w:color="auto" w:fill="F0F4F8"/>
          </w:tcPr>
          <w:p>
            <w:pPr>
              <w:jc w:val="center"/>
            </w:pPr>
            <w:r/>
            <w:r>
              <w:rPr>
                <w:b w:val="0"/>
                <w:sz w:val="18"/>
              </w:rPr>
              <w:t>672</w:t>
            </w:r>
          </w:p>
        </w:tc>
        <w:tc>
          <w:tcPr>
            <w:tcW w:type="dxa" w:w="2351"/>
            <w:shd w:val="clear" w:color="auto" w:fill="F0F4F8"/>
          </w:tcPr>
          <w:p>
            <w:pPr>
              <w:jc w:val="center"/>
            </w:pPr>
            <w:r/>
            <w:r>
              <w:rPr>
                <w:b w:val="0"/>
                <w:sz w:val="18"/>
              </w:rPr>
              <w:t>7.91%</w:t>
            </w:r>
          </w:p>
        </w:tc>
      </w:tr>
      <w:tr>
        <w:tc>
          <w:tcPr>
            <w:tcW w:type="dxa" w:w="2351"/>
          </w:tcPr>
          <w:p>
            <w:pPr>
              <w:jc w:val="center"/>
            </w:pPr>
            <w:r/>
            <w:r>
              <w:rPr>
                <w:b w:val="0"/>
                <w:sz w:val="18"/>
              </w:rPr>
              <w:t>Ağustos</w:t>
            </w:r>
          </w:p>
        </w:tc>
        <w:tc>
          <w:tcPr>
            <w:tcW w:type="dxa" w:w="2351"/>
          </w:tcPr>
          <w:p>
            <w:pPr>
              <w:jc w:val="center"/>
            </w:pPr>
            <w:r/>
            <w:r>
              <w:rPr>
                <w:b w:val="0"/>
                <w:sz w:val="18"/>
              </w:rPr>
              <w:t>0.8855</w:t>
            </w:r>
          </w:p>
        </w:tc>
        <w:tc>
          <w:tcPr>
            <w:tcW w:type="dxa" w:w="2351"/>
          </w:tcPr>
          <w:p>
            <w:pPr>
              <w:jc w:val="center"/>
            </w:pPr>
            <w:r/>
            <w:r>
              <w:rPr>
                <w:b w:val="0"/>
                <w:sz w:val="18"/>
              </w:rPr>
              <w:t>635</w:t>
            </w:r>
          </w:p>
        </w:tc>
        <w:tc>
          <w:tcPr>
            <w:tcW w:type="dxa" w:w="2351"/>
          </w:tcPr>
          <w:p>
            <w:pPr>
              <w:jc w:val="center"/>
            </w:pPr>
            <w:r/>
            <w:r>
              <w:rPr>
                <w:b w:val="0"/>
                <w:sz w:val="18"/>
              </w:rPr>
              <w:t>7.47%</w:t>
            </w:r>
          </w:p>
        </w:tc>
      </w:tr>
      <w:tr>
        <w:tc>
          <w:tcPr>
            <w:tcW w:type="dxa" w:w="2351"/>
            <w:shd w:val="clear" w:color="auto" w:fill="F0F4F8"/>
          </w:tcPr>
          <w:p>
            <w:pPr>
              <w:jc w:val="center"/>
            </w:pPr>
            <w:r/>
            <w:r>
              <w:rPr>
                <w:b w:val="0"/>
                <w:sz w:val="18"/>
              </w:rPr>
              <w:t>Eylül</w:t>
            </w:r>
          </w:p>
        </w:tc>
        <w:tc>
          <w:tcPr>
            <w:tcW w:type="dxa" w:w="2351"/>
            <w:shd w:val="clear" w:color="auto" w:fill="F0F4F8"/>
          </w:tcPr>
          <w:p>
            <w:pPr>
              <w:jc w:val="center"/>
            </w:pPr>
            <w:r/>
            <w:r>
              <w:rPr>
                <w:b w:val="0"/>
                <w:sz w:val="18"/>
              </w:rPr>
              <w:t>0.9211</w:t>
            </w:r>
          </w:p>
        </w:tc>
        <w:tc>
          <w:tcPr>
            <w:tcW w:type="dxa" w:w="2351"/>
            <w:shd w:val="clear" w:color="auto" w:fill="F0F4F8"/>
          </w:tcPr>
          <w:p>
            <w:pPr>
              <w:jc w:val="center"/>
            </w:pPr>
            <w:r/>
            <w:r>
              <w:rPr>
                <w:b w:val="0"/>
                <w:sz w:val="18"/>
              </w:rPr>
              <w:t>661</w:t>
            </w:r>
          </w:p>
        </w:tc>
        <w:tc>
          <w:tcPr>
            <w:tcW w:type="dxa" w:w="2351"/>
            <w:shd w:val="clear" w:color="auto" w:fill="F0F4F8"/>
          </w:tcPr>
          <w:p>
            <w:pPr>
              <w:jc w:val="center"/>
            </w:pPr>
            <w:r/>
            <w:r>
              <w:rPr>
                <w:b w:val="0"/>
                <w:sz w:val="18"/>
              </w:rPr>
              <w:t>7.78%</w:t>
            </w:r>
          </w:p>
        </w:tc>
      </w:tr>
      <w:tr>
        <w:tc>
          <w:tcPr>
            <w:tcW w:type="dxa" w:w="2351"/>
          </w:tcPr>
          <w:p>
            <w:pPr>
              <w:jc w:val="center"/>
            </w:pPr>
            <w:r/>
            <w:r>
              <w:rPr>
                <w:b w:val="0"/>
                <w:sz w:val="18"/>
              </w:rPr>
              <w:t>Ekim</w:t>
            </w:r>
          </w:p>
        </w:tc>
        <w:tc>
          <w:tcPr>
            <w:tcW w:type="dxa" w:w="2351"/>
          </w:tcPr>
          <w:p>
            <w:pPr>
              <w:jc w:val="center"/>
            </w:pPr>
            <w:r/>
            <w:r>
              <w:rPr>
                <w:b w:val="0"/>
                <w:sz w:val="18"/>
              </w:rPr>
              <w:t>0.9963</w:t>
            </w:r>
          </w:p>
        </w:tc>
        <w:tc>
          <w:tcPr>
            <w:tcW w:type="dxa" w:w="2351"/>
          </w:tcPr>
          <w:p>
            <w:pPr>
              <w:jc w:val="center"/>
            </w:pPr>
            <w:r/>
            <w:r>
              <w:rPr>
                <w:b w:val="0"/>
                <w:sz w:val="18"/>
              </w:rPr>
              <w:t>715</w:t>
            </w:r>
          </w:p>
        </w:tc>
        <w:tc>
          <w:tcPr>
            <w:tcW w:type="dxa" w:w="2351"/>
          </w:tcPr>
          <w:p>
            <w:pPr>
              <w:jc w:val="center"/>
            </w:pPr>
            <w:r/>
            <w:r>
              <w:rPr>
                <w:b w:val="0"/>
                <w:sz w:val="18"/>
              </w:rPr>
              <w:t>8.41%</w:t>
            </w:r>
          </w:p>
        </w:tc>
      </w:tr>
      <w:tr>
        <w:tc>
          <w:tcPr>
            <w:tcW w:type="dxa" w:w="2351"/>
            <w:shd w:val="clear" w:color="auto" w:fill="F0F4F8"/>
          </w:tcPr>
          <w:p>
            <w:pPr>
              <w:jc w:val="center"/>
            </w:pPr>
            <w:r/>
            <w:r>
              <w:rPr>
                <w:b w:val="0"/>
                <w:sz w:val="18"/>
              </w:rPr>
              <w:t>Kasım</w:t>
            </w:r>
          </w:p>
        </w:tc>
        <w:tc>
          <w:tcPr>
            <w:tcW w:type="dxa" w:w="2351"/>
            <w:shd w:val="clear" w:color="auto" w:fill="F0F4F8"/>
          </w:tcPr>
          <w:p>
            <w:pPr>
              <w:jc w:val="center"/>
            </w:pPr>
            <w:r/>
            <w:r>
              <w:rPr>
                <w:b w:val="0"/>
                <w:sz w:val="18"/>
              </w:rPr>
              <w:t>1.1987</w:t>
            </w:r>
          </w:p>
        </w:tc>
        <w:tc>
          <w:tcPr>
            <w:tcW w:type="dxa" w:w="2351"/>
            <w:shd w:val="clear" w:color="auto" w:fill="F0F4F8"/>
          </w:tcPr>
          <w:p>
            <w:pPr>
              <w:jc w:val="center"/>
            </w:pPr>
            <w:r/>
            <w:r>
              <w:rPr>
                <w:b w:val="0"/>
                <w:sz w:val="18"/>
              </w:rPr>
              <w:t>860</w:t>
            </w:r>
          </w:p>
        </w:tc>
        <w:tc>
          <w:tcPr>
            <w:tcW w:type="dxa" w:w="2351"/>
            <w:shd w:val="clear" w:color="auto" w:fill="F0F4F8"/>
          </w:tcPr>
          <w:p>
            <w:pPr>
              <w:jc w:val="center"/>
            </w:pPr>
            <w:r/>
            <w:r>
              <w:rPr>
                <w:b w:val="0"/>
                <w:sz w:val="18"/>
              </w:rPr>
              <w:t>10.12%</w:t>
            </w:r>
          </w:p>
        </w:tc>
      </w:tr>
      <w:tr>
        <w:tc>
          <w:tcPr>
            <w:tcW w:type="dxa" w:w="2351"/>
          </w:tcPr>
          <w:p>
            <w:pPr>
              <w:jc w:val="center"/>
            </w:pPr>
            <w:r/>
            <w:r>
              <w:rPr>
                <w:b w:val="0"/>
                <w:sz w:val="18"/>
              </w:rPr>
              <w:t>Aralık</w:t>
            </w:r>
          </w:p>
        </w:tc>
        <w:tc>
          <w:tcPr>
            <w:tcW w:type="dxa" w:w="2351"/>
          </w:tcPr>
          <w:p>
            <w:pPr>
              <w:jc w:val="center"/>
            </w:pPr>
            <w:r/>
            <w:r>
              <w:rPr>
                <w:b w:val="0"/>
                <w:sz w:val="18"/>
              </w:rPr>
              <w:t>1.6156</w:t>
            </w:r>
          </w:p>
        </w:tc>
        <w:tc>
          <w:tcPr>
            <w:tcW w:type="dxa" w:w="2351"/>
          </w:tcPr>
          <w:p>
            <w:pPr>
              <w:jc w:val="center"/>
            </w:pPr>
            <w:r/>
            <w:r>
              <w:rPr>
                <w:b w:val="0"/>
                <w:sz w:val="18"/>
              </w:rPr>
              <w:t>1159</w:t>
            </w:r>
          </w:p>
        </w:tc>
        <w:tc>
          <w:tcPr>
            <w:tcW w:type="dxa" w:w="2351"/>
          </w:tcPr>
          <w:p>
            <w:pPr>
              <w:jc w:val="center"/>
            </w:pPr>
            <w:r/>
            <w:r>
              <w:rPr>
                <w:b w:val="0"/>
                <w:sz w:val="18"/>
              </w:rPr>
              <w:t>13.64%</w:t>
            </w:r>
          </w:p>
        </w:tc>
      </w:tr>
    </w:tbl>
    <w:p/>
    <w:p>
      <w:pPr>
        <w:pStyle w:val="Heading2"/>
      </w:pPr>
      <w:r>
        <w:t>4.3 Exponentially Weighted Moving Average</w:t>
      </w:r>
    </w:p>
    <w:p>
      <w:pPr>
        <w:spacing w:after="120"/>
      </w:pPr>
      <w:r>
        <w:rPr>
          <w:b w:val="0"/>
          <w:i w:val="0"/>
        </w:rPr>
        <w:t>The EWMA is used in two roles: (a) to compute the Performance Score P_d in the MCDM layer by smoothing each dealer's monthly achievement ratios r_{d,t} = actual_t / target_t, and (b) to stabilize volatile monthly ratios caused by sporadic large orders. The EWMA update equation is:</w:t>
      </w:r>
    </w:p>
    <w:p>
      <w:pPr>
        <w:spacing w:before="80" w:after="80"/>
        <w:jc w:val="center"/>
      </w:pPr>
      <w:r>
        <w:rPr>
          <w:i/>
          <w:sz w:val="22"/>
        </w:rPr>
        <w:t>EW_{d,t}  =  α · r_{d,t}  +  (1 − α) · EW_{d,t−1}</w:t>
      </w:r>
    </w:p>
    <w:p>
      <w:pPr>
        <w:spacing w:after="120"/>
      </w:pPr>
      <w:r>
        <w:rPr>
          <w:b w:val="0"/>
          <w:i w:val="0"/>
        </w:rPr>
        <w:t>where α = 2/(W+1) is the smoothing factor determined by window parameter W. The initial value EW_{d,0} is set to the first available monthly ratio. For W=5, α = 2/(5+1) = 0.333, meaning approximately 33% weight is placed on the most recent month, 22% on t−1, 15% on t−2, and so on.</w:t>
      </w:r>
    </w:p>
    <w:p>
      <w:pPr>
        <w:spacing w:after="120"/>
      </w:pPr>
      <w:r>
        <w:rPr>
          <w:b w:val="0"/>
          <w:i w:val="0"/>
        </w:rPr>
        <w:t>Window selection is performed by systematic cross-validation over W ∈ {3, …, 19}. For each candidate W, the mean absolute error (MAE) between EWMA-predicted and actual achievement ratios is computed separately for 2024 and 2025 data. The selection criterion prioritizes cross-year consistency — the window that minimizes |MAE_2024 − MAE_2025| — over raw accuracy, because a window that overfits to one year's patterns will degrade when applied to the following year's data. Figure 4 and Table B illustrate the selection.</w:t>
      </w:r>
    </w:p>
    <w:p>
      <w:pPr>
        <w:jc w:val="center"/>
      </w:pPr>
      <w:r>
        <w:drawing>
          <wp:inline xmlns:a="http://schemas.openxmlformats.org/drawingml/2006/main" xmlns:pic="http://schemas.openxmlformats.org/drawingml/2006/picture">
            <wp:extent cx="5486400" cy="3476398"/>
            <wp:docPr id="4" name="Picture 4"/>
            <wp:cNvGraphicFramePr>
              <a:graphicFrameLocks noChangeAspect="1"/>
            </wp:cNvGraphicFramePr>
            <a:graphic>
              <a:graphicData uri="http://schemas.openxmlformats.org/drawingml/2006/picture">
                <pic:pic>
                  <pic:nvPicPr>
                    <pic:cNvPr id="0" name="fig4_ew_window.png"/>
                    <pic:cNvPicPr/>
                  </pic:nvPicPr>
                  <pic:blipFill>
                    <a:blip r:embed="rId13"/>
                    <a:stretch>
                      <a:fillRect/>
                    </a:stretch>
                  </pic:blipFill>
                  <pic:spPr>
                    <a:xfrm>
                      <a:off x="0" y="0"/>
                      <a:ext cx="5486400" cy="3476398"/>
                    </a:xfrm>
                    <a:prstGeom prst="rect"/>
                  </pic:spPr>
                </pic:pic>
              </a:graphicData>
            </a:graphic>
          </wp:inline>
        </w:drawing>
      </w:r>
    </w:p>
    <w:p>
      <w:pPr>
        <w:spacing w:after="240"/>
        <w:jc w:val="center"/>
      </w:pPr>
      <w:r>
        <w:rPr>
          <w:b/>
          <w:sz w:val="20"/>
        </w:rPr>
        <w:t>Figure 4. EWMA Window Selection: MAE Cross-Validation (W ∈ {3,…,19})</w:t>
      </w:r>
    </w:p>
    <w:p>
      <w:pPr>
        <w:spacing w:after="80"/>
        <w:jc w:val="center"/>
      </w:pPr>
      <w:r>
        <w:rPr>
          <w:b/>
          <w:sz w:val="20"/>
        </w:rPr>
        <w:t>Table B. EWMA Window Analysis Results (W = 3 to W = 10)</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6E4F0"/>
          </w:tcPr>
          <w:p>
            <w:pPr>
              <w:jc w:val="center"/>
            </w:pPr>
            <w:r/>
            <w:r>
              <w:rPr>
                <w:b/>
                <w:sz w:val="18"/>
              </w:rPr>
              <w:t>W</w:t>
            </w:r>
          </w:p>
        </w:tc>
        <w:tc>
          <w:tcPr>
            <w:tcW w:type="dxa" w:w="1881"/>
            <w:shd w:val="clear" w:color="auto" w:fill="D6E4F0"/>
          </w:tcPr>
          <w:p>
            <w:pPr>
              <w:jc w:val="center"/>
            </w:pPr>
            <w:r/>
            <w:r>
              <w:rPr>
                <w:b/>
                <w:sz w:val="18"/>
              </w:rPr>
              <w:t>α = 2/(W+1)</w:t>
            </w:r>
          </w:p>
        </w:tc>
        <w:tc>
          <w:tcPr>
            <w:tcW w:type="dxa" w:w="1881"/>
            <w:shd w:val="clear" w:color="auto" w:fill="D6E4F0"/>
          </w:tcPr>
          <w:p>
            <w:pPr>
              <w:jc w:val="center"/>
            </w:pPr>
            <w:r/>
            <w:r>
              <w:rPr>
                <w:b/>
                <w:sz w:val="18"/>
              </w:rPr>
              <w:t>MAE 2024</w:t>
            </w:r>
          </w:p>
        </w:tc>
        <w:tc>
          <w:tcPr>
            <w:tcW w:type="dxa" w:w="1881"/>
            <w:shd w:val="clear" w:color="auto" w:fill="D6E4F0"/>
          </w:tcPr>
          <w:p>
            <w:pPr>
              <w:jc w:val="center"/>
            </w:pPr>
            <w:r/>
            <w:r>
              <w:rPr>
                <w:b/>
                <w:sz w:val="18"/>
              </w:rPr>
              <w:t>MAE 2025</w:t>
            </w:r>
          </w:p>
        </w:tc>
        <w:tc>
          <w:tcPr>
            <w:tcW w:type="dxa" w:w="1881"/>
            <w:shd w:val="clear" w:color="auto" w:fill="D6E4F0"/>
          </w:tcPr>
          <w:p>
            <w:pPr>
              <w:jc w:val="center"/>
            </w:pPr>
            <w:r/>
            <w:r>
              <w:rPr>
                <w:b/>
                <w:sz w:val="18"/>
              </w:rPr>
              <w:t>|MAE Gap|</w:t>
            </w:r>
          </w:p>
        </w:tc>
      </w:tr>
      <w:tr>
        <w:tc>
          <w:tcPr>
            <w:tcW w:type="dxa" w:w="1881"/>
            <w:shd w:val="clear" w:color="auto" w:fill="F0F4F8"/>
          </w:tcPr>
          <w:p>
            <w:pPr>
              <w:jc w:val="center"/>
            </w:pPr>
            <w:r/>
            <w:r>
              <w:rPr>
                <w:b w:val="0"/>
                <w:sz w:val="18"/>
              </w:rPr>
              <w:t>3</w:t>
            </w:r>
          </w:p>
        </w:tc>
        <w:tc>
          <w:tcPr>
            <w:tcW w:type="dxa" w:w="1881"/>
            <w:shd w:val="clear" w:color="auto" w:fill="F0F4F8"/>
          </w:tcPr>
          <w:p>
            <w:pPr>
              <w:jc w:val="center"/>
            </w:pPr>
            <w:r/>
            <w:r>
              <w:rPr>
                <w:b w:val="0"/>
                <w:sz w:val="18"/>
              </w:rPr>
              <w:t>0.500</w:t>
            </w:r>
          </w:p>
        </w:tc>
        <w:tc>
          <w:tcPr>
            <w:tcW w:type="dxa" w:w="1881"/>
            <w:shd w:val="clear" w:color="auto" w:fill="F0F4F8"/>
          </w:tcPr>
          <w:p>
            <w:pPr>
              <w:jc w:val="center"/>
            </w:pPr>
            <w:r/>
            <w:r>
              <w:rPr>
                <w:b w:val="0"/>
                <w:sz w:val="18"/>
              </w:rPr>
              <w:t>4.12</w:t>
            </w:r>
          </w:p>
        </w:tc>
        <w:tc>
          <w:tcPr>
            <w:tcW w:type="dxa" w:w="1881"/>
            <w:shd w:val="clear" w:color="auto" w:fill="F0F4F8"/>
          </w:tcPr>
          <w:p>
            <w:pPr>
              <w:jc w:val="center"/>
            </w:pPr>
            <w:r/>
            <w:r>
              <w:rPr>
                <w:b w:val="0"/>
                <w:sz w:val="18"/>
              </w:rPr>
              <w:t>5.14</w:t>
            </w:r>
          </w:p>
        </w:tc>
        <w:tc>
          <w:tcPr>
            <w:tcW w:type="dxa" w:w="1881"/>
            <w:shd w:val="clear" w:color="auto" w:fill="F0F4F8"/>
          </w:tcPr>
          <w:p>
            <w:pPr>
              <w:jc w:val="center"/>
            </w:pPr>
            <w:r/>
            <w:r>
              <w:rPr>
                <w:b w:val="0"/>
                <w:sz w:val="18"/>
              </w:rPr>
              <w:t>1.02</w:t>
            </w:r>
          </w:p>
        </w:tc>
      </w:tr>
      <w:tr>
        <w:tc>
          <w:tcPr>
            <w:tcW w:type="dxa" w:w="1881"/>
          </w:tcPr>
          <w:p>
            <w:pPr>
              <w:jc w:val="center"/>
            </w:pPr>
            <w:r/>
            <w:r>
              <w:rPr>
                <w:b w:val="0"/>
                <w:sz w:val="18"/>
              </w:rPr>
              <w:t>4</w:t>
            </w:r>
          </w:p>
        </w:tc>
        <w:tc>
          <w:tcPr>
            <w:tcW w:type="dxa" w:w="1881"/>
          </w:tcPr>
          <w:p>
            <w:pPr>
              <w:jc w:val="center"/>
            </w:pPr>
            <w:r/>
            <w:r>
              <w:rPr>
                <w:b w:val="0"/>
                <w:sz w:val="18"/>
              </w:rPr>
              <w:t>0.400</w:t>
            </w:r>
          </w:p>
        </w:tc>
        <w:tc>
          <w:tcPr>
            <w:tcW w:type="dxa" w:w="1881"/>
          </w:tcPr>
          <w:p>
            <w:pPr>
              <w:jc w:val="center"/>
            </w:pPr>
            <w:r/>
            <w:r>
              <w:rPr>
                <w:b w:val="0"/>
                <w:sz w:val="18"/>
              </w:rPr>
              <w:t>3.87</w:t>
            </w:r>
          </w:p>
        </w:tc>
        <w:tc>
          <w:tcPr>
            <w:tcW w:type="dxa" w:w="1881"/>
          </w:tcPr>
          <w:p>
            <w:pPr>
              <w:jc w:val="center"/>
            </w:pPr>
            <w:r/>
            <w:r>
              <w:rPr>
                <w:b w:val="0"/>
                <w:sz w:val="18"/>
              </w:rPr>
              <w:t>4.72</w:t>
            </w:r>
          </w:p>
        </w:tc>
        <w:tc>
          <w:tcPr>
            <w:tcW w:type="dxa" w:w="1881"/>
          </w:tcPr>
          <w:p>
            <w:pPr>
              <w:jc w:val="center"/>
            </w:pPr>
            <w:r/>
            <w:r>
              <w:rPr>
                <w:b w:val="0"/>
                <w:sz w:val="18"/>
              </w:rPr>
              <w:t>0.85</w:t>
            </w:r>
          </w:p>
        </w:tc>
      </w:tr>
      <w:tr>
        <w:tc>
          <w:tcPr>
            <w:tcW w:type="dxa" w:w="1881"/>
            <w:shd w:val="clear" w:color="auto" w:fill="FFF3CD"/>
          </w:tcPr>
          <w:p>
            <w:pPr>
              <w:jc w:val="center"/>
            </w:pPr>
            <w:r/>
            <w:r>
              <w:rPr>
                <w:b/>
                <w:sz w:val="18"/>
              </w:rPr>
              <w:t>★ 5</w:t>
            </w:r>
          </w:p>
        </w:tc>
        <w:tc>
          <w:tcPr>
            <w:tcW w:type="dxa" w:w="1881"/>
            <w:shd w:val="clear" w:color="auto" w:fill="FFF3CD"/>
          </w:tcPr>
          <w:p>
            <w:pPr>
              <w:jc w:val="center"/>
            </w:pPr>
            <w:r/>
            <w:r>
              <w:rPr>
                <w:b/>
                <w:sz w:val="18"/>
              </w:rPr>
              <w:t>0.333</w:t>
            </w:r>
          </w:p>
        </w:tc>
        <w:tc>
          <w:tcPr>
            <w:tcW w:type="dxa" w:w="1881"/>
            <w:shd w:val="clear" w:color="auto" w:fill="FFF3CD"/>
          </w:tcPr>
          <w:p>
            <w:pPr>
              <w:jc w:val="center"/>
            </w:pPr>
            <w:r/>
            <w:r>
              <w:rPr>
                <w:b/>
                <w:sz w:val="18"/>
              </w:rPr>
              <w:t>3.06</w:t>
            </w:r>
          </w:p>
        </w:tc>
        <w:tc>
          <w:tcPr>
            <w:tcW w:type="dxa" w:w="1881"/>
            <w:shd w:val="clear" w:color="auto" w:fill="FFF3CD"/>
          </w:tcPr>
          <w:p>
            <w:pPr>
              <w:jc w:val="center"/>
            </w:pPr>
            <w:r/>
            <w:r>
              <w:rPr>
                <w:b/>
                <w:sz w:val="18"/>
              </w:rPr>
              <w:t>3.74</w:t>
            </w:r>
          </w:p>
        </w:tc>
        <w:tc>
          <w:tcPr>
            <w:tcW w:type="dxa" w:w="1881"/>
            <w:shd w:val="clear" w:color="auto" w:fill="FFF3CD"/>
          </w:tcPr>
          <w:p>
            <w:pPr>
              <w:jc w:val="center"/>
            </w:pPr>
            <w:r/>
            <w:r>
              <w:rPr>
                <w:b/>
                <w:sz w:val="18"/>
              </w:rPr>
              <w:t>0.68</w:t>
            </w:r>
          </w:p>
        </w:tc>
      </w:tr>
      <w:tr>
        <w:tc>
          <w:tcPr>
            <w:tcW w:type="dxa" w:w="1881"/>
          </w:tcPr>
          <w:p>
            <w:pPr>
              <w:jc w:val="center"/>
            </w:pPr>
            <w:r/>
            <w:r>
              <w:rPr>
                <w:b w:val="0"/>
                <w:sz w:val="18"/>
              </w:rPr>
              <w:t>6</w:t>
            </w:r>
          </w:p>
        </w:tc>
        <w:tc>
          <w:tcPr>
            <w:tcW w:type="dxa" w:w="1881"/>
          </w:tcPr>
          <w:p>
            <w:pPr>
              <w:jc w:val="center"/>
            </w:pPr>
            <w:r/>
            <w:r>
              <w:rPr>
                <w:b w:val="0"/>
                <w:sz w:val="18"/>
              </w:rPr>
              <w:t>0.286</w:t>
            </w:r>
          </w:p>
        </w:tc>
        <w:tc>
          <w:tcPr>
            <w:tcW w:type="dxa" w:w="1881"/>
          </w:tcPr>
          <w:p>
            <w:pPr>
              <w:jc w:val="center"/>
            </w:pPr>
            <w:r/>
            <w:r>
              <w:rPr>
                <w:b w:val="0"/>
                <w:sz w:val="18"/>
              </w:rPr>
              <w:t>3.18</w:t>
            </w:r>
          </w:p>
        </w:tc>
        <w:tc>
          <w:tcPr>
            <w:tcW w:type="dxa" w:w="1881"/>
          </w:tcPr>
          <w:p>
            <w:pPr>
              <w:jc w:val="center"/>
            </w:pPr>
            <w:r/>
            <w:r>
              <w:rPr>
                <w:b w:val="0"/>
                <w:sz w:val="18"/>
              </w:rPr>
              <w:t>3.82</w:t>
            </w:r>
          </w:p>
        </w:tc>
        <w:tc>
          <w:tcPr>
            <w:tcW w:type="dxa" w:w="1881"/>
          </w:tcPr>
          <w:p>
            <w:pPr>
              <w:jc w:val="center"/>
            </w:pPr>
            <w:r/>
            <w:r>
              <w:rPr>
                <w:b w:val="0"/>
                <w:sz w:val="18"/>
              </w:rPr>
              <w:t>0.64</w:t>
            </w:r>
          </w:p>
        </w:tc>
      </w:tr>
      <w:tr>
        <w:tc>
          <w:tcPr>
            <w:tcW w:type="dxa" w:w="1881"/>
            <w:shd w:val="clear" w:color="auto" w:fill="F0F4F8"/>
          </w:tcPr>
          <w:p>
            <w:pPr>
              <w:jc w:val="center"/>
            </w:pPr>
            <w:r/>
            <w:r>
              <w:rPr>
                <w:b w:val="0"/>
                <w:sz w:val="18"/>
              </w:rPr>
              <w:t>7</w:t>
            </w:r>
          </w:p>
        </w:tc>
        <w:tc>
          <w:tcPr>
            <w:tcW w:type="dxa" w:w="1881"/>
            <w:shd w:val="clear" w:color="auto" w:fill="F0F4F8"/>
          </w:tcPr>
          <w:p>
            <w:pPr>
              <w:jc w:val="center"/>
            </w:pPr>
            <w:r/>
            <w:r>
              <w:rPr>
                <w:b w:val="0"/>
                <w:sz w:val="18"/>
              </w:rPr>
              <w:t>0.250</w:t>
            </w:r>
          </w:p>
        </w:tc>
        <w:tc>
          <w:tcPr>
            <w:tcW w:type="dxa" w:w="1881"/>
            <w:shd w:val="clear" w:color="auto" w:fill="F0F4F8"/>
          </w:tcPr>
          <w:p>
            <w:pPr>
              <w:jc w:val="center"/>
            </w:pPr>
            <w:r/>
            <w:r>
              <w:rPr>
                <w:b w:val="0"/>
                <w:sz w:val="18"/>
              </w:rPr>
              <w:t>3.31</w:t>
            </w:r>
          </w:p>
        </w:tc>
        <w:tc>
          <w:tcPr>
            <w:tcW w:type="dxa" w:w="1881"/>
            <w:shd w:val="clear" w:color="auto" w:fill="F0F4F8"/>
          </w:tcPr>
          <w:p>
            <w:pPr>
              <w:jc w:val="center"/>
            </w:pPr>
            <w:r/>
            <w:r>
              <w:rPr>
                <w:b w:val="0"/>
                <w:sz w:val="18"/>
              </w:rPr>
              <w:t>3.91</w:t>
            </w:r>
          </w:p>
        </w:tc>
        <w:tc>
          <w:tcPr>
            <w:tcW w:type="dxa" w:w="1881"/>
            <w:shd w:val="clear" w:color="auto" w:fill="F0F4F8"/>
          </w:tcPr>
          <w:p>
            <w:pPr>
              <w:jc w:val="center"/>
            </w:pPr>
            <w:r/>
            <w:r>
              <w:rPr>
                <w:b w:val="0"/>
                <w:sz w:val="18"/>
              </w:rPr>
              <w:t>0.60</w:t>
            </w:r>
          </w:p>
        </w:tc>
      </w:tr>
      <w:tr>
        <w:tc>
          <w:tcPr>
            <w:tcW w:type="dxa" w:w="1881"/>
          </w:tcPr>
          <w:p>
            <w:pPr>
              <w:jc w:val="center"/>
            </w:pPr>
            <w:r/>
            <w:r>
              <w:rPr>
                <w:b w:val="0"/>
                <w:sz w:val="18"/>
              </w:rPr>
              <w:t>8</w:t>
            </w:r>
          </w:p>
        </w:tc>
        <w:tc>
          <w:tcPr>
            <w:tcW w:type="dxa" w:w="1881"/>
          </w:tcPr>
          <w:p>
            <w:pPr>
              <w:jc w:val="center"/>
            </w:pPr>
            <w:r/>
            <w:r>
              <w:rPr>
                <w:b w:val="0"/>
                <w:sz w:val="18"/>
              </w:rPr>
              <w:t>0.222</w:t>
            </w:r>
          </w:p>
        </w:tc>
        <w:tc>
          <w:tcPr>
            <w:tcW w:type="dxa" w:w="1881"/>
          </w:tcPr>
          <w:p>
            <w:pPr>
              <w:jc w:val="center"/>
            </w:pPr>
            <w:r/>
            <w:r>
              <w:rPr>
                <w:b w:val="0"/>
                <w:sz w:val="18"/>
              </w:rPr>
              <w:t>3.47</w:t>
            </w:r>
          </w:p>
        </w:tc>
        <w:tc>
          <w:tcPr>
            <w:tcW w:type="dxa" w:w="1881"/>
          </w:tcPr>
          <w:p>
            <w:pPr>
              <w:jc w:val="center"/>
            </w:pPr>
            <w:r/>
            <w:r>
              <w:rPr>
                <w:b w:val="0"/>
                <w:sz w:val="18"/>
              </w:rPr>
              <w:t>4.05</w:t>
            </w:r>
          </w:p>
        </w:tc>
        <w:tc>
          <w:tcPr>
            <w:tcW w:type="dxa" w:w="1881"/>
          </w:tcPr>
          <w:p>
            <w:pPr>
              <w:jc w:val="center"/>
            </w:pPr>
            <w:r/>
            <w:r>
              <w:rPr>
                <w:b w:val="0"/>
                <w:sz w:val="18"/>
              </w:rPr>
              <w:t>0.58</w:t>
            </w:r>
          </w:p>
        </w:tc>
      </w:tr>
      <w:tr>
        <w:tc>
          <w:tcPr>
            <w:tcW w:type="dxa" w:w="1881"/>
            <w:shd w:val="clear" w:color="auto" w:fill="F0F4F8"/>
          </w:tcPr>
          <w:p>
            <w:pPr>
              <w:jc w:val="center"/>
            </w:pPr>
            <w:r/>
            <w:r>
              <w:rPr>
                <w:b w:val="0"/>
                <w:sz w:val="18"/>
              </w:rPr>
              <w:t>9</w:t>
            </w:r>
          </w:p>
        </w:tc>
        <w:tc>
          <w:tcPr>
            <w:tcW w:type="dxa" w:w="1881"/>
            <w:shd w:val="clear" w:color="auto" w:fill="F0F4F8"/>
          </w:tcPr>
          <w:p>
            <w:pPr>
              <w:jc w:val="center"/>
            </w:pPr>
            <w:r/>
            <w:r>
              <w:rPr>
                <w:b w:val="0"/>
                <w:sz w:val="18"/>
              </w:rPr>
              <w:t>0.200</w:t>
            </w:r>
          </w:p>
        </w:tc>
        <w:tc>
          <w:tcPr>
            <w:tcW w:type="dxa" w:w="1881"/>
            <w:shd w:val="clear" w:color="auto" w:fill="F0F4F8"/>
          </w:tcPr>
          <w:p>
            <w:pPr>
              <w:jc w:val="center"/>
            </w:pPr>
            <w:r/>
            <w:r>
              <w:rPr>
                <w:b w:val="0"/>
                <w:sz w:val="18"/>
              </w:rPr>
              <w:t>3.62</w:t>
            </w:r>
          </w:p>
        </w:tc>
        <w:tc>
          <w:tcPr>
            <w:tcW w:type="dxa" w:w="1881"/>
            <w:shd w:val="clear" w:color="auto" w:fill="F0F4F8"/>
          </w:tcPr>
          <w:p>
            <w:pPr>
              <w:jc w:val="center"/>
            </w:pPr>
            <w:r/>
            <w:r>
              <w:rPr>
                <w:b w:val="0"/>
                <w:sz w:val="18"/>
              </w:rPr>
              <w:t>4.19</w:t>
            </w:r>
          </w:p>
        </w:tc>
        <w:tc>
          <w:tcPr>
            <w:tcW w:type="dxa" w:w="1881"/>
            <w:shd w:val="clear" w:color="auto" w:fill="F0F4F8"/>
          </w:tcPr>
          <w:p>
            <w:pPr>
              <w:jc w:val="center"/>
            </w:pPr>
            <w:r/>
            <w:r>
              <w:rPr>
                <w:b w:val="0"/>
                <w:sz w:val="18"/>
              </w:rPr>
              <w:t>0.57</w:t>
            </w:r>
          </w:p>
        </w:tc>
      </w:tr>
      <w:tr>
        <w:tc>
          <w:tcPr>
            <w:tcW w:type="dxa" w:w="1881"/>
          </w:tcPr>
          <w:p>
            <w:pPr>
              <w:jc w:val="center"/>
            </w:pPr>
            <w:r/>
            <w:r>
              <w:rPr>
                <w:b w:val="0"/>
                <w:sz w:val="18"/>
              </w:rPr>
              <w:t>10</w:t>
            </w:r>
          </w:p>
        </w:tc>
        <w:tc>
          <w:tcPr>
            <w:tcW w:type="dxa" w:w="1881"/>
          </w:tcPr>
          <w:p>
            <w:pPr>
              <w:jc w:val="center"/>
            </w:pPr>
            <w:r/>
            <w:r>
              <w:rPr>
                <w:b w:val="0"/>
                <w:sz w:val="18"/>
              </w:rPr>
              <w:t>0.182</w:t>
            </w:r>
          </w:p>
        </w:tc>
        <w:tc>
          <w:tcPr>
            <w:tcW w:type="dxa" w:w="1881"/>
          </w:tcPr>
          <w:p>
            <w:pPr>
              <w:jc w:val="center"/>
            </w:pPr>
            <w:r/>
            <w:r>
              <w:rPr>
                <w:b w:val="0"/>
                <w:sz w:val="18"/>
              </w:rPr>
              <w:t>3.78</w:t>
            </w:r>
          </w:p>
        </w:tc>
        <w:tc>
          <w:tcPr>
            <w:tcW w:type="dxa" w:w="1881"/>
          </w:tcPr>
          <w:p>
            <w:pPr>
              <w:jc w:val="center"/>
            </w:pPr>
            <w:r/>
            <w:r>
              <w:rPr>
                <w:b w:val="0"/>
                <w:sz w:val="18"/>
              </w:rPr>
              <w:t>4.33</w:t>
            </w:r>
          </w:p>
        </w:tc>
        <w:tc>
          <w:tcPr>
            <w:tcW w:type="dxa" w:w="1881"/>
          </w:tcPr>
          <w:p>
            <w:pPr>
              <w:jc w:val="center"/>
            </w:pPr>
            <w:r/>
            <w:r>
              <w:rPr>
                <w:b w:val="0"/>
                <w:sz w:val="18"/>
              </w:rPr>
              <w:t>0.55</w:t>
            </w:r>
          </w:p>
        </w:tc>
      </w:tr>
    </w:tbl>
    <w:p/>
    <w:p>
      <w:pPr>
        <w:spacing w:after="120"/>
      </w:pPr>
      <w:r>
        <w:rPr>
          <w:b w:val="0"/>
          <w:i/>
        </w:rPr>
        <w:t>★ Selected: W=5 achieves the best balance of accuracy (MAE 2025=3.74) and cross-year consistency (|Gap|=0.68). W≥8 reduces the gap further but degrades absolute accuracy.</w:t>
      </w:r>
    </w:p>
    <w:p>
      <w:pPr>
        <w:pStyle w:val="Heading2"/>
      </w:pPr>
      <w:r>
        <w:t>4.4 Launch Boost Factor</w:t>
      </w:r>
    </w:p>
    <w:p>
      <w:pPr>
        <w:spacing w:after="120"/>
      </w:pPr>
      <w:r>
        <w:rPr>
          <w:b w:val="0"/>
          <w:i w:val="0"/>
        </w:rPr>
        <w:t>The STL seasonal indices are estimated from 2024–2025 historical data. For models that have been in market throughout this period (A2V02, A3V02, B1V01), the historical indices are directly applicable to 2026. For A1V01, which was launched in September 2025, only four months of sales history are available, and these months show elevated demand relative to the mature-product seasonal pattern — a typical new-model launch effect documented by Mahajan and van Ryzin (2001).</w:t>
      </w:r>
    </w:p>
    <w:p>
      <w:pPr>
        <w:spacing w:after="120"/>
      </w:pPr>
      <w:r>
        <w:rPr>
          <w:b w:val="0"/>
          <w:i w:val="0"/>
        </w:rPr>
        <w:t>A multiplicative launch boost factor λ = 1.11 is applied to A1V01's seasonal index for months March 2026 onwards (when the sustained elevated demand is expected to persist before normalizing toward the fleet average). The value 1.11 is derived from the observed ratio of actual A1V01 monthly sales to the brand's average new-model sales in the first four months post-launch. The boost reverts to 1.00 from month 7 onwards as the novelty premium dissipates.</w:t>
      </w:r>
    </w:p>
    <w:p>
      <w:r>
        <w:br w:type="page"/>
      </w:r>
    </w:p>
    <w:p>
      <w:pPr>
        <w:pStyle w:val="Heading1"/>
      </w:pPr>
      <w:r>
        <w:t>5. LAYER 2: MULTI-CRITERIA DEALER SCORING</w:t>
      </w:r>
    </w:p>
    <w:p>
      <w:pPr>
        <w:spacing w:after="120"/>
      </w:pPr>
      <w:r>
        <w:rPr>
          <w:b w:val="0"/>
          <w:i w:val="0"/>
        </w:rPr>
        <w:t>Layer 2 computes a composite score C_d for each dealer d ∈ {1, …, 28} as a weighted linear combination of four normalized sub-scores. The composite score is:</w:t>
      </w:r>
    </w:p>
    <w:p>
      <w:pPr>
        <w:spacing w:before="80" w:after="80"/>
        <w:jc w:val="center"/>
      </w:pPr>
      <w:r>
        <w:rPr>
          <w:i/>
          <w:sz w:val="22"/>
        </w:rPr>
        <w:t>C_d  =  0.25 × P_d  +  0.35 × LP_d  +  0.20 × S_d  +  0.20 × H_d</w:t>
      </w:r>
    </w:p>
    <w:p>
      <w:pPr>
        <w:spacing w:after="80"/>
        <w:jc w:val="center"/>
      </w:pPr>
      <w:r>
        <w:rPr>
          <w:b/>
          <w:sz w:val="20"/>
        </w:rPr>
        <w:t>Table C. MCDM Criteria Summary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Criterion</w:t>
            </w:r>
          </w:p>
        </w:tc>
        <w:tc>
          <w:tcPr>
            <w:tcW w:type="dxa" w:w="2351"/>
            <w:shd w:val="clear" w:color="auto" w:fill="D6E4F0"/>
          </w:tcPr>
          <w:p>
            <w:pPr>
              <w:jc w:val="center"/>
            </w:pPr>
            <w:r/>
            <w:r>
              <w:rPr>
                <w:b/>
                <w:sz w:val="18"/>
              </w:rPr>
              <w:t>Symbol</w:t>
            </w:r>
          </w:p>
        </w:tc>
        <w:tc>
          <w:tcPr>
            <w:tcW w:type="dxa" w:w="2351"/>
            <w:shd w:val="clear" w:color="auto" w:fill="D6E4F0"/>
          </w:tcPr>
          <w:p>
            <w:pPr>
              <w:jc w:val="center"/>
            </w:pPr>
            <w:r/>
            <w:r>
              <w:rPr>
                <w:b/>
                <w:sz w:val="18"/>
              </w:rPr>
              <w:t>Weight</w:t>
            </w:r>
          </w:p>
        </w:tc>
        <w:tc>
          <w:tcPr>
            <w:tcW w:type="dxa" w:w="2351"/>
            <w:shd w:val="clear" w:color="auto" w:fill="D6E4F0"/>
          </w:tcPr>
          <w:p>
            <w:pPr>
              <w:jc w:val="center"/>
            </w:pPr>
            <w:r/>
            <w:r>
              <w:rPr>
                <w:b/>
                <w:sz w:val="18"/>
              </w:rPr>
              <w:t>Rationale</w:t>
            </w:r>
          </w:p>
        </w:tc>
      </w:tr>
      <w:tr>
        <w:tc>
          <w:tcPr>
            <w:tcW w:type="dxa" w:w="2351"/>
            <w:shd w:val="clear" w:color="auto" w:fill="F0F4F8"/>
          </w:tcPr>
          <w:p>
            <w:r/>
            <w:r>
              <w:rPr>
                <w:b w:val="0"/>
                <w:sz w:val="18"/>
              </w:rPr>
              <w:t>Performance Score</w:t>
            </w:r>
          </w:p>
        </w:tc>
        <w:tc>
          <w:tcPr>
            <w:tcW w:type="dxa" w:w="2351"/>
            <w:shd w:val="clear" w:color="auto" w:fill="F0F4F8"/>
          </w:tcPr>
          <w:p>
            <w:pPr>
              <w:jc w:val="center"/>
            </w:pPr>
            <w:r/>
            <w:r>
              <w:rPr>
                <w:b w:val="0"/>
                <w:sz w:val="18"/>
              </w:rPr>
              <w:t>P_d</w:t>
            </w:r>
          </w:p>
        </w:tc>
        <w:tc>
          <w:tcPr>
            <w:tcW w:type="dxa" w:w="2351"/>
            <w:shd w:val="clear" w:color="auto" w:fill="F0F4F8"/>
          </w:tcPr>
          <w:p>
            <w:pPr>
              <w:jc w:val="center"/>
            </w:pPr>
            <w:r/>
            <w:r>
              <w:rPr>
                <w:b w:val="0"/>
                <w:sz w:val="18"/>
              </w:rPr>
              <w:t>0.25</w:t>
            </w:r>
          </w:p>
        </w:tc>
        <w:tc>
          <w:tcPr>
            <w:tcW w:type="dxa" w:w="2351"/>
            <w:shd w:val="clear" w:color="auto" w:fill="F0F4F8"/>
          </w:tcPr>
          <w:p>
            <w:r/>
            <w:r>
              <w:rPr>
                <w:b w:val="0"/>
                <w:sz w:val="18"/>
              </w:rPr>
              <w:t>EWMA of 2025 monthly target-achievement ratios; rewards consistent delivery</w:t>
            </w:r>
          </w:p>
        </w:tc>
      </w:tr>
      <w:tr>
        <w:tc>
          <w:tcPr>
            <w:tcW w:type="dxa" w:w="2351"/>
          </w:tcPr>
          <w:p>
            <w:r/>
            <w:r>
              <w:rPr>
                <w:b w:val="0"/>
                <w:sz w:val="18"/>
              </w:rPr>
              <w:t>Location-Product Fit</w:t>
            </w:r>
          </w:p>
        </w:tc>
        <w:tc>
          <w:tcPr>
            <w:tcW w:type="dxa" w:w="2351"/>
          </w:tcPr>
          <w:p>
            <w:pPr>
              <w:jc w:val="center"/>
            </w:pPr>
            <w:r/>
            <w:r>
              <w:rPr>
                <w:b w:val="0"/>
                <w:sz w:val="18"/>
              </w:rPr>
              <w:t>LP_d</w:t>
            </w:r>
          </w:p>
        </w:tc>
        <w:tc>
          <w:tcPr>
            <w:tcW w:type="dxa" w:w="2351"/>
          </w:tcPr>
          <w:p>
            <w:pPr>
              <w:jc w:val="center"/>
            </w:pPr>
            <w:r/>
            <w:r>
              <w:rPr>
                <w:b w:val="0"/>
                <w:sz w:val="18"/>
              </w:rPr>
              <w:t>0.35</w:t>
            </w:r>
          </w:p>
        </w:tc>
        <w:tc>
          <w:tcPr>
            <w:tcW w:type="dxa" w:w="2351"/>
          </w:tcPr>
          <w:p>
            <w:r/>
            <w:r>
              <w:rPr>
                <w:b w:val="0"/>
                <w:sz w:val="18"/>
              </w:rPr>
              <w:t>Cosine similarity of dealer sales vector vs. depot inventory; ensures product-market fit</w:t>
            </w:r>
          </w:p>
        </w:tc>
      </w:tr>
      <w:tr>
        <w:tc>
          <w:tcPr>
            <w:tcW w:type="dxa" w:w="2351"/>
            <w:shd w:val="clear" w:color="auto" w:fill="F0F4F8"/>
          </w:tcPr>
          <w:p>
            <w:r/>
            <w:r>
              <w:rPr>
                <w:b w:val="0"/>
                <w:sz w:val="18"/>
              </w:rPr>
              <w:t>Seasonal Alignment</w:t>
            </w:r>
          </w:p>
        </w:tc>
        <w:tc>
          <w:tcPr>
            <w:tcW w:type="dxa" w:w="2351"/>
            <w:shd w:val="clear" w:color="auto" w:fill="F0F4F8"/>
          </w:tcPr>
          <w:p>
            <w:pPr>
              <w:jc w:val="center"/>
            </w:pPr>
            <w:r/>
            <w:r>
              <w:rPr>
                <w:b w:val="0"/>
                <w:sz w:val="18"/>
              </w:rPr>
              <w:t>S_d</w:t>
            </w:r>
          </w:p>
        </w:tc>
        <w:tc>
          <w:tcPr>
            <w:tcW w:type="dxa" w:w="2351"/>
            <w:shd w:val="clear" w:color="auto" w:fill="F0F4F8"/>
          </w:tcPr>
          <w:p>
            <w:pPr>
              <w:jc w:val="center"/>
            </w:pPr>
            <w:r/>
            <w:r>
              <w:rPr>
                <w:b w:val="0"/>
                <w:sz w:val="18"/>
              </w:rPr>
              <w:t>0.20</w:t>
            </w:r>
          </w:p>
        </w:tc>
        <w:tc>
          <w:tcPr>
            <w:tcW w:type="dxa" w:w="2351"/>
            <w:shd w:val="clear" w:color="auto" w:fill="F0F4F8"/>
          </w:tcPr>
          <w:p>
            <w:r/>
            <w:r>
              <w:rPr>
                <w:b w:val="0"/>
                <w:sz w:val="18"/>
              </w:rPr>
              <w:t>Dealer-specific seasonal index normalized to [0,1]; allocates more in high-demand months</w:t>
            </w:r>
          </w:p>
        </w:tc>
      </w:tr>
      <w:tr>
        <w:tc>
          <w:tcPr>
            <w:tcW w:type="dxa" w:w="2351"/>
          </w:tcPr>
          <w:p>
            <w:r/>
            <w:r>
              <w:rPr>
                <w:b w:val="0"/>
                <w:sz w:val="18"/>
              </w:rPr>
              <w:t>Target Proximity</w:t>
            </w:r>
          </w:p>
        </w:tc>
        <w:tc>
          <w:tcPr>
            <w:tcW w:type="dxa" w:w="2351"/>
          </w:tcPr>
          <w:p>
            <w:pPr>
              <w:jc w:val="center"/>
            </w:pPr>
            <w:r/>
            <w:r>
              <w:rPr>
                <w:b w:val="0"/>
                <w:sz w:val="18"/>
              </w:rPr>
              <w:t>H_d</w:t>
            </w:r>
          </w:p>
        </w:tc>
        <w:tc>
          <w:tcPr>
            <w:tcW w:type="dxa" w:w="2351"/>
          </w:tcPr>
          <w:p>
            <w:pPr>
              <w:jc w:val="center"/>
            </w:pPr>
            <w:r/>
            <w:r>
              <w:rPr>
                <w:b w:val="0"/>
                <w:sz w:val="18"/>
              </w:rPr>
              <w:t>0.20</w:t>
            </w:r>
          </w:p>
        </w:tc>
        <w:tc>
          <w:tcPr>
            <w:tcW w:type="dxa" w:w="2351"/>
          </w:tcPr>
          <w:p>
            <w:r/>
            <w:r>
              <w:rPr>
                <w:b w:val="0"/>
                <w:sz w:val="18"/>
              </w:rPr>
              <w:t>Asymmetric penalty for year-to-date lag; prioritizes dealers behind annual target</w:t>
            </w:r>
          </w:p>
        </w:tc>
      </w:tr>
      <w:tr>
        <w:tc>
          <w:tcPr>
            <w:tcW w:type="dxa" w:w="2351"/>
            <w:shd w:val="clear" w:color="auto" w:fill="F0F4F8"/>
          </w:tcPr>
          <w:p>
            <w:r/>
            <w:r>
              <w:rPr>
                <w:b w:val="0"/>
                <w:sz w:val="18"/>
              </w:rPr>
              <w:t>Composite Score</w:t>
            </w:r>
          </w:p>
        </w:tc>
        <w:tc>
          <w:tcPr>
            <w:tcW w:type="dxa" w:w="2351"/>
            <w:shd w:val="clear" w:color="auto" w:fill="F0F4F8"/>
          </w:tcPr>
          <w:p>
            <w:pPr>
              <w:jc w:val="center"/>
            </w:pPr>
            <w:r/>
            <w:r>
              <w:rPr>
                <w:b w:val="0"/>
                <w:sz w:val="18"/>
              </w:rPr>
              <w:t>C_d</w:t>
            </w:r>
          </w:p>
        </w:tc>
        <w:tc>
          <w:tcPr>
            <w:tcW w:type="dxa" w:w="2351"/>
            <w:shd w:val="clear" w:color="auto" w:fill="F0F4F8"/>
          </w:tcPr>
          <w:p>
            <w:pPr>
              <w:jc w:val="center"/>
            </w:pPr>
            <w:r/>
            <w:r>
              <w:rPr>
                <w:b w:val="0"/>
                <w:sz w:val="18"/>
              </w:rPr>
              <w:t>1.00</w:t>
            </w:r>
          </w:p>
        </w:tc>
        <w:tc>
          <w:tcPr>
            <w:tcW w:type="dxa" w:w="2351"/>
            <w:shd w:val="clear" w:color="auto" w:fill="F0F4F8"/>
          </w:tcPr>
          <w:p>
            <w:r/>
            <w:r>
              <w:rPr>
                <w:b w:val="0"/>
                <w:sz w:val="18"/>
              </w:rPr>
              <w:t>Weighted sum; used directly as MILP objective coefficient</w:t>
            </w:r>
          </w:p>
        </w:tc>
      </w:tr>
    </w:tbl>
    <w:p/>
    <w:p>
      <w:pPr>
        <w:pStyle w:val="Heading2"/>
      </w:pPr>
      <w:r>
        <w:t>5.1 Performance Score (P)</w:t>
      </w:r>
    </w:p>
    <w:p>
      <w:pPr>
        <w:spacing w:after="120"/>
      </w:pPr>
      <w:r>
        <w:rPr>
          <w:b w:val="0"/>
          <w:i w:val="0"/>
        </w:rPr>
        <w:t>P_d measures how reliably dealer d has met its monthly sales targets over 2025. The EWMA of the 5-month window of August–December 2025 achievement ratios r_{d,t} is computed:</w:t>
      </w:r>
    </w:p>
    <w:p>
      <w:pPr>
        <w:spacing w:before="80" w:after="80"/>
        <w:jc w:val="center"/>
      </w:pPr>
      <w:r>
        <w:rPr>
          <w:i/>
          <w:sz w:val="22"/>
        </w:rPr>
        <w:t>EW_d  =  α·r_{d,T}  +  α(1−α)·r_{d,T−1}  +  α(1−α)²·r_{d,T−2}  +  α(1−α)³·r_{d,T−3}  +  α(1−α)⁴·r_{d,T−4}</w:t>
      </w:r>
    </w:p>
    <w:p>
      <w:pPr>
        <w:spacing w:after="120"/>
      </w:pPr>
      <w:r>
        <w:rPr>
          <w:b w:val="0"/>
          <w:i w:val="0"/>
        </w:rPr>
        <w:t>where T = December 2025. EW_d is then min-max normalized across all dealers:</w:t>
      </w:r>
    </w:p>
    <w:p>
      <w:pPr>
        <w:spacing w:before="80" w:after="80"/>
        <w:jc w:val="center"/>
      </w:pPr>
      <w:r>
        <w:rPr>
          <w:i/>
          <w:sz w:val="22"/>
        </w:rPr>
        <w:t>P_d  =  (EW_d − min_j EW_j)  /  (max_j EW_j − min_j EW_j)</w:t>
      </w:r>
    </w:p>
    <w:p>
      <w:pPr>
        <w:spacing w:after="120"/>
      </w:pPr>
      <w:r>
        <w:rPr>
          <w:b w:val="0"/>
          <w:i w:val="0"/>
        </w:rPr>
        <w:t>A dealer consistently achieving ≥100% of its monthly target scores P_d = 1.0. A dealer with persistent underperformance scores P_d → 0. The min-max normalization ensures P_d ∈ [0, 1].</w:t>
      </w:r>
    </w:p>
    <w:p>
      <w:pPr>
        <w:pStyle w:val="Heading2"/>
      </w:pPr>
      <w:r>
        <w:t>5.2 Location-Product Fit Score (LP)</w:t>
      </w:r>
    </w:p>
    <w:p>
      <w:pPr>
        <w:spacing w:after="120"/>
      </w:pPr>
      <w:r>
        <w:rPr>
          <w:b w:val="0"/>
          <w:i w:val="0"/>
        </w:rPr>
        <w:t>LP_d quantifies the alignment between the current depot inventory composition and dealer d's historical purchasing preferences. The dealer's historical profile is encoded as a vector u_d ∈ ℝ^K where K is the number of distinct (model, version, color) triplets, and u_d[k] counts sales of variant k by dealer d over 2024–2025. The current depot inventory is encoded as v ∈ ℝ^K where v[k] is the available quantity of variant k. The LP score is:</w:t>
      </w:r>
    </w:p>
    <w:p>
      <w:pPr>
        <w:spacing w:before="80" w:after="80"/>
        <w:jc w:val="center"/>
      </w:pPr>
      <w:r>
        <w:rPr>
          <w:i/>
          <w:sz w:val="22"/>
        </w:rPr>
        <w:t>LP_d  =  (u_d · v)  /  (‖u_d‖ · ‖v‖)  ∈  [0, 1]</w:t>
      </w:r>
    </w:p>
    <w:p>
      <w:pPr>
        <w:spacing w:after="120"/>
      </w:pPr>
      <w:r>
        <w:rPr>
          <w:b w:val="0"/>
          <w:i w:val="0"/>
        </w:rPr>
        <w:t>This is the standard cosine similarity. LP_d = 1.0 when the inventory composition perfectly mirrors the dealer's historical preferences; LP_d = 0 when there is no overlap. This formulation is analogous to item-item collaborative filtering (Koren et al., 2009), where the "items" are vehicle variants and the "users" are dealers. Unlike user-based CF, which requires similar dealers to exist in the network, item-based CF scales directly with the number of variants K and does not require dealer similarity computation.</w:t>
      </w:r>
    </w:p>
    <w:p>
      <w:pPr>
        <w:pStyle w:val="Heading2"/>
      </w:pPr>
      <w:r>
        <w:t>5.3 Seasonal Alignment Score (S)</w:t>
      </w:r>
    </w:p>
    <w:p>
      <w:pPr>
        <w:spacing w:after="120"/>
      </w:pPr>
      <w:r>
        <w:rPr>
          <w:b w:val="0"/>
          <w:i w:val="0"/>
        </w:rPr>
        <w:t>S_d captures the expected relative demand for the allocation month at dealer d's location. A dealer-specific seasonal index SI_{d,m} is computed from the dealer's own 24-month sales history using the same STL methodology applied at the brand level. S_d is normalized by the maximum seasonal index across all active dealers in month m:</w:t>
      </w:r>
    </w:p>
    <w:p>
      <w:pPr>
        <w:spacing w:before="80" w:after="80"/>
        <w:jc w:val="center"/>
      </w:pPr>
      <w:r>
        <w:rPr>
          <w:i/>
          <w:sz w:val="22"/>
        </w:rPr>
        <w:t>S_d  =  SI_{d,m}  /  max_j (SI_{j,m})  ∈  (0, 1]</w:t>
      </w:r>
    </w:p>
    <w:p>
      <w:pPr>
        <w:spacing w:after="120"/>
      </w:pPr>
      <w:r>
        <w:rPr>
          <w:b w:val="0"/>
          <w:i w:val="0"/>
        </w:rPr>
        <w:t>For January 2026, SI values range from 0.41 to 0.86 across active dealers, reflecting significant regional variation in seasonal demand patterns — dealers in resort or university cities show different patterns than those in industrial cities.</w:t>
      </w:r>
    </w:p>
    <w:p>
      <w:pPr>
        <w:pStyle w:val="Heading2"/>
      </w:pPr>
      <w:r>
        <w:t>5.4 Target Proximity Score (H)</w:t>
      </w:r>
    </w:p>
    <w:p>
      <w:pPr>
        <w:spacing w:after="120"/>
      </w:pPr>
      <w:r>
        <w:rPr>
          <w:b w:val="0"/>
          <w:i w:val="0"/>
        </w:rPr>
        <w:t>H_d introduces an asymmetric incentive structure. The year-to-date lag for dealer d is:</w:t>
      </w:r>
    </w:p>
    <w:p>
      <w:pPr>
        <w:spacing w:before="80" w:after="80"/>
        <w:jc w:val="center"/>
      </w:pPr>
      <w:r>
        <w:rPr>
          <w:i/>
          <w:sz w:val="22"/>
        </w:rPr>
        <w:t>lag_d  =  max(0,  expected_ytd_d − actual_ytd_d)  /  annual_target_d</w:t>
      </w:r>
    </w:p>
    <w:p>
      <w:pPr>
        <w:spacing w:after="120"/>
      </w:pPr>
      <w:r>
        <w:rPr>
          <w:b w:val="0"/>
          <w:i w:val="0"/>
        </w:rPr>
        <w:t>where expected_ytd_d = annual_target_d × (months_elapsed / 12). The H score is:</w:t>
      </w:r>
    </w:p>
    <w:p>
      <w:pPr>
        <w:spacing w:before="80" w:after="80"/>
        <w:jc w:val="center"/>
      </w:pPr>
      <w:r>
        <w:rPr>
          <w:i/>
          <w:sz w:val="22"/>
        </w:rPr>
        <w:t>H_d  =  1  +  lag_d  ≥  1</w:t>
      </w:r>
    </w:p>
    <w:p>
      <w:pPr>
        <w:spacing w:after="120"/>
      </w:pPr>
      <w:r>
        <w:rPr>
          <w:b w:val="0"/>
          <w:i w:val="0"/>
        </w:rPr>
        <w:t>For a dealer exactly on track or ahead of target, lag_d = 0 and H_d = 1.0. For a dealer 15% behind its pro-rated annual target, lag_d = 0.15 and H_d = 1.15. The asymmetric design means over-performance does not penalize a dealer (H_d does not fall below 1.0), reflecting the brand's priority of ensuring all dealers achieve their contractual annual commitments. For January 2026 (the first allocation month), YTD data is not yet available, so H_d is computed relative to the December 2025 year-end position.</w:t>
      </w:r>
    </w:p>
    <w:p>
      <w:pPr>
        <w:pStyle w:val="Heading2"/>
      </w:pPr>
      <w:r>
        <w:t>5.5 Composite Score Computation</w:t>
      </w:r>
    </w:p>
    <w:p>
      <w:pPr>
        <w:spacing w:after="120"/>
      </w:pPr>
      <w:r>
        <w:rPr>
          <w:b w:val="0"/>
          <w:i w:val="0"/>
        </w:rPr>
        <w:t>For the January 2026 instance, composite scores C_d were computed for all 28 registered dealers. The 22 active dealers (those with AKTİF status in January per Bayi-Aktiflik-Durumu.csv) were included in the MILP. Figure 5 shows the score breakdown by criterion for all scored dealers.</w:t>
      </w:r>
    </w:p>
    <w:p>
      <w:pPr>
        <w:jc w:val="center"/>
      </w:pPr>
      <w:r>
        <w:drawing>
          <wp:inline xmlns:a="http://schemas.openxmlformats.org/drawingml/2006/main" xmlns:pic="http://schemas.openxmlformats.org/drawingml/2006/picture">
            <wp:extent cx="5303520" cy="4228530"/>
            <wp:docPr id="5" name="Picture 5"/>
            <wp:cNvGraphicFramePr>
              <a:graphicFrameLocks noChangeAspect="1"/>
            </wp:cNvGraphicFramePr>
            <a:graphic>
              <a:graphicData uri="http://schemas.openxmlformats.org/drawingml/2006/picture">
                <pic:pic>
                  <pic:nvPicPr>
                    <pic:cNvPr id="0" name="fig5_mcdm.png"/>
                    <pic:cNvPicPr/>
                  </pic:nvPicPr>
                  <pic:blipFill>
                    <a:blip r:embed="rId14"/>
                    <a:stretch>
                      <a:fillRect/>
                    </a:stretch>
                  </pic:blipFill>
                  <pic:spPr>
                    <a:xfrm>
                      <a:off x="0" y="0"/>
                      <a:ext cx="5303520" cy="4228530"/>
                    </a:xfrm>
                    <a:prstGeom prst="rect"/>
                  </pic:spPr>
                </pic:pic>
              </a:graphicData>
            </a:graphic>
          </wp:inline>
        </w:drawing>
      </w:r>
    </w:p>
    <w:p>
      <w:pPr>
        <w:spacing w:after="240"/>
        <w:jc w:val="center"/>
      </w:pPr>
      <w:r>
        <w:rPr>
          <w:b/>
          <w:sz w:val="20"/>
        </w:rPr>
        <w:t>Figure 5. MCDM Composite Score Distribution — Dealer Ranking (January 2026)</w:t>
      </w:r>
    </w:p>
    <w:p>
      <w:pPr>
        <w:spacing w:after="120"/>
      </w:pPr>
      <w:r>
        <w:rPr>
          <w:b w:val="0"/>
          <w:i w:val="0"/>
        </w:rPr>
        <w:t>The composite score range for active January dealers is [0.41, 0.856], with a mean of 0.623 and standard deviation 0.108. The LP criterion (weight 0.35) is the dominant differentiator: dealers whose historical sales skew toward A2V02 and B1V01 — the two variants with the highest January depot quantities — achieve LP scores above 0.70.</w:t>
      </w:r>
    </w:p>
    <w:p>
      <w:r>
        <w:br w:type="page"/>
      </w:r>
    </w:p>
    <w:p>
      <w:pPr>
        <w:pStyle w:val="Heading1"/>
      </w:pPr>
      <w:r>
        <w:t>6. LAYER 3: MILP ALLOCATION MODEL</w:t>
      </w:r>
    </w:p>
    <w:p>
      <w:pPr>
        <w:pStyle w:val="Heading2"/>
      </w:pPr>
      <w:r>
        <w:t>6.1 Problem Formulation</w:t>
      </w:r>
    </w:p>
    <w:p>
      <w:pPr>
        <w:spacing w:after="120"/>
      </w:pPr>
      <w:r>
        <w:rPr>
          <w:b w:val="0"/>
          <w:i w:val="0"/>
        </w:rPr>
        <w:t>The monthly vehicle allocation problem is formulated as a Mixed-Integer Linear Program. Let D_m ⊆ {1, …, 28} be the set of active dealers in month m (|D_Jan| = 22), V be the set of vehicle variants, and V_A, V_B ⊆ V the A-group and B-group variant subsets. Decision variable x[v][d] ∈ ℤ_{≥0} denotes units of variant v allocated to dealer d.</w:t>
      </w:r>
    </w:p>
    <w:p>
      <w:pPr>
        <w:spacing w:after="80"/>
        <w:jc w:val="center"/>
      </w:pPr>
      <w:r>
        <w:rPr>
          <w:b/>
          <w:sz w:val="20"/>
        </w:rPr>
        <w:t>Table D. Sets, Parameters, and Variables of the MILP Model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6E4F0"/>
          </w:tcPr>
          <w:p>
            <w:pPr>
              <w:jc w:val="center"/>
            </w:pPr>
            <w:r/>
            <w:r>
              <w:rPr>
                <w:b/>
                <w:sz w:val="18"/>
              </w:rPr>
              <w:t>Symbol</w:t>
            </w:r>
          </w:p>
        </w:tc>
        <w:tc>
          <w:tcPr>
            <w:tcW w:type="dxa" w:w="3135"/>
            <w:shd w:val="clear" w:color="auto" w:fill="D6E4F0"/>
          </w:tcPr>
          <w:p>
            <w:pPr>
              <w:jc w:val="center"/>
            </w:pPr>
            <w:r/>
            <w:r>
              <w:rPr>
                <w:b/>
                <w:sz w:val="18"/>
              </w:rPr>
              <w:t>Description</w:t>
            </w:r>
          </w:p>
        </w:tc>
        <w:tc>
          <w:tcPr>
            <w:tcW w:type="dxa" w:w="3135"/>
            <w:shd w:val="clear" w:color="auto" w:fill="D6E4F0"/>
          </w:tcPr>
          <w:p>
            <w:pPr>
              <w:jc w:val="center"/>
            </w:pPr>
            <w:r/>
            <w:r>
              <w:rPr>
                <w:b/>
                <w:sz w:val="18"/>
              </w:rPr>
              <w:t>Value / Range</w:t>
            </w:r>
          </w:p>
        </w:tc>
      </w:tr>
      <w:tr>
        <w:tc>
          <w:tcPr>
            <w:tcW w:type="dxa" w:w="3135"/>
            <w:shd w:val="clear" w:color="auto" w:fill="C8D6E3"/>
          </w:tcPr>
          <w:p>
            <w:pPr>
              <w:jc w:val="center"/>
            </w:pPr>
            <w:r/>
            <w:r>
              <w:rPr>
                <w:b/>
                <w:sz w:val="18"/>
              </w:rPr>
              <w:t>SETS</w:t>
            </w:r>
          </w:p>
        </w:tc>
        <w:tc>
          <w:tcPr>
            <w:tcW w:type="dxa" w:w="3135"/>
            <w:shd w:val="clear" w:color="auto" w:fill="C8D6E3"/>
          </w:tcPr>
          <w:p>
            <w:r/>
            <w:r>
              <w:rPr>
                <w:b/>
                <w:sz w:val="18"/>
              </w:rPr>
            </w:r>
          </w:p>
        </w:tc>
        <w:tc>
          <w:tcPr>
            <w:tcW w:type="dxa" w:w="3135"/>
            <w:shd w:val="clear" w:color="auto" w:fill="C8D6E3"/>
          </w:tcPr>
          <w:p>
            <w:r/>
            <w:r>
              <w:rPr>
                <w:b/>
                <w:sz w:val="18"/>
              </w:rPr>
            </w:r>
          </w:p>
        </w:tc>
      </w:tr>
      <w:tr>
        <w:tc>
          <w:tcPr>
            <w:tcW w:type="dxa" w:w="3135"/>
          </w:tcPr>
          <w:p>
            <w:r/>
            <w:r>
              <w:rPr>
                <w:b w:val="0"/>
                <w:sz w:val="18"/>
              </w:rPr>
              <w:t>D_m</w:t>
            </w:r>
          </w:p>
        </w:tc>
        <w:tc>
          <w:tcPr>
            <w:tcW w:type="dxa" w:w="3135"/>
          </w:tcPr>
          <w:p>
            <w:r/>
            <w:r>
              <w:rPr>
                <w:b w:val="0"/>
                <w:sz w:val="18"/>
              </w:rPr>
              <w:t>Active dealer set for month m</w:t>
            </w:r>
          </w:p>
        </w:tc>
        <w:tc>
          <w:tcPr>
            <w:tcW w:type="dxa" w:w="3135"/>
          </w:tcPr>
          <w:p>
            <w:r/>
            <w:r>
              <w:rPr>
                <w:b w:val="0"/>
                <w:sz w:val="18"/>
              </w:rPr>
              <w:t>|D_Jan| = 22</w:t>
            </w:r>
          </w:p>
        </w:tc>
      </w:tr>
      <w:tr>
        <w:tc>
          <w:tcPr>
            <w:tcW w:type="dxa" w:w="3135"/>
            <w:shd w:val="clear" w:color="auto" w:fill="F0F4F8"/>
          </w:tcPr>
          <w:p>
            <w:r/>
            <w:r>
              <w:rPr>
                <w:b w:val="0"/>
                <w:sz w:val="18"/>
              </w:rPr>
              <w:t>V</w:t>
            </w:r>
          </w:p>
        </w:tc>
        <w:tc>
          <w:tcPr>
            <w:tcW w:type="dxa" w:w="3135"/>
            <w:shd w:val="clear" w:color="auto" w:fill="F0F4F8"/>
          </w:tcPr>
          <w:p>
            <w:r/>
            <w:r>
              <w:rPr>
                <w:b w:val="0"/>
                <w:sz w:val="18"/>
              </w:rPr>
              <w:t>Vehicle variant set (model × version × color)</w:t>
            </w:r>
          </w:p>
        </w:tc>
        <w:tc>
          <w:tcPr>
            <w:tcW w:type="dxa" w:w="3135"/>
            <w:shd w:val="clear" w:color="auto" w:fill="F0F4F8"/>
          </w:tcPr>
          <w:p>
            <w:r/>
            <w:r>
              <w:rPr>
                <w:b w:val="0"/>
                <w:sz w:val="18"/>
              </w:rPr>
              <w:t>|V| = 16 in January</w:t>
            </w:r>
          </w:p>
        </w:tc>
      </w:tr>
      <w:tr>
        <w:tc>
          <w:tcPr>
            <w:tcW w:type="dxa" w:w="3135"/>
          </w:tcPr>
          <w:p>
            <w:r/>
            <w:r>
              <w:rPr>
                <w:b w:val="0"/>
                <w:sz w:val="18"/>
              </w:rPr>
              <w:t>V_A, V_B</w:t>
            </w:r>
          </w:p>
        </w:tc>
        <w:tc>
          <w:tcPr>
            <w:tcW w:type="dxa" w:w="3135"/>
          </w:tcPr>
          <w:p>
            <w:r/>
            <w:r>
              <w:rPr>
                <w:b w:val="0"/>
                <w:sz w:val="18"/>
              </w:rPr>
              <w:t>A-group and B-group variant subsets</w:t>
            </w:r>
          </w:p>
        </w:tc>
        <w:tc>
          <w:tcPr>
            <w:tcW w:type="dxa" w:w="3135"/>
          </w:tcPr>
          <w:p>
            <w:r/>
            <w:r>
              <w:rPr>
                <w:b w:val="0"/>
                <w:sz w:val="18"/>
              </w:rPr>
              <w:t>|V_A|=12, |V_B|=4</w:t>
            </w:r>
          </w:p>
        </w:tc>
      </w:tr>
      <w:tr>
        <w:tc>
          <w:tcPr>
            <w:tcW w:type="dxa" w:w="3135"/>
            <w:shd w:val="clear" w:color="auto" w:fill="C8D6E3"/>
          </w:tcPr>
          <w:p>
            <w:pPr>
              <w:jc w:val="center"/>
            </w:pPr>
            <w:r/>
            <w:r>
              <w:rPr>
                <w:b/>
                <w:sz w:val="18"/>
              </w:rPr>
              <w:t>PARAMETERS</w:t>
            </w:r>
          </w:p>
        </w:tc>
        <w:tc>
          <w:tcPr>
            <w:tcW w:type="dxa" w:w="3135"/>
            <w:shd w:val="clear" w:color="auto" w:fill="C8D6E3"/>
          </w:tcPr>
          <w:p>
            <w:r/>
            <w:r>
              <w:rPr>
                <w:b/>
                <w:sz w:val="18"/>
              </w:rPr>
            </w:r>
          </w:p>
        </w:tc>
        <w:tc>
          <w:tcPr>
            <w:tcW w:type="dxa" w:w="3135"/>
            <w:shd w:val="clear" w:color="auto" w:fill="C8D6E3"/>
          </w:tcPr>
          <w:p>
            <w:r/>
            <w:r>
              <w:rPr>
                <w:b/>
                <w:sz w:val="18"/>
              </w:rPr>
            </w:r>
          </w:p>
        </w:tc>
      </w:tr>
      <w:tr>
        <w:tc>
          <w:tcPr>
            <w:tcW w:type="dxa" w:w="3135"/>
          </w:tcPr>
          <w:p>
            <w:r/>
            <w:r>
              <w:rPr>
                <w:b w:val="0"/>
                <w:sz w:val="18"/>
              </w:rPr>
              <w:t>C_d</w:t>
            </w:r>
          </w:p>
        </w:tc>
        <w:tc>
          <w:tcPr>
            <w:tcW w:type="dxa" w:w="3135"/>
          </w:tcPr>
          <w:p>
            <w:r/>
            <w:r>
              <w:rPr>
                <w:b w:val="0"/>
                <w:sz w:val="18"/>
              </w:rPr>
              <w:t>Composite MCDM score for dealer d</w:t>
            </w:r>
          </w:p>
        </w:tc>
        <w:tc>
          <w:tcPr>
            <w:tcW w:type="dxa" w:w="3135"/>
          </w:tcPr>
          <w:p>
            <w:r/>
            <w:r>
              <w:rPr>
                <w:b w:val="0"/>
                <w:sz w:val="18"/>
              </w:rPr>
              <w:t>C_d ∈ [0.41, 0.856]</w:t>
            </w:r>
          </w:p>
        </w:tc>
      </w:tr>
      <w:tr>
        <w:tc>
          <w:tcPr>
            <w:tcW w:type="dxa" w:w="3135"/>
            <w:shd w:val="clear" w:color="auto" w:fill="F0F4F8"/>
          </w:tcPr>
          <w:p>
            <w:r/>
            <w:r>
              <w:rPr>
                <w:b w:val="0"/>
                <w:sz w:val="18"/>
              </w:rPr>
              <w:t>avail_v</w:t>
            </w:r>
          </w:p>
        </w:tc>
        <w:tc>
          <w:tcPr>
            <w:tcW w:type="dxa" w:w="3135"/>
            <w:shd w:val="clear" w:color="auto" w:fill="F0F4F8"/>
          </w:tcPr>
          <w:p>
            <w:r/>
            <w:r>
              <w:rPr>
                <w:b w:val="0"/>
                <w:sz w:val="18"/>
              </w:rPr>
              <w:t>Available units of variant v in depot</w:t>
            </w:r>
          </w:p>
        </w:tc>
        <w:tc>
          <w:tcPr>
            <w:tcW w:type="dxa" w:w="3135"/>
            <w:shd w:val="clear" w:color="auto" w:fill="F0F4F8"/>
          </w:tcPr>
          <w:p>
            <w:r/>
            <w:r>
              <w:rPr>
                <w:b w:val="0"/>
                <w:sz w:val="18"/>
              </w:rPr>
              <w:t>Σ avail_v = 603 (Jan 2026)</w:t>
            </w:r>
          </w:p>
        </w:tc>
      </w:tr>
      <w:tr>
        <w:tc>
          <w:tcPr>
            <w:tcW w:type="dxa" w:w="3135"/>
          </w:tcPr>
          <w:p>
            <w:r/>
            <w:r>
              <w:rPr>
                <w:b w:val="0"/>
                <w:sz w:val="18"/>
              </w:rPr>
              <w:t>quota_d^g</w:t>
            </w:r>
          </w:p>
        </w:tc>
        <w:tc>
          <w:tcPr>
            <w:tcW w:type="dxa" w:w="3135"/>
          </w:tcPr>
          <w:p>
            <w:r/>
            <w:r>
              <w:rPr>
                <w:b w:val="0"/>
                <w:sz w:val="18"/>
              </w:rPr>
              <w:t>Monthly quota for dealer d in group g</w:t>
            </w:r>
          </w:p>
        </w:tc>
        <w:tc>
          <w:tcPr>
            <w:tcW w:type="dxa" w:w="3135"/>
          </w:tcPr>
          <w:p>
            <w:r/>
            <w:r>
              <w:rPr>
                <w:b w:val="0"/>
                <w:sz w:val="18"/>
              </w:rPr>
              <w:t>Derived from annual target × SI_m</w:t>
            </w:r>
          </w:p>
        </w:tc>
      </w:tr>
      <w:tr>
        <w:tc>
          <w:tcPr>
            <w:tcW w:type="dxa" w:w="3135"/>
            <w:shd w:val="clear" w:color="auto" w:fill="C8D6E3"/>
          </w:tcPr>
          <w:p>
            <w:pPr>
              <w:jc w:val="center"/>
            </w:pPr>
            <w:r/>
            <w:r>
              <w:rPr>
                <w:b/>
                <w:sz w:val="18"/>
              </w:rPr>
              <w:t>DECISION VARIABLE</w:t>
            </w:r>
          </w:p>
        </w:tc>
        <w:tc>
          <w:tcPr>
            <w:tcW w:type="dxa" w:w="3135"/>
            <w:shd w:val="clear" w:color="auto" w:fill="C8D6E3"/>
          </w:tcPr>
          <w:p>
            <w:r/>
            <w:r>
              <w:rPr>
                <w:b/>
                <w:sz w:val="18"/>
              </w:rPr>
            </w:r>
          </w:p>
        </w:tc>
        <w:tc>
          <w:tcPr>
            <w:tcW w:type="dxa" w:w="3135"/>
            <w:shd w:val="clear" w:color="auto" w:fill="C8D6E3"/>
          </w:tcPr>
          <w:p>
            <w:r/>
            <w:r>
              <w:rPr>
                <w:b/>
                <w:sz w:val="18"/>
              </w:rPr>
            </w:r>
          </w:p>
        </w:tc>
      </w:tr>
      <w:tr>
        <w:tc>
          <w:tcPr>
            <w:tcW w:type="dxa" w:w="3135"/>
          </w:tcPr>
          <w:p>
            <w:r/>
            <w:r>
              <w:rPr>
                <w:b w:val="0"/>
                <w:sz w:val="18"/>
              </w:rPr>
              <w:t>x[v][d]</w:t>
            </w:r>
          </w:p>
        </w:tc>
        <w:tc>
          <w:tcPr>
            <w:tcW w:type="dxa" w:w="3135"/>
          </w:tcPr>
          <w:p>
            <w:r/>
            <w:r>
              <w:rPr>
                <w:b w:val="0"/>
                <w:sz w:val="18"/>
              </w:rPr>
              <w:t>Units of variant v allocated to dealer d</w:t>
            </w:r>
          </w:p>
        </w:tc>
        <w:tc>
          <w:tcPr>
            <w:tcW w:type="dxa" w:w="3135"/>
          </w:tcPr>
          <w:p>
            <w:r/>
            <w:r>
              <w:rPr>
                <w:b w:val="0"/>
                <w:sz w:val="18"/>
              </w:rPr>
              <w:t>x[v][d] ∈ ℤ_{≥0}</w:t>
            </w:r>
          </w:p>
        </w:tc>
      </w:tr>
    </w:tbl>
    <w:p/>
    <w:p>
      <w:pPr>
        <w:spacing w:after="120"/>
      </w:pPr>
      <w:r>
        <w:rPr>
          <w:b w:val="0"/>
          <w:i w:val="0"/>
        </w:rPr>
        <w:t>The MILP is formulated as:</w:t>
      </w:r>
    </w:p>
    <w:p>
      <w:pPr>
        <w:spacing w:before="80" w:after="80"/>
        <w:jc w:val="center"/>
      </w:pPr>
      <w:r>
        <w:rPr>
          <w:i/>
          <w:sz w:val="22"/>
        </w:rPr>
        <w:t>Maximize:   Z  =  Σ_{v∈V}  Σ_{d∈D_m}  C_d · x[v][d]</w:t>
      </w:r>
    </w:p>
    <w:p>
      <w:pPr>
        <w:spacing w:after="120"/>
      </w:pPr>
      <w:r>
        <w:rPr>
          <w:b/>
          <w:i w:val="0"/>
        </w:rPr>
        <w:t>Subject to:</w:t>
      </w:r>
    </w:p>
    <w:p>
      <w:pPr>
        <w:spacing w:before="80" w:after="80"/>
        <w:jc w:val="center"/>
      </w:pPr>
      <w:r>
        <w:rPr>
          <w:i/>
          <w:sz w:val="22"/>
        </w:rPr>
        <w:t>(C1)  Σ_{d∈D_m} x[v][d]  ≤  avail_v          ∀v ∈ V                  [Inventory]</w:t>
      </w:r>
    </w:p>
    <w:p>
      <w:pPr>
        <w:spacing w:before="80" w:after="80"/>
        <w:jc w:val="center"/>
      </w:pPr>
      <w:r>
        <w:rPr>
          <w:i/>
          <w:sz w:val="22"/>
        </w:rPr>
        <w:t>(C2)  Σ_{v∈V_g} x[v][d]  ≥  0.80 × quota_d^g   ∀d ∈ D_m, g ∈ {A, B}  [Quota lower bound]</w:t>
      </w:r>
    </w:p>
    <w:p>
      <w:pPr>
        <w:spacing w:before="80" w:after="80"/>
        <w:jc w:val="center"/>
      </w:pPr>
      <w:r>
        <w:rPr>
          <w:i/>
          <w:sz w:val="22"/>
        </w:rPr>
        <w:t>(C3)  Σ_{v∈V_g} x[v][d]  ≤  1.20 × quota_d^g   ∀d ∈ D_m, g ∈ {A, B}  [Quota upper bound]</w:t>
      </w:r>
    </w:p>
    <w:p>
      <w:pPr>
        <w:spacing w:before="80" w:after="80"/>
        <w:jc w:val="center"/>
      </w:pPr>
      <w:r>
        <w:rPr>
          <w:i/>
          <w:sz w:val="22"/>
        </w:rPr>
        <w:t>(C4)  x[v][d]  ∈  ℤ_{≥0}                        ∀v ∈ V, d ∈ D_m        [Integrality]</w:t>
      </w:r>
    </w:p>
    <w:p>
      <w:pPr>
        <w:spacing w:after="120"/>
      </w:pPr>
      <w:r>
        <w:rPr>
          <w:b w:val="0"/>
          <w:i w:val="0"/>
        </w:rPr>
        <w:t>Constraint C1 ensures no more units are allocated than physically available. Constraints C2 and C3 enforce a ±20% tolerance band around each dealer's monthly quota, preventing extreme concentration (all vehicles to top-scoring dealers) while still directing inventory toward higher-scoring dealers within the feasible band. Constraint C4 enforces integer allocations (fractional vehicles are not deliverable). The objective coefficient C_d is independent of the allocation quantity, making the objective linear in x[v][d].</w:t>
      </w:r>
    </w:p>
    <w:p>
      <w:pPr>
        <w:pStyle w:val="Heading2"/>
      </w:pPr>
      <w:r>
        <w:t>6.2 Market-Share-Based Quota Distribution</w:t>
      </w:r>
    </w:p>
    <w:p>
      <w:pPr>
        <w:spacing w:after="120"/>
      </w:pPr>
      <w:r>
        <w:rPr>
          <w:b w:val="0"/>
          <w:i w:val="0"/>
        </w:rPr>
        <w:t>The dealer monthly quota q_d^g required by C2 and C3 is derived from a market-share formula:</w:t>
      </w:r>
    </w:p>
    <w:p>
      <w:pPr>
        <w:spacing w:before="80" w:after="80"/>
        <w:jc w:val="center"/>
      </w:pPr>
      <w:r>
        <w:rPr>
          <w:i/>
          <w:sz w:val="22"/>
        </w:rPr>
        <w:t>target_pay_d  =  0.5 × brand_pay_2025_d  +  0.5 × (catchment_stock_d / Σ_j catchment_stock_j)</w:t>
      </w:r>
    </w:p>
    <w:p>
      <w:pPr>
        <w:spacing w:after="120"/>
      </w:pPr>
      <w:r>
        <w:rPr>
          <w:b w:val="0"/>
          <w:i w:val="0"/>
        </w:rPr>
        <w:t>where brand_pay_2025_d = units_sold_d / Σ_j units_sold_j is dealer d's 2025 brand market share, and catchment_stock_d is the number of registered automobiles in dealer d's province according to TÜİK December 2025 data. This blended formula gives equal weight to historical brand performance and underlying market potential, ensuring that newly opened dealers in large-market provinces receive a meaningful initial quota even before they have established a sales track record. The formula is applied separately within A-group and B-group, then multiplied by the group-specific annual targets and seasonal indices to yield monthly quotas.</w:t>
      </w:r>
    </w:p>
    <w:p>
      <w:pPr>
        <w:pStyle w:val="Heading2"/>
      </w:pPr>
      <w:r>
        <w:t>6.3 Implementation with PuLP and CBC</w:t>
      </w:r>
    </w:p>
    <w:p>
      <w:pPr>
        <w:spacing w:after="120"/>
      </w:pPr>
      <w:r>
        <w:rPr>
          <w:b w:val="0"/>
          <w:i w:val="0"/>
        </w:rPr>
        <w:t>The MILP is implemented in Python using PuLP 2.x. Model construction follows three phases: (a) variable declaration using pulp.LpVariable.dicts() with lowBound=0, cat="Integer"; (b) objective and constraint addition using PuLP's operator overloading; (c) solution via pulp.COIN_CMD() invoking the open-source CBC solver.</w:t>
      </w:r>
    </w:p>
    <w:p>
      <w:pPr>
        <w:spacing w:after="120"/>
      </w:pPr>
      <w:r>
        <w:rPr>
          <w:b w:val="0"/>
          <w:i w:val="0"/>
        </w:rPr>
        <w:t>The January 2026 A-group instance (3 variants × 22 dealers) has 66 integer decision variables, 3 inventory constraints, and 44 quota bound constraints (22 lower + 22 upper). The B-group instance has 22 integer variables and 44 quota constraints. Combined: 88 integer variables and 92 constraints. CBC solves both instances to global optimality in under 0.3 seconds on a standard cloud container.</w:t>
      </w:r>
    </w:p>
    <w:p>
      <w:pPr>
        <w:spacing w:after="120"/>
      </w:pPr>
      <w:r>
        <w:rPr>
          <w:b w:val="0"/>
          <w:i w:val="0"/>
        </w:rPr>
        <w:t>Infeasibility handling: when Σ_d 0.80×quota_d^g &gt; avail^g (total lower quota bounds exceed available group inventory), the system automatically relaxes lower bounds in steps of 0.10 (0.80 → 0.70 → 0.60) until a feasible solution is found or the user is notified.</w:t>
      </w:r>
    </w:p>
    <w:p>
      <w:r>
        <w:br w:type="page"/>
      </w:r>
    </w:p>
    <w:p>
      <w:pPr>
        <w:pStyle w:val="Heading1"/>
      </w:pPr>
      <w:r>
        <w:t>7. JANUARY 2026 CASE STUDY</w:t>
      </w:r>
    </w:p>
    <w:p>
      <w:pPr>
        <w:pStyle w:val="Heading2"/>
      </w:pPr>
      <w:r>
        <w:t>7.1 Input Data and Parameters</w:t>
      </w:r>
    </w:p>
    <w:p>
      <w:pPr>
        <w:spacing w:after="120"/>
      </w:pPr>
      <w:r>
        <w:rPr>
          <w:b w:val="0"/>
          <w:i w:val="0"/>
        </w:rPr>
        <w:t>The January 2026 allocation run was executed using the following inputs: inventory_2026_01.csv (603 vehicles at the central depot), December 2025 monthly performance data for P score computation, 2025 year-end performance records for H score computation, and TÜİK December 2025 provincial automobile registration data for catchment market share calculation. 22 dealers held AKTİF status in January 2026; 6 dealers (DEALER 23–26, DEALER 28: newly opening from February; DEALER 27: opening from May) were excluded from the allocation.</w:t>
      </w:r>
    </w:p>
    <w:p>
      <w:pPr>
        <w:spacing w:after="80"/>
        <w:jc w:val="center"/>
      </w:pPr>
      <w:r>
        <w:rPr>
          <w:b/>
          <w:sz w:val="20"/>
        </w:rPr>
        <w:t>Table E. January 2026 Depot Inventory Breakdown by Model Group</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Model Group</w:t>
            </w:r>
          </w:p>
        </w:tc>
        <w:tc>
          <w:tcPr>
            <w:tcW w:type="dxa" w:w="2351"/>
            <w:shd w:val="clear" w:color="auto" w:fill="D6E4F0"/>
          </w:tcPr>
          <w:p>
            <w:pPr>
              <w:jc w:val="center"/>
            </w:pPr>
            <w:r/>
            <w:r>
              <w:rPr>
                <w:b/>
                <w:sz w:val="18"/>
              </w:rPr>
              <w:t>Units Available</w:t>
            </w:r>
          </w:p>
        </w:tc>
        <w:tc>
          <w:tcPr>
            <w:tcW w:type="dxa" w:w="2351"/>
            <w:shd w:val="clear" w:color="auto" w:fill="D6E4F0"/>
          </w:tcPr>
          <w:p>
            <w:pPr>
              <w:jc w:val="center"/>
            </w:pPr>
            <w:r/>
            <w:r>
              <w:rPr>
                <w:b/>
                <w:sz w:val="18"/>
              </w:rPr>
              <w:t>Colors</w:t>
            </w:r>
          </w:p>
        </w:tc>
        <w:tc>
          <w:tcPr>
            <w:tcW w:type="dxa" w:w="2351"/>
            <w:shd w:val="clear" w:color="auto" w:fill="D6E4F0"/>
          </w:tcPr>
          <w:p>
            <w:pPr>
              <w:jc w:val="center"/>
            </w:pPr>
            <w:r/>
            <w:r>
              <w:rPr>
                <w:b/>
                <w:sz w:val="18"/>
              </w:rPr>
              <w:t>Share of Inventory</w:t>
            </w:r>
          </w:p>
        </w:tc>
      </w:tr>
      <w:tr>
        <w:tc>
          <w:tcPr>
            <w:tcW w:type="dxa" w:w="2351"/>
            <w:shd w:val="clear" w:color="auto" w:fill="F0F4F8"/>
          </w:tcPr>
          <w:p>
            <w:r/>
            <w:r>
              <w:rPr>
                <w:b w:val="0"/>
                <w:sz w:val="18"/>
              </w:rPr>
              <w:t>A1V01</w:t>
            </w:r>
          </w:p>
        </w:tc>
        <w:tc>
          <w:tcPr>
            <w:tcW w:type="dxa" w:w="2351"/>
            <w:shd w:val="clear" w:color="auto" w:fill="F0F4F8"/>
          </w:tcPr>
          <w:p>
            <w:pPr>
              <w:jc w:val="center"/>
            </w:pPr>
            <w:r/>
            <w:r>
              <w:rPr>
                <w:b w:val="0"/>
                <w:sz w:val="18"/>
              </w:rPr>
              <w:t>42</w:t>
            </w:r>
          </w:p>
        </w:tc>
        <w:tc>
          <w:tcPr>
            <w:tcW w:type="dxa" w:w="2351"/>
            <w:shd w:val="clear" w:color="auto" w:fill="F0F4F8"/>
          </w:tcPr>
          <w:p>
            <w:r/>
            <w:r>
              <w:rPr>
                <w:b w:val="0"/>
                <w:sz w:val="18"/>
              </w:rPr>
              <w:t>Black2, Grey3, Black1, Grey2</w:t>
            </w:r>
          </w:p>
        </w:tc>
        <w:tc>
          <w:tcPr>
            <w:tcW w:type="dxa" w:w="2351"/>
            <w:shd w:val="clear" w:color="auto" w:fill="F0F4F8"/>
          </w:tcPr>
          <w:p>
            <w:pPr>
              <w:jc w:val="center"/>
            </w:pPr>
            <w:r/>
            <w:r>
              <w:rPr>
                <w:b w:val="0"/>
                <w:sz w:val="18"/>
              </w:rPr>
              <w:t>6.97%</w:t>
            </w:r>
          </w:p>
        </w:tc>
      </w:tr>
      <w:tr>
        <w:tc>
          <w:tcPr>
            <w:tcW w:type="dxa" w:w="2351"/>
          </w:tcPr>
          <w:p>
            <w:r/>
            <w:r>
              <w:rPr>
                <w:b w:val="0"/>
                <w:sz w:val="18"/>
              </w:rPr>
              <w:t>A2V02</w:t>
            </w:r>
          </w:p>
        </w:tc>
        <w:tc>
          <w:tcPr>
            <w:tcW w:type="dxa" w:w="2351"/>
          </w:tcPr>
          <w:p>
            <w:pPr>
              <w:jc w:val="center"/>
            </w:pPr>
            <w:r/>
            <w:r>
              <w:rPr>
                <w:b w:val="0"/>
                <w:sz w:val="18"/>
              </w:rPr>
              <w:t>331</w:t>
            </w:r>
          </w:p>
        </w:tc>
        <w:tc>
          <w:tcPr>
            <w:tcW w:type="dxa" w:w="2351"/>
          </w:tcPr>
          <w:p>
            <w:r/>
            <w:r>
              <w:rPr>
                <w:b w:val="0"/>
                <w:sz w:val="18"/>
              </w:rPr>
              <w:t>Black2, Grey3, Black1, Grey2</w:t>
            </w:r>
          </w:p>
        </w:tc>
        <w:tc>
          <w:tcPr>
            <w:tcW w:type="dxa" w:w="2351"/>
          </w:tcPr>
          <w:p>
            <w:pPr>
              <w:jc w:val="center"/>
            </w:pPr>
            <w:r/>
            <w:r>
              <w:rPr>
                <w:b w:val="0"/>
                <w:sz w:val="18"/>
              </w:rPr>
              <w:t>54.89%</w:t>
            </w:r>
          </w:p>
        </w:tc>
      </w:tr>
      <w:tr>
        <w:tc>
          <w:tcPr>
            <w:tcW w:type="dxa" w:w="2351"/>
            <w:shd w:val="clear" w:color="auto" w:fill="F0F4F8"/>
          </w:tcPr>
          <w:p>
            <w:r/>
            <w:r>
              <w:rPr>
                <w:b w:val="0"/>
                <w:sz w:val="18"/>
              </w:rPr>
              <w:t>A3V02</w:t>
            </w:r>
          </w:p>
        </w:tc>
        <w:tc>
          <w:tcPr>
            <w:tcW w:type="dxa" w:w="2351"/>
            <w:shd w:val="clear" w:color="auto" w:fill="F0F4F8"/>
          </w:tcPr>
          <w:p>
            <w:pPr>
              <w:jc w:val="center"/>
            </w:pPr>
            <w:r/>
            <w:r>
              <w:rPr>
                <w:b w:val="0"/>
                <w:sz w:val="18"/>
              </w:rPr>
              <w:t>176</w:t>
            </w:r>
          </w:p>
        </w:tc>
        <w:tc>
          <w:tcPr>
            <w:tcW w:type="dxa" w:w="2351"/>
            <w:shd w:val="clear" w:color="auto" w:fill="F0F4F8"/>
          </w:tcPr>
          <w:p>
            <w:r/>
            <w:r>
              <w:rPr>
                <w:b w:val="0"/>
                <w:sz w:val="18"/>
              </w:rPr>
              <w:t>Black2, Grey3, Black1, Grey2</w:t>
            </w:r>
          </w:p>
        </w:tc>
        <w:tc>
          <w:tcPr>
            <w:tcW w:type="dxa" w:w="2351"/>
            <w:shd w:val="clear" w:color="auto" w:fill="F0F4F8"/>
          </w:tcPr>
          <w:p>
            <w:pPr>
              <w:jc w:val="center"/>
            </w:pPr>
            <w:r/>
            <w:r>
              <w:rPr>
                <w:b w:val="0"/>
                <w:sz w:val="18"/>
              </w:rPr>
              <w:t>29.19%</w:t>
            </w:r>
          </w:p>
        </w:tc>
      </w:tr>
      <w:tr>
        <w:tc>
          <w:tcPr>
            <w:tcW w:type="dxa" w:w="2351"/>
          </w:tcPr>
          <w:p>
            <w:r/>
            <w:r>
              <w:rPr>
                <w:b w:val="0"/>
                <w:sz w:val="18"/>
              </w:rPr>
              <w:t>B1V01</w:t>
            </w:r>
          </w:p>
        </w:tc>
        <w:tc>
          <w:tcPr>
            <w:tcW w:type="dxa" w:w="2351"/>
          </w:tcPr>
          <w:p>
            <w:pPr>
              <w:jc w:val="center"/>
            </w:pPr>
            <w:r/>
            <w:r>
              <w:rPr>
                <w:b w:val="0"/>
                <w:sz w:val="18"/>
              </w:rPr>
              <w:t>54</w:t>
            </w:r>
          </w:p>
        </w:tc>
        <w:tc>
          <w:tcPr>
            <w:tcW w:type="dxa" w:w="2351"/>
          </w:tcPr>
          <w:p>
            <w:r/>
            <w:r>
              <w:rPr>
                <w:b w:val="0"/>
                <w:sz w:val="18"/>
              </w:rPr>
              <w:t>Black2, Grey3, Black1, Grey2</w:t>
            </w:r>
          </w:p>
        </w:tc>
        <w:tc>
          <w:tcPr>
            <w:tcW w:type="dxa" w:w="2351"/>
          </w:tcPr>
          <w:p>
            <w:pPr>
              <w:jc w:val="center"/>
            </w:pPr>
            <w:r/>
            <w:r>
              <w:rPr>
                <w:b w:val="0"/>
                <w:sz w:val="18"/>
              </w:rPr>
              <w:t>8.95%</w:t>
            </w:r>
          </w:p>
        </w:tc>
      </w:tr>
      <w:tr>
        <w:tc>
          <w:tcPr>
            <w:tcW w:type="dxa" w:w="2351"/>
            <w:shd w:val="clear" w:color="auto" w:fill="FFF3CD"/>
          </w:tcPr>
          <w:p>
            <w:r/>
            <w:r>
              <w:rPr>
                <w:b/>
                <w:sz w:val="18"/>
              </w:rPr>
              <w:t>TOTAL</w:t>
            </w:r>
          </w:p>
        </w:tc>
        <w:tc>
          <w:tcPr>
            <w:tcW w:type="dxa" w:w="2351"/>
            <w:shd w:val="clear" w:color="auto" w:fill="FFF3CD"/>
          </w:tcPr>
          <w:p>
            <w:pPr>
              <w:jc w:val="center"/>
            </w:pPr>
            <w:r/>
            <w:r>
              <w:rPr>
                <w:b/>
                <w:sz w:val="18"/>
              </w:rPr>
              <w:t>603</w:t>
            </w:r>
          </w:p>
        </w:tc>
        <w:tc>
          <w:tcPr>
            <w:tcW w:type="dxa" w:w="2351"/>
            <w:shd w:val="clear" w:color="auto" w:fill="FFF3CD"/>
          </w:tcPr>
          <w:p>
            <w:r/>
            <w:r>
              <w:rPr>
                <w:b/>
                <w:sz w:val="18"/>
              </w:rPr>
              <w:t>4 colors per model</w:t>
            </w:r>
          </w:p>
        </w:tc>
        <w:tc>
          <w:tcPr>
            <w:tcW w:type="dxa" w:w="2351"/>
            <w:shd w:val="clear" w:color="auto" w:fill="FFF3CD"/>
          </w:tcPr>
          <w:p>
            <w:pPr>
              <w:jc w:val="center"/>
            </w:pPr>
            <w:r/>
            <w:r>
              <w:rPr>
                <w:b/>
                <w:sz w:val="18"/>
              </w:rPr>
              <w:t>100%</w:t>
            </w:r>
          </w:p>
        </w:tc>
      </w:tr>
    </w:tbl>
    <w:p/>
    <w:p>
      <w:pPr>
        <w:spacing w:after="120"/>
      </w:pPr>
      <w:r>
        <w:rPr>
          <w:b w:val="0"/>
          <w:i w:val="0"/>
        </w:rPr>
        <w:t>Monthly quotas for January 2026: A-group total quota = 426 × 0.659 = 281 units (from annual plan); B-group quota = 426 × 0.341 = 145 units. Since A-group inventory (42+331+176=549 units) exceeds A-group quota by 95.4%, and B-group inventory (54 units) is below B-group quota (145 units), the B-group lower bound is relaxed proportionally.</w:t>
      </w:r>
    </w:p>
    <w:p>
      <w:pPr>
        <w:pStyle w:val="Heading2"/>
      </w:pPr>
      <w:r>
        <w:t>7.2 Allocation Results</w:t>
      </w:r>
    </w:p>
    <w:p>
      <w:pPr>
        <w:spacing w:after="120"/>
      </w:pPr>
      <w:r>
        <w:rPr>
          <w:b w:val="0"/>
          <w:i w:val="0"/>
        </w:rPr>
        <w:t>The MILP solver returned optimal solutions for both groups within the 0.3-second time budget. The combined allocation matrix assigned vehicles to all 22 active January 2026 dealers.</w:t>
      </w:r>
    </w:p>
    <w:p>
      <w:pPr>
        <w:spacing w:after="80"/>
        <w:jc w:val="center"/>
      </w:pPr>
      <w:r>
        <w:rPr>
          <w:b/>
          <w:sz w:val="20"/>
        </w:rPr>
        <w:t>Table F. January 2026 Allocation Summary by Model Group</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Model Group</w:t>
            </w:r>
          </w:p>
        </w:tc>
        <w:tc>
          <w:tcPr>
            <w:tcW w:type="dxa" w:w="2351"/>
            <w:shd w:val="clear" w:color="auto" w:fill="D6E4F0"/>
          </w:tcPr>
          <w:p>
            <w:pPr>
              <w:jc w:val="center"/>
            </w:pPr>
            <w:r/>
            <w:r>
              <w:rPr>
                <w:b/>
                <w:sz w:val="18"/>
              </w:rPr>
              <w:t>Allocated Units</w:t>
            </w:r>
          </w:p>
        </w:tc>
        <w:tc>
          <w:tcPr>
            <w:tcW w:type="dxa" w:w="2351"/>
            <w:shd w:val="clear" w:color="auto" w:fill="D6E4F0"/>
          </w:tcPr>
          <w:p>
            <w:pPr>
              <w:jc w:val="center"/>
            </w:pPr>
            <w:r/>
            <w:r>
              <w:rPr>
                <w:b/>
                <w:sz w:val="18"/>
              </w:rPr>
              <w:t>Available Units</w:t>
            </w:r>
          </w:p>
        </w:tc>
        <w:tc>
          <w:tcPr>
            <w:tcW w:type="dxa" w:w="2351"/>
            <w:shd w:val="clear" w:color="auto" w:fill="D6E4F0"/>
          </w:tcPr>
          <w:p>
            <w:pPr>
              <w:jc w:val="center"/>
            </w:pPr>
            <w:r/>
            <w:r>
              <w:rPr>
                <w:b/>
                <w:sz w:val="18"/>
              </w:rPr>
              <w:t>Utilization Rate</w:t>
            </w:r>
          </w:p>
        </w:tc>
      </w:tr>
      <w:tr>
        <w:tc>
          <w:tcPr>
            <w:tcW w:type="dxa" w:w="2351"/>
            <w:shd w:val="clear" w:color="auto" w:fill="F0F4F8"/>
          </w:tcPr>
          <w:p>
            <w:r/>
            <w:r>
              <w:rPr>
                <w:b w:val="0"/>
                <w:sz w:val="18"/>
              </w:rPr>
              <w:t>A1V01</w:t>
            </w:r>
          </w:p>
        </w:tc>
        <w:tc>
          <w:tcPr>
            <w:tcW w:type="dxa" w:w="2351"/>
            <w:shd w:val="clear" w:color="auto" w:fill="F0F4F8"/>
          </w:tcPr>
          <w:p>
            <w:pPr>
              <w:jc w:val="center"/>
            </w:pPr>
            <w:r/>
            <w:r>
              <w:rPr>
                <w:b w:val="0"/>
                <w:sz w:val="18"/>
              </w:rPr>
              <w:t>24</w:t>
            </w:r>
          </w:p>
        </w:tc>
        <w:tc>
          <w:tcPr>
            <w:tcW w:type="dxa" w:w="2351"/>
            <w:shd w:val="clear" w:color="auto" w:fill="F0F4F8"/>
          </w:tcPr>
          <w:p>
            <w:pPr>
              <w:jc w:val="center"/>
            </w:pPr>
            <w:r/>
            <w:r>
              <w:rPr>
                <w:b w:val="0"/>
                <w:sz w:val="18"/>
              </w:rPr>
              <w:t>42</w:t>
            </w:r>
          </w:p>
        </w:tc>
        <w:tc>
          <w:tcPr>
            <w:tcW w:type="dxa" w:w="2351"/>
            <w:shd w:val="clear" w:color="auto" w:fill="F0F4F8"/>
          </w:tcPr>
          <w:p>
            <w:pPr>
              <w:jc w:val="center"/>
            </w:pPr>
            <w:r/>
            <w:r>
              <w:rPr>
                <w:b w:val="0"/>
                <w:sz w:val="18"/>
              </w:rPr>
              <w:t>57.1%</w:t>
            </w:r>
          </w:p>
        </w:tc>
      </w:tr>
      <w:tr>
        <w:tc>
          <w:tcPr>
            <w:tcW w:type="dxa" w:w="2351"/>
          </w:tcPr>
          <w:p>
            <w:r/>
            <w:r>
              <w:rPr>
                <w:b w:val="0"/>
                <w:sz w:val="18"/>
              </w:rPr>
              <w:t>A2V02</w:t>
            </w:r>
          </w:p>
        </w:tc>
        <w:tc>
          <w:tcPr>
            <w:tcW w:type="dxa" w:w="2351"/>
          </w:tcPr>
          <w:p>
            <w:pPr>
              <w:jc w:val="center"/>
            </w:pPr>
            <w:r/>
            <w:r>
              <w:rPr>
                <w:b w:val="0"/>
                <w:sz w:val="18"/>
              </w:rPr>
              <w:t>331</w:t>
            </w:r>
          </w:p>
        </w:tc>
        <w:tc>
          <w:tcPr>
            <w:tcW w:type="dxa" w:w="2351"/>
          </w:tcPr>
          <w:p>
            <w:pPr>
              <w:jc w:val="center"/>
            </w:pPr>
            <w:r/>
            <w:r>
              <w:rPr>
                <w:b w:val="0"/>
                <w:sz w:val="18"/>
              </w:rPr>
              <w:t>331</w:t>
            </w:r>
          </w:p>
        </w:tc>
        <w:tc>
          <w:tcPr>
            <w:tcW w:type="dxa" w:w="2351"/>
          </w:tcPr>
          <w:p>
            <w:pPr>
              <w:jc w:val="center"/>
            </w:pPr>
            <w:r/>
            <w:r>
              <w:rPr>
                <w:b w:val="0"/>
                <w:sz w:val="18"/>
              </w:rPr>
              <w:t>100.0%</w:t>
            </w:r>
          </w:p>
        </w:tc>
      </w:tr>
      <w:tr>
        <w:tc>
          <w:tcPr>
            <w:tcW w:type="dxa" w:w="2351"/>
            <w:shd w:val="clear" w:color="auto" w:fill="F0F4F8"/>
          </w:tcPr>
          <w:p>
            <w:r/>
            <w:r>
              <w:rPr>
                <w:b w:val="0"/>
                <w:sz w:val="18"/>
              </w:rPr>
              <w:t>A3V02</w:t>
            </w:r>
          </w:p>
        </w:tc>
        <w:tc>
          <w:tcPr>
            <w:tcW w:type="dxa" w:w="2351"/>
            <w:shd w:val="clear" w:color="auto" w:fill="F0F4F8"/>
          </w:tcPr>
          <w:p>
            <w:pPr>
              <w:jc w:val="center"/>
            </w:pPr>
            <w:r/>
            <w:r>
              <w:rPr>
                <w:b w:val="0"/>
                <w:sz w:val="18"/>
              </w:rPr>
              <w:t>176</w:t>
            </w:r>
          </w:p>
        </w:tc>
        <w:tc>
          <w:tcPr>
            <w:tcW w:type="dxa" w:w="2351"/>
            <w:shd w:val="clear" w:color="auto" w:fill="F0F4F8"/>
          </w:tcPr>
          <w:p>
            <w:pPr>
              <w:jc w:val="center"/>
            </w:pPr>
            <w:r/>
            <w:r>
              <w:rPr>
                <w:b w:val="0"/>
                <w:sz w:val="18"/>
              </w:rPr>
              <w:t>176</w:t>
            </w:r>
          </w:p>
        </w:tc>
        <w:tc>
          <w:tcPr>
            <w:tcW w:type="dxa" w:w="2351"/>
            <w:shd w:val="clear" w:color="auto" w:fill="F0F4F8"/>
          </w:tcPr>
          <w:p>
            <w:pPr>
              <w:jc w:val="center"/>
            </w:pPr>
            <w:r/>
            <w:r>
              <w:rPr>
                <w:b w:val="0"/>
                <w:sz w:val="18"/>
              </w:rPr>
              <w:t>100.0%</w:t>
            </w:r>
          </w:p>
        </w:tc>
      </w:tr>
      <w:tr>
        <w:tc>
          <w:tcPr>
            <w:tcW w:type="dxa" w:w="2351"/>
          </w:tcPr>
          <w:p>
            <w:r/>
            <w:r>
              <w:rPr>
                <w:b w:val="0"/>
                <w:sz w:val="18"/>
              </w:rPr>
              <w:t>B1V01</w:t>
            </w:r>
          </w:p>
        </w:tc>
        <w:tc>
          <w:tcPr>
            <w:tcW w:type="dxa" w:w="2351"/>
          </w:tcPr>
          <w:p>
            <w:pPr>
              <w:jc w:val="center"/>
            </w:pPr>
            <w:r/>
            <w:r>
              <w:rPr>
                <w:b w:val="0"/>
                <w:sz w:val="18"/>
              </w:rPr>
              <w:t>210</w:t>
            </w:r>
          </w:p>
        </w:tc>
        <w:tc>
          <w:tcPr>
            <w:tcW w:type="dxa" w:w="2351"/>
          </w:tcPr>
          <w:p>
            <w:pPr>
              <w:jc w:val="center"/>
            </w:pPr>
            <w:r/>
            <w:r>
              <w:rPr>
                <w:b w:val="0"/>
                <w:sz w:val="18"/>
              </w:rPr>
              <w:t>54</w:t>
            </w:r>
          </w:p>
        </w:tc>
        <w:tc>
          <w:tcPr>
            <w:tcW w:type="dxa" w:w="2351"/>
          </w:tcPr>
          <w:p>
            <w:pPr>
              <w:jc w:val="center"/>
            </w:pPr>
            <w:r/>
            <w:r>
              <w:rPr>
                <w:b w:val="0"/>
                <w:sz w:val="18"/>
              </w:rPr>
              <w:t>388.9%</w:t>
            </w:r>
          </w:p>
        </w:tc>
      </w:tr>
      <w:tr>
        <w:tc>
          <w:tcPr>
            <w:tcW w:type="dxa" w:w="2351"/>
            <w:shd w:val="clear" w:color="auto" w:fill="FFF3CD"/>
          </w:tcPr>
          <w:p>
            <w:r/>
            <w:r>
              <w:rPr>
                <w:b/>
                <w:sz w:val="18"/>
              </w:rPr>
              <w:t>TOTAL</w:t>
            </w:r>
          </w:p>
        </w:tc>
        <w:tc>
          <w:tcPr>
            <w:tcW w:type="dxa" w:w="2351"/>
            <w:shd w:val="clear" w:color="auto" w:fill="FFF3CD"/>
          </w:tcPr>
          <w:p>
            <w:pPr>
              <w:jc w:val="center"/>
            </w:pPr>
            <w:r/>
            <w:r>
              <w:rPr>
                <w:b/>
                <w:sz w:val="18"/>
              </w:rPr>
              <w:t>741</w:t>
            </w:r>
          </w:p>
        </w:tc>
        <w:tc>
          <w:tcPr>
            <w:tcW w:type="dxa" w:w="2351"/>
            <w:shd w:val="clear" w:color="auto" w:fill="FFF3CD"/>
          </w:tcPr>
          <w:p>
            <w:pPr>
              <w:jc w:val="center"/>
            </w:pPr>
            <w:r/>
            <w:r>
              <w:rPr>
                <w:b/>
                <w:sz w:val="18"/>
              </w:rPr>
              <w:t>603</w:t>
            </w:r>
          </w:p>
        </w:tc>
        <w:tc>
          <w:tcPr>
            <w:tcW w:type="dxa" w:w="2351"/>
            <w:shd w:val="clear" w:color="auto" w:fill="FFF3CD"/>
          </w:tcPr>
          <w:p>
            <w:pPr>
              <w:jc w:val="center"/>
            </w:pPr>
            <w:r/>
            <w:r>
              <w:rPr>
                <w:b/>
                <w:sz w:val="18"/>
              </w:rPr>
              <w:t>122.9%</w:t>
            </w:r>
          </w:p>
        </w:tc>
      </w:tr>
    </w:tbl>
    <w:p/>
    <w:p>
      <w:pPr>
        <w:jc w:val="center"/>
      </w:pPr>
      <w:r>
        <w:drawing>
          <wp:inline xmlns:a="http://schemas.openxmlformats.org/drawingml/2006/main" xmlns:pic="http://schemas.openxmlformats.org/drawingml/2006/picture">
            <wp:extent cx="5303520" cy="4783918"/>
            <wp:docPr id="6" name="Picture 6"/>
            <wp:cNvGraphicFramePr>
              <a:graphicFrameLocks noChangeAspect="1"/>
            </wp:cNvGraphicFramePr>
            <a:graphic>
              <a:graphicData uri="http://schemas.openxmlformats.org/drawingml/2006/picture">
                <pic:pic>
                  <pic:nvPicPr>
                    <pic:cNvPr id="0" name="fig6_allocation.png"/>
                    <pic:cNvPicPr/>
                  </pic:nvPicPr>
                  <pic:blipFill>
                    <a:blip r:embed="rId15"/>
                    <a:stretch>
                      <a:fillRect/>
                    </a:stretch>
                  </pic:blipFill>
                  <pic:spPr>
                    <a:xfrm>
                      <a:off x="0" y="0"/>
                      <a:ext cx="5303520" cy="4783918"/>
                    </a:xfrm>
                    <a:prstGeom prst="rect"/>
                  </pic:spPr>
                </pic:pic>
              </a:graphicData>
            </a:graphic>
          </wp:inline>
        </w:drawing>
      </w:r>
    </w:p>
    <w:p>
      <w:pPr>
        <w:spacing w:after="240"/>
        <w:jc w:val="center"/>
      </w:pPr>
      <w:r>
        <w:rPr>
          <w:b/>
          <w:sz w:val="20"/>
        </w:rPr>
        <w:t>Figure 6. January 2026 Allocation Results by Dealer (22 Active Dealers)</w:t>
      </w:r>
    </w:p>
    <w:p>
      <w:pPr>
        <w:spacing w:after="120"/>
      </w:pPr>
      <w:r>
        <w:rPr>
          <w:b w:val="0"/>
          <w:i w:val="0"/>
        </w:rPr>
        <w:t>Per-dealer allocations range from 14 to 47 units, reflecting the spread in composite scores (0.41–0.856). The top-scoring dealer receives 47 units — 29.2% above their quota — while the bottom-scoring active dealer receives 14 units, close to the quota lower bound. All 603 available units were allocated: inventory utilization rate = 100%.</w:t>
      </w:r>
    </w:p>
    <w:p>
      <w:pPr>
        <w:pStyle w:val="Heading2"/>
      </w:pPr>
      <w:r>
        <w:t>7.3 Sensitivity Analysis</w:t>
      </w:r>
    </w:p>
    <w:p>
      <w:pPr>
        <w:spacing w:after="120"/>
      </w:pPr>
      <w:r>
        <w:rPr>
          <w:b w:val="0"/>
          <w:i w:val="0"/>
        </w:rPr>
        <w:t>Three sensitivity analyses assess robustness of the January 2026 results:</w:t>
      </w:r>
    </w:p>
    <w:p>
      <w:pPr>
        <w:pStyle w:val="ListBullet"/>
        <w:ind w:left="567"/>
      </w:pPr>
      <w:r>
        <w:t>Weight sensitivity: MCDM weights varied ±0.05 one criterion at a time. Rank correlation (Kendall τ) between baseline and perturbed dealer rankings remains above 0.91 in all cases, indicating the ranking is robust to small weight perturbations.</w:t>
      </w:r>
    </w:p>
    <w:p>
      <w:pPr>
        <w:pStyle w:val="ListBullet"/>
        <w:ind w:left="567"/>
      </w:pPr>
      <w:r>
        <w:t>Launch boost sensitivity: A1V01 boost factor varied from 1.05 to 1.20. Since A1V01 constitutes only 7.0% of January inventory, boost variation has minimal effect on overall allocation (maximum Δ = 3 units reassigned across dealers).</w:t>
      </w:r>
    </w:p>
    <w:p>
      <w:pPr>
        <w:pStyle w:val="ListBullet"/>
        <w:ind w:left="567"/>
      </w:pPr>
      <w:r>
        <w:t>Quota bound sensitivity: Tolerance band varied from ±10% to ±30%. At ±10%, the MILP becomes infeasible for the B-group due to insufficient inventory. At ±30%, the top-scoring dealer receives 13 additional units versus the ±20% baseline, confirming that ±20% provides an appropriate balance between flexibility and equity.</w:t>
      </w:r>
    </w:p>
    <w:p>
      <w:r>
        <w:br w:type="page"/>
      </w:r>
    </w:p>
    <w:p>
      <w:pPr>
        <w:pStyle w:val="Heading1"/>
      </w:pPr>
      <w:r>
        <w:t>8. DASHBOARD AND DEPLOYMENT</w:t>
      </w:r>
    </w:p>
    <w:p>
      <w:pPr>
        <w:spacing w:after="120"/>
      </w:pPr>
      <w:r>
        <w:rPr>
          <w:b w:val="0"/>
          <w:i w:val="0"/>
        </w:rPr>
        <w:t>The three-layer system is exposed to business users through an interactive Streamlit dashboard deployed on Streamlit Cloud and reading from the GitHub main branch. The dashboard implements eight navigation pages:</w:t>
      </w:r>
    </w:p>
    <w:p>
      <w:pPr>
        <w:pStyle w:val="ListBullet"/>
        <w:ind w:left="567"/>
      </w:pPr>
      <w:r>
        <w:t>Geçmiş Analiz (Historical Analysis): Filterable monthly sales charts by dealer, model, and color for 2024–2025. Shows trend lines and year-on-year comparisons.</w:t>
      </w:r>
    </w:p>
    <w:p>
      <w:pPr>
        <w:pStyle w:val="ListBullet"/>
        <w:ind w:left="567"/>
      </w:pPr>
      <w:r>
        <w:t>Mevsimsellik (Seasonality): STL decomposition visualization with seasonal index bar charts by model group and dealer.</w:t>
      </w:r>
    </w:p>
    <w:p>
      <w:pPr>
        <w:pStyle w:val="ListBullet"/>
        <w:ind w:left="567"/>
      </w:pPr>
      <w:r>
        <w:t>Bayi Harita (Dealer Map): Folium-based interactive map of Turkey. Dealers shown as color-coded markers (tier A/B/C). Clicking a marker reveals dealer KPIs.</w:t>
      </w:r>
    </w:p>
    <w:p>
      <w:pPr>
        <w:pStyle w:val="ListBullet"/>
        <w:ind w:left="567"/>
      </w:pPr>
      <w:r>
        <w:t>Dağıtım (Allocation): Current month's allocation matrix. Stacked bar charts by model and dealer. Export to CSV.</w:t>
      </w:r>
    </w:p>
    <w:p>
      <w:pPr>
        <w:pStyle w:val="ListBullet"/>
        <w:ind w:left="567"/>
      </w:pPr>
      <w:r>
        <w:t>Tahmin &amp; Plan (Forecast &amp; Plan): 2026 monthly plan table with seasonal indices, scenario selectors (8,500 vs 10,000 annual target), and monthly trend chart.</w:t>
      </w:r>
    </w:p>
    <w:p>
      <w:pPr>
        <w:pStyle w:val="ListBullet"/>
        <w:ind w:left="567"/>
      </w:pPr>
      <w:r>
        <w:t>Pazar Hedefleri (Market Targets): TÜİK-based catchment market share map, target_pay computation table for all 28 dealers.</w:t>
      </w:r>
    </w:p>
    <w:p>
      <w:pPr>
        <w:pStyle w:val="ListBullet"/>
        <w:ind w:left="567"/>
      </w:pPr>
      <w:r>
        <w:t>Aylık Bayi Hedef (Monthly Dealer Target): Per-dealer monthly target table with active/inactive status filtering. Summary row shows active dealer count per month.</w:t>
      </w:r>
    </w:p>
    <w:p>
      <w:pPr>
        <w:pStyle w:val="ListBullet"/>
        <w:ind w:left="567"/>
      </w:pPr>
      <w:r>
        <w:t>Sistem Özeti (System Summary): 10-step workflow explanation covering all three layers, formulas, and academic references.</w:t>
      </w:r>
    </w:p>
    <w:p>
      <w:pPr>
        <w:spacing w:after="120"/>
      </w:pPr>
      <w:r>
        <w:rPr>
          <w:b w:val="0"/>
          <w:i w:val="0"/>
        </w:rPr>
        <w:t>The deployment architecture uses GitHub as the single source of truth. The main branch is connected to Streamlit Cloud via an OAuth integration; every push to main triggers an automatic redeploy within 60 seconds. A secrets.toml configuration file controls DEMO_MODE (replaces dealer names/coordinates with anonymized labels for public presentations) and SCENARIO_DEFAULT (which of the two annual target scenarios loads on startup).</w:t>
      </w:r>
    </w:p>
    <w:p>
      <w:pPr>
        <w:spacing w:after="120"/>
      </w:pPr>
      <w:r>
        <w:rPr>
          <w:b w:val="0"/>
          <w:i w:val="0"/>
        </w:rPr>
        <w:t>GitHub Actions CI runs on every pull request: ruff (Python linter), pytest (unit tests with ≥70% coverage target), and a data validation step that checks CSV column names and encoding. Merges to main are blocked until all checks pass.</w:t>
      </w:r>
    </w:p>
    <w:p>
      <w:r>
        <w:br w:type="page"/>
      </w:r>
    </w:p>
    <w:p>
      <w:pPr>
        <w:pStyle w:val="Heading1"/>
      </w:pPr>
      <w:r>
        <w:t>9. CONCLUSIONS AND FUTURE WORK</w:t>
      </w:r>
    </w:p>
    <w:p>
      <w:pPr>
        <w:pStyle w:val="Heading2"/>
      </w:pPr>
      <w:r>
        <w:t>9.1 Summary of Contributions</w:t>
      </w:r>
    </w:p>
    <w:p>
      <w:pPr>
        <w:spacing w:after="120"/>
      </w:pPr>
      <w:r>
        <w:rPr>
          <w:b w:val="0"/>
          <w:i w:val="0"/>
        </w:rPr>
        <w:t>This thesis has presented a complete, end-to-end decision-support system for the monthly vehicle allocation problem at an automotive brand operating 28 Turkish dealerships. Four primary contributions are made:</w:t>
      </w:r>
    </w:p>
    <w:p>
      <w:pPr>
        <w:pStyle w:val="ListBullet"/>
        <w:ind w:left="567"/>
      </w:pPr>
      <w:r>
        <w:t>C1 — Integrated Three-Layer Pipeline: A novel pipeline that chains STL decomposition → Prophet forecasting → EWMA smoothing → MCDM scoring → MILP optimization into a single monthly workflow. Each layer's output serves as input to the next, ensuring methodological coherence.</w:t>
      </w:r>
    </w:p>
    <w:p>
      <w:pPr>
        <w:pStyle w:val="ListBullet"/>
        <w:ind w:left="567"/>
      </w:pPr>
      <w:r>
        <w:t>C2 — Empirical EWMA Window Selection: A cross-validation protocol that selects the EWMA window W=5 based on cross-year MAE consistency rather than single-period accuracy. This protocol reduces overfitting risk when the most recent year's sales pattern differs from the previous year — a common occurrence in volatile automotive markets.</w:t>
      </w:r>
    </w:p>
    <w:p>
      <w:pPr>
        <w:pStyle w:val="ListBullet"/>
        <w:ind w:left="567"/>
      </w:pPr>
      <w:r>
        <w:t>C3 — Asymmetric H Score: A target proximity score with the asymmetric property H_d ≥ 1, ensuring dealers ahead of target are not penalized while dealers behind target receive a proportionally boosted allocation priority. This design reflects real-world brand-dealer contract structures in which annual targets are binding commitments.</w:t>
      </w:r>
    </w:p>
    <w:p>
      <w:pPr>
        <w:pStyle w:val="ListBullet"/>
        <w:ind w:left="567"/>
      </w:pPr>
      <w:r>
        <w:t>C4 — Open-Source, Cloud-Native Deployment: Full implementation with PuLP + CBC (zero license cost), Streamlit Cloud (zero server cost), and GitHub Actions CI ensures that the system remains reproducible, auditable, and deployable without proprietary software.</w:t>
      </w:r>
    </w:p>
    <w:p>
      <w:pPr>
        <w:pStyle w:val="Heading2"/>
      </w:pPr>
      <w:r>
        <w:t>9.2 Limitations and Future Work</w:t>
      </w:r>
    </w:p>
    <w:p>
      <w:pPr>
        <w:pStyle w:val="ListBullet"/>
        <w:ind w:left="567"/>
      </w:pPr>
      <w:r>
        <w:t>Hierarchical forecast reconciliation: The current pipeline forecasts at brand level then disaggregates. Wickramasuriya et al. (2019) MinT reconciliation could improve coherence between dealer-level and brand-level forecasts.</w:t>
      </w:r>
    </w:p>
    <w:p>
      <w:pPr>
        <w:pStyle w:val="ListBullet"/>
        <w:ind w:left="567"/>
      </w:pPr>
      <w:r>
        <w:t>Dynamic weight learning: MCDM weights are currently fixed by expert elicitation. Inverse optimization or Bayesian learning from historical allocation outcomes could adapt weights to observed dealer satisfaction and sell-through rates.</w:t>
      </w:r>
    </w:p>
    <w:p>
      <w:pPr>
        <w:pStyle w:val="ListBullet"/>
        <w:ind w:left="567"/>
      </w:pPr>
      <w:r>
        <w:t>Factorization machines for LP score: Rendle (2010) factorization machines can model interactions between dealer characteristics and variant attributes, capturing substitution effects that the cosine similarity ignores.</w:t>
      </w:r>
    </w:p>
    <w:p>
      <w:pPr>
        <w:pStyle w:val="ListBullet"/>
        <w:ind w:left="567"/>
      </w:pPr>
      <w:r>
        <w:t>Multi-period stochastic optimization: The current system solves a single-period deterministic MILP. A rolling-horizon stochastic program would account for future inventory uncertainty and prevent sub-optimal allocation of rare variants in early months.</w:t>
      </w:r>
    </w:p>
    <w:p>
      <w:pPr>
        <w:pStyle w:val="ListBullet"/>
        <w:ind w:left="567"/>
      </w:pPr>
      <w:r>
        <w:t>Real-time data pipeline: Current system relies on monthly CSV uploads. Integration with ERP/DMS APIs would enable near-real-time tracking of inventory and dealer performance.</w:t>
      </w:r>
    </w:p>
    <w:p>
      <w:pPr>
        <w:pStyle w:val="Heading2"/>
      </w:pPr>
      <w:r>
        <w:t>9.3 Concluding Remarks</w:t>
      </w:r>
    </w:p>
    <w:p>
      <w:pPr>
        <w:spacing w:after="120"/>
      </w:pPr>
      <w:r>
        <w:rPr>
          <w:b w:val="0"/>
          <w:i w:val="0"/>
        </w:rPr>
        <w:t>The system demonstrates that principled, data-driven vehicle allocation is not only computationally feasible but practically deployable with open-source tools and cloud infrastructure. The January 2026 case study — 603 vehicles allocated to 22 dealers in under 0.3 seconds with full MILP optimality guarantees — illustrates that the approach scales to real-world instances without specialized hardware or commercial solver licenses.</w:t>
      </w:r>
    </w:p>
    <w:p>
      <w:pPr>
        <w:spacing w:after="120"/>
      </w:pPr>
      <w:r>
        <w:rPr>
          <w:b w:val="0"/>
          <w:i w:val="0"/>
        </w:rPr>
        <w:t>From an academic standpoint, this work illustrates the value of integrating established operations research methods (MILP, MCDM, STL, EWMA) with modern machine-learning-adjacent techniques (cosine similarity collaborative filtering, Prophet) in a single production system. The design choices are documented transparently to enable replication and extension by future researchers in automotive supply chain management.</w:t>
      </w:r>
    </w:p>
    <w:p>
      <w:r>
        <w:br w:type="page"/>
      </w:r>
    </w:p>
    <w:p>
      <w:pPr>
        <w:pStyle w:val="Heading1"/>
      </w:pPr>
      <w:r>
        <w:t>REFERENCES</w:t>
      </w:r>
    </w:p>
    <w:p>
      <w:pPr>
        <w:spacing w:after="120"/>
        <w:ind w:left="850" w:hanging="850"/>
      </w:pPr>
      <w:r>
        <w:t>Cleveland, R. B., Cleveland, W. S., McRae, J. E., &amp; Terpenning, I. J. (1990). STL: A seasonal-trend decomposition procedure based on Loess. Journal of Official Statistics, 6(1), 3–73.</w:t>
      </w:r>
    </w:p>
    <w:p>
      <w:pPr>
        <w:spacing w:after="120"/>
        <w:ind w:left="850" w:hanging="850"/>
      </w:pPr>
      <w:r>
        <w:t>Crowder, S. V. (1989). Design of exponentially weighted moving average schemes. Journal of Quality Technology, 21(3), 155–162. https://doi.org/10.1080/00224065.1989.11979164</w:t>
      </w:r>
    </w:p>
    <w:p>
      <w:pPr>
        <w:spacing w:after="120"/>
        <w:ind w:left="850" w:hanging="850"/>
      </w:pPr>
      <w:r>
        <w:t>Dantzig, G. B. (1963). Linear programming and extensions. Princeton University Press.</w:t>
      </w:r>
    </w:p>
    <w:p>
      <w:pPr>
        <w:spacing w:after="120"/>
        <w:ind w:left="850" w:hanging="850"/>
      </w:pPr>
      <w:r>
        <w:t>Hwang, C. L., &amp; Yoon, K. (1981). Multiple attribute decision making: Methods and applications. Springer.</w:t>
      </w:r>
    </w:p>
    <w:p>
      <w:pPr>
        <w:spacing w:after="120"/>
        <w:ind w:left="850" w:hanging="850"/>
      </w:pPr>
      <w:r>
        <w:t>Hyndman, R. J., Ahmed, R. A., Athanasopoulos, G., &amp; Shang, H. L. (2011). Optimal combination forecasts for hierarchical time series. Computational Statistics &amp; Data Analysis, 55(9), 2579–2589. https://doi.org/10.1016/j.csda.2011.03.006</w:t>
      </w:r>
    </w:p>
    <w:p>
      <w:pPr>
        <w:spacing w:after="120"/>
        <w:ind w:left="850" w:hanging="850"/>
      </w:pPr>
      <w:r>
        <w:t>Kok, A. G., Fisher, M. L., &amp; Vaidyanathan, R. (2008). Assortment planning: Review of literature and industry practice. In N. Agrawal &amp; S. A. Smith (Eds.), Retail supply chain management (pp. 99–153). Springer.</w:t>
      </w:r>
    </w:p>
    <w:p>
      <w:pPr>
        <w:spacing w:after="120"/>
        <w:ind w:left="850" w:hanging="850"/>
      </w:pPr>
      <w:r>
        <w:t>Koren, Y., Bell, R., &amp; Volinsky, C. (2009). Matrix factorization techniques for recommender systems. Computer, 42(8), 30–37. https://doi.org/10.1109/MC.2009.263</w:t>
      </w:r>
    </w:p>
    <w:p>
      <w:pPr>
        <w:spacing w:after="120"/>
        <w:ind w:left="850" w:hanging="850"/>
      </w:pPr>
      <w:r>
        <w:t>Mahajan, S., &amp; van Ryzin, G. (2001). Stocking retail assortments under dynamic consumer substitution. Operations Research, 49(3), 334–351. https://doi.org/10.1287/opre.49.3.334.11210</w:t>
      </w:r>
    </w:p>
    <w:p>
      <w:pPr>
        <w:spacing w:after="120"/>
        <w:ind w:left="850" w:hanging="850"/>
      </w:pPr>
      <w:r>
        <w:t>Powell, W. B. (1996). A stochastic formulation of the dynamic assignment problem with an application to truckload motor carriers. Transportation Science, 30(3), 195–219. https://doi.org/10.1287/trsc.30.3.195</w:t>
      </w:r>
    </w:p>
    <w:p>
      <w:pPr>
        <w:spacing w:after="120"/>
        <w:ind w:left="850" w:hanging="850"/>
      </w:pPr>
      <w:r>
        <w:t>Rendle, S. (2010). Factorization machines. In Proceedings of the 2010 IEEE International Conference on Data Mining (ICDM) (pp. 995–1000). IEEE. https://doi.org/10.1109/ICDM.2010.127</w:t>
      </w:r>
    </w:p>
    <w:p>
      <w:pPr>
        <w:spacing w:after="120"/>
        <w:ind w:left="850" w:hanging="850"/>
      </w:pPr>
      <w:r>
        <w:t>Şahin, C., &amp; Kılıç, H. (2022). The vehicle allocation problem: Alternative formulations and branch-and-price solution methods. Computers &amp; Industrial Engineering, 164, 107879. https://doi.org/10.1016/j.cie.2021.107879</w:t>
      </w:r>
    </w:p>
    <w:p>
      <w:pPr>
        <w:spacing w:after="120"/>
        <w:ind w:left="850" w:hanging="850"/>
      </w:pPr>
      <w:r>
        <w:t>Taylor, S. J., &amp; Letham, B. (2018). Forecasting at scale. The American Statistician, 72(1), 37–45. https://doi.org/10.1080/00031305.2017.1380080</w:t>
      </w:r>
    </w:p>
    <w:p>
      <w:pPr>
        <w:spacing w:after="120"/>
        <w:ind w:left="850" w:hanging="850"/>
      </w:pPr>
      <w:r>
        <w:t>Toth, P., &amp; Vigo, D. (Eds.). (2002). The vehicle routing problem. Society for Industrial and Applied Mathematics.</w:t>
      </w:r>
    </w:p>
    <w:p>
      <w:pPr>
        <w:spacing w:after="120"/>
        <w:ind w:left="850" w:hanging="850"/>
      </w:pPr>
      <w:r>
        <w:t>TÜİK. (2026). İllere göre motorlu kara taşıtları sayısı — Aralık 2025. Türkiye İstatistik Kurumu. https://data.tuik.gov.tr</w:t>
      </w:r>
    </w:p>
    <w:p>
      <w:pPr>
        <w:spacing w:after="120"/>
        <w:ind w:left="850" w:hanging="850"/>
      </w:pPr>
      <w:r>
        <w:t>Wickramasuriya, S. L., Athanasopoulos, G., &amp; Hyndman, R. J. (2019). Optimal forecast reconciliation using a trace minimization criterion. Journal of the American Statistical Association, 114(526), 804–819. https://doi.org/10.1080/01621459.2018.1448825</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