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80" w:before="480"/>
        <w:jc w:val="center"/>
      </w:pPr>
      <w:r>
        <w:rPr>
          <w:b/>
          <w:bCs/>
          <w:color w:val="1A3C5E"/>
          <w:sz w:val="56"/>
          <w:szCs w:val="56"/>
        </w:rPr>
        <w:t xml:space="preserve">CRYPTO TRADING SYSTEM</w:t>
      </w:r>
    </w:p>
    <w:p>
      <w:pPr>
        <w:spacing w:after="80" w:before="0"/>
        <w:jc w:val="center"/>
      </w:pPr>
      <w:r>
        <w:rPr>
          <w:color w:val="2E6DA4"/>
          <w:sz w:val="28"/>
          <w:szCs w:val="28"/>
        </w:rPr>
        <w:t xml:space="preserve">Technical Specification &amp; Developer Blueprint</w:t>
      </w:r>
    </w:p>
    <w:p>
      <w:pPr>
        <w:pBdr>
          <w:bottom w:val="single" w:color="2E6DA4" w:sz="8" w:space="4"/>
        </w:pBdr>
        <w:spacing w:after="240" w:before="0"/>
        <w:jc w:val="center"/>
      </w:pPr>
      <w:r>
        <w:rPr>
          <w:sz w:val="20"/>
          <w:szCs w:val="20"/>
        </w:rPr>
        <w:t xml:space="preserve"> </w:t>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EAF2FB" w:val="clear"/>
            <w:tcMar>
              <w:top w:type="dxa" w:w="200"/>
              <w:left w:type="dxa" w:w="300"/>
              <w:bottom w:type="dxa" w:w="200"/>
              <w:right w:type="dxa" w:w="300"/>
            </w:tcMar>
          </w:tcPr>
          <w:p>
            <w:pPr>
              <w:jc w:val="center"/>
            </w:pPr>
            <w:r>
              <w:rPr>
                <w:b/>
                <w:bCs/>
                <w:color w:val="1A3C5E"/>
                <w:sz w:val="20"/>
                <w:szCs w:val="20"/>
              </w:rPr>
              <w:t xml:space="preserve">Versi</w:t>
            </w:r>
          </w:p>
          <w:p>
            <w:pPr>
              <w:jc w:val="center"/>
            </w:pPr>
            <w:r>
              <w:rPr>
                <w:b/>
                <w:bCs/>
                <w:color w:val="2E6DA4"/>
                <w:sz w:val="40"/>
                <w:szCs w:val="40"/>
              </w:rPr>
              <w:t xml:space="preserve">1.0</w:t>
            </w:r>
          </w:p>
          <w:p>
            <w:pPr>
              <w:jc w:val="center"/>
            </w:pPr>
            <w:r>
              <w:rPr>
                <w:color w:val="666666"/>
                <w:sz w:val="18"/>
                <w:szCs w:val="18"/>
              </w:rPr>
              <w:t xml:space="preserve">2025 — For Developer Use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6B3C" w:val="clear"/>
            <w:tcMar>
              <w:top w:type="dxa" w:w="160"/>
              <w:left w:type="dxa" w:w="200"/>
              <w:bottom w:type="dxa" w:w="160"/>
              <w:right w:type="dxa" w:w="200"/>
            </w:tcMar>
          </w:tcPr>
          <w:p>
            <w:pPr>
              <w:jc w:val="center"/>
            </w:pPr>
            <w:r>
              <w:rPr>
                <w:b/>
                <w:bCs/>
                <w:color w:val="FFFFFF"/>
                <w:sz w:val="22"/>
                <w:szCs w:val="22"/>
              </w:rPr>
              <w:t xml:space="preserve">MODEL 1</w:t>
            </w:r>
          </w:p>
          <w:p>
            <w:pPr>
              <w:jc w:val="center"/>
            </w:pPr>
            <w:r>
              <w:rPr>
                <w:color w:val="E0E0E0"/>
                <w:sz w:val="18"/>
                <w:szCs w:val="18"/>
              </w:rPr>
              <w:t xml:space="preserve">Counter Trend</w:t>
            </w:r>
          </w:p>
        </w:tc>
        <w:tc>
          <w:tcPr>
            <w:tcW w:type="dxa" w:w="3120"/>
            <w:tcBorders>
              <w:top w:val="none" w:color="FFFFFF" w:sz="0"/>
              <w:left w:val="none" w:color="FFFFFF" w:sz="0"/>
              <w:bottom w:val="none" w:color="FFFFFF" w:sz="0"/>
              <w:right w:val="none" w:color="FFFFFF" w:sz="0"/>
            </w:tcBorders>
            <w:shd w:fill="8B4513" w:val="clear"/>
            <w:tcMar>
              <w:top w:type="dxa" w:w="160"/>
              <w:left w:type="dxa" w:w="200"/>
              <w:bottom w:type="dxa" w:w="160"/>
              <w:right w:type="dxa" w:w="200"/>
            </w:tcMar>
          </w:tcPr>
          <w:p>
            <w:pPr>
              <w:jc w:val="center"/>
            </w:pPr>
            <w:r>
              <w:rPr>
                <w:b/>
                <w:bCs/>
                <w:color w:val="FFFFFF"/>
                <w:sz w:val="22"/>
                <w:szCs w:val="22"/>
              </w:rPr>
              <w:t xml:space="preserve">MODEL 2</w:t>
            </w:r>
          </w:p>
          <w:p>
            <w:pPr>
              <w:jc w:val="center"/>
            </w:pPr>
            <w:r>
              <w:rPr>
                <w:color w:val="E0E0E0"/>
                <w:sz w:val="18"/>
                <w:szCs w:val="18"/>
              </w:rPr>
              <w:t xml:space="preserve">Pre-Pump</w:t>
            </w:r>
          </w:p>
        </w:tc>
        <w:tc>
          <w:tcPr>
            <w:tcW w:type="dxa" w:w="312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b/>
                <w:bCs/>
                <w:color w:val="FFFFFF"/>
                <w:sz w:val="22"/>
                <w:szCs w:val="22"/>
              </w:rPr>
              <w:t xml:space="preserve">MODEL 3</w:t>
            </w:r>
          </w:p>
          <w:p>
            <w:pPr>
              <w:jc w:val="center"/>
            </w:pPr>
            <w:r>
              <w:rPr>
                <w:color w:val="E0E0E0"/>
                <w:sz w:val="18"/>
                <w:szCs w:val="18"/>
              </w:rPr>
              <w:t xml:space="preserve">Trend Momentum</w:t>
            </w:r>
          </w:p>
        </w:tc>
      </w:tr>
    </w:tbl>
    <w:p>
      <w:pPr>
        <w:spacing w:after="0" w:before="0"/>
      </w:pPr>
      <w:r>
        <w:t xml:space="preserve"/>
      </w:r>
    </w:p>
    <w:p>
      <w:pPr>
        <w:spacing w:after="0" w:before="0"/>
      </w:pPr>
      <w:r>
        <w:t xml:space="preserve"/>
      </w:r>
    </w:p>
    <w:p>
      <w:pPr>
        <w:spacing w:after="0" w:before="0"/>
      </w:pPr>
      <w:r>
        <w:t xml:space="preserve"/>
      </w:r>
    </w:p>
    <w:p>
      <w:r>
        <w:br w:type="page"/>
      </w:r>
    </w:p>
    <w:p>
      <w:pPr>
        <w:pStyle w:val="Heading1"/>
        <w:spacing w:after="120" w:before="360"/>
      </w:pPr>
      <w:r>
        <w:rPr>
          <w:b/>
          <w:bCs/>
          <w:color w:val="1A3C5E"/>
          <w:sz w:val="32"/>
          <w:szCs w:val="32"/>
        </w:rPr>
        <w:t xml:space="preserve">0. Gambaran Umum Sistem</w:t>
      </w:r>
    </w:p>
    <w:p>
      <w:pPr>
        <w:spacing w:after="60" w:before="60"/>
      </w:pPr>
      <w:r>
        <w:rPr>
          <w:sz w:val="20"/>
          <w:szCs w:val="20"/>
        </w:rPr>
        <w:t xml:space="preserve">Dokumen ini adalah blueprint teknis untuk developer yang membangun sistem trading crypto otomatis di VPS. Terdapat 3 model trading yang berdiri sendiri dan TIDAK boleh digabungkan satu sama lain. Masing-masing model memiliki logika, sumber data, timeframe, dan kondisi entry/exit yang berbeda.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18"/>
                <w:szCs w:val="18"/>
              </w:rPr>
              <w:t xml:space="preserve">Properti</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Jumlah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3 (Terpisah, tidak terintegrasi)</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Data Sumber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Public API (CoinGecko, Binance Public, Coinalyze, dll)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Bahasa Implementasi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Bebas (Python / Node.js direkomendasikan)</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VPS Linux</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Top 10 koin per kategori beserta skor/sinyal</w:t>
            </w:r>
          </w:p>
        </w:tc>
      </w:tr>
    </w:tbl>
    <w:p>
      <w:pPr>
        <w:spacing w:after="0" w:before="0"/>
      </w:pPr>
      <w:r>
        <w:t xml:space="preserve"/>
      </w:r>
    </w:p>
    <w:p>
      <w:pPr>
        <w:spacing w:after="60" w:before="60"/>
      </w:pPr>
      <w:r>
        <w:rPr>
          <w:b/>
          <w:bCs/>
          <w:sz w:val="20"/>
          <w:szCs w:val="20"/>
        </w:rPr>
        <w:t xml:space="preserve">Catatan Penting:</w:t>
      </w:r>
    </w:p>
    <w:p>
      <w:pPr>
        <w:pStyle w:val="ListParagraph"/>
        <w:numPr>
          <w:ilvl w:val="0"/>
          <w:numId w:val="2"/>
        </w:numPr>
        <w:spacing w:after="40" w:before="40"/>
      </w:pPr>
      <w:r>
        <w:rPr>
          <w:sz w:val="20"/>
          <w:szCs w:val="20"/>
        </w:rPr>
        <w:t xml:space="preserve">Ketiga model HARUS dijalankan dalam proses/service yang terpisah</w:t>
      </w:r>
    </w:p>
    <w:p>
      <w:pPr>
        <w:pStyle w:val="ListParagraph"/>
        <w:numPr>
          <w:ilvl w:val="0"/>
          <w:numId w:val="2"/>
        </w:numPr>
        <w:spacing w:after="40" w:before="40"/>
      </w:pPr>
      <w:r>
        <w:rPr>
          <w:sz w:val="20"/>
          <w:szCs w:val="20"/>
        </w:rPr>
        <w:t xml:space="preserve">Setiap model menghasilkan list tersendiri (bukan satu list gabungan)</w:t>
      </w:r>
    </w:p>
    <w:p>
      <w:pPr>
        <w:pStyle w:val="ListParagraph"/>
        <w:numPr>
          <w:ilvl w:val="0"/>
          <w:numId w:val="2"/>
        </w:numPr>
        <w:spacing w:after="40" w:before="40"/>
      </w:pPr>
      <w:r>
        <w:rPr>
          <w:sz w:val="20"/>
          <w:szCs w:val="20"/>
        </w:rPr>
        <w:t xml:space="preserve">Data derivatif (OI, Funding, CVD) berfungsi sebagai konfirmasi — bukan trigger utama</w:t>
      </w:r>
    </w:p>
    <w:p>
      <w:pPr>
        <w:pStyle w:val="ListParagraph"/>
        <w:numPr>
          <w:ilvl w:val="0"/>
          <w:numId w:val="2"/>
        </w:numPr>
        <w:spacing w:after="40" w:before="40"/>
      </w:pPr>
      <w:r>
        <w:rPr>
          <w:sz w:val="20"/>
          <w:szCs w:val="20"/>
        </w:rPr>
        <w:t xml:space="preserve">Seluruh data yang digunakan adalah data publik, tidak memerlukan autentikasi berbayar</w:t>
      </w:r>
    </w:p>
    <w:p>
      <w:pPr>
        <w:pBdr>
          <w:bottom w:val="single" w:color="DDDDDD" w:sz="4" w:space="1"/>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C" w:val="clear"/>
            <w:tcMar>
              <w:top w:type="dxa" w:w="140"/>
              <w:left w:type="dxa" w:w="200"/>
              <w:bottom w:type="dxa" w:w="140"/>
              <w:right w:type="dxa" w:w="200"/>
            </w:tcMar>
          </w:tcPr>
          <w:p>
            <w:r>
              <w:rPr>
                <w:b/>
                <w:bCs/>
                <w:color w:val="FFFFFF"/>
                <w:sz w:val="28"/>
                <w:szCs w:val="28"/>
              </w:rPr>
              <w:t xml:space="preserve">MODEL 1: COUNTER TREND</w:t>
            </w:r>
          </w:p>
          <w:p>
            <w:r>
              <w:rPr>
                <w:color w:val="E0E0E0"/>
                <w:sz w:val="18"/>
                <w:szCs w:val="18"/>
              </w:rPr>
              <w:t xml:space="preserve">Mia Style + Liquidity Sweep + Exhaustion Detection</w:t>
            </w:r>
          </w:p>
        </w:tc>
      </w:tr>
    </w:tbl>
    <w:p>
      <w:pPr>
        <w:spacing w:after="0" w:before="0"/>
      </w:pPr>
      <w:r>
        <w:t xml:space="preserve"/>
      </w:r>
    </w:p>
    <w:p>
      <w:pPr>
        <w:pStyle w:val="Heading2"/>
        <w:spacing w:after="100" w:before="280"/>
      </w:pPr>
      <w:r>
        <w:rPr>
          <w:b/>
          <w:bCs/>
          <w:color w:val="2E6DA4"/>
          <w:sz w:val="26"/>
          <w:szCs w:val="26"/>
        </w:rPr>
        <w:t xml:space="preserve">1.1 Deskripsi &amp; Filosofi</w:t>
      </w:r>
    </w:p>
    <w:p>
      <w:pPr>
        <w:spacing w:after="60" w:before="60"/>
      </w:pPr>
      <w:r>
        <w:rPr>
          <w:sz w:val="20"/>
          <w:szCs w:val="20"/>
        </w:rPr>
        <w:t xml:space="preserve">Model ini mendeteksi titik balik harga (reversal) ketika manipulasi harga bertemu dengan kejenuhan (exhaustion) tenaga pasar. Bukan mencari agresivitas, melainkan mencari titik di mana tekanan salah satu pihak telah mencapai batas maksimal dan mulai berbalik.</w:t>
      </w:r>
    </w:p>
    <w:p>
      <w:pPr>
        <w:spacing w:after="60" w:before="60"/>
      </w:pPr>
      <w:r>
        <w:rPr>
          <w:sz w:val="20"/>
          <w:szCs w:val="20"/>
        </w:rPr>
        <w:t xml:space="preserve">Filosofi inti: Smart money menyapu likuiditas (stop loss retail) sebelum membalik arah. Tugas sistem adalah mendeteksi momen setelah sapu tersebut.</w:t>
      </w:r>
    </w:p>
    <w:p>
      <w:pPr>
        <w:spacing w:after="0" w:before="0"/>
      </w:pPr>
      <w:r>
        <w:t xml:space="preserve"/>
      </w:r>
    </w:p>
    <w:p>
      <w:pPr>
        <w:pStyle w:val="Heading2"/>
        <w:spacing w:after="100" w:before="280"/>
      </w:pPr>
      <w:r>
        <w:rPr>
          <w:b/>
          <w:bCs/>
          <w:color w:val="2E6DA4"/>
          <w:sz w:val="26"/>
          <w:szCs w:val="26"/>
        </w:rPr>
        <w:t xml:space="preserve">1.2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b/>
                <w:bCs/>
                <w:color w:val="FFFFFF"/>
                <w:sz w:val="18"/>
                <w:szCs w:val="18"/>
              </w:rPr>
              <w:t xml:space="preserve">Komponen</w:t>
            </w:r>
          </w:p>
        </w:tc>
        <w:tc>
          <w:tcPr>
            <w:tcW w:type="dxa" w:w="6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color w:val="FFFFFF"/>
                <w:sz w:val="18"/>
                <w:szCs w:val="18"/>
              </w:rPr>
              <w:t xml:space="preserve">Timeframe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Screening Awal (Struktur)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1H atau 4H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Konfirmasi 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15M</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Konteks Makro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1D (opsional, untuk filter tren besar)</w:t>
            </w:r>
          </w:p>
        </w:tc>
      </w:tr>
    </w:tbl>
    <w:p>
      <w:pPr>
        <w:spacing w:after="0" w:before="0"/>
      </w:pPr>
      <w:r>
        <w:t xml:space="preserve"/>
      </w:r>
    </w:p>
    <w:p>
      <w:pPr>
        <w:pStyle w:val="Heading2"/>
        <w:spacing w:after="100" w:before="280"/>
      </w:pPr>
      <w:r>
        <w:rPr>
          <w:b/>
          <w:bCs/>
          <w:color w:val="2E6DA4"/>
          <w:sz w:val="26"/>
          <w:szCs w:val="26"/>
        </w:rPr>
        <w:t xml:space="preserve">1.3 Komponen Sinyal &amp; Logika</w:t>
      </w:r>
    </w:p>
    <w:p>
      <w:pPr>
        <w:pStyle w:val="Heading3"/>
        <w:spacing w:after="80" w:before="200"/>
      </w:pPr>
      <w:r>
        <w:rPr>
          <w:b/>
          <w:bCs/>
          <w:color w:val="1A6B3C"/>
          <w:sz w:val="22"/>
          <w:szCs w:val="22"/>
        </w:rPr>
        <w:t xml:space="preserve">A. Price Action — Mia Style (Trigger Utama)</w:t>
      </w:r>
    </w:p>
    <w:p>
      <w:pPr>
        <w:spacing w:after="60" w:before="60"/>
      </w:pPr>
      <w:r>
        <w:rPr>
          <w:sz w:val="20"/>
          <w:szCs w:val="20"/>
        </w:rPr>
        <w:t xml:space="preserve">Tiga kondisi ini harus terpenuhi secara berurutan: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Parameter</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Kondisi</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Nilai / Threshold</w:t>
            </w:r>
          </w:p>
        </w:tc>
        <w:tc>
          <w:tcPr>
            <w:tcW w:type="dxa" w:w="236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Sumber API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Liquidity Sweep</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Harga menembus Old High/Low atau Equal H/L, lalu berbalik</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Wick melewati level, candle body kembali di dalam range</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Harga OHLCV via CoinGecko /coins/{id}/ohlc atau Binance klines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MSS (Market Structure Shift)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Perubahan karakter tren mendadak dengan body break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Candle CLOSE menembus swing point berlawanan arah</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Hitung swing high/low dari data OHLCV (library: ta-lib / pandas-ta)</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FVG / OB Entry</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Harga retrace ke area ketidakseimbangan setelah MSS</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Fair Value Gap: gap antar 3 candle. Order Block: last bearish candle sebelum impulse naik</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Kalkulasi manual dari OHLCV data</w:t>
            </w:r>
          </w:p>
        </w:tc>
      </w:tr>
    </w:tbl>
    <w:p>
      <w:pPr>
        <w:spacing w:after="0" w:before="0"/>
      </w:pPr>
      <w:r>
        <w:t xml:space="preserve"/>
      </w:r>
    </w:p>
    <w:p>
      <w:pPr>
        <w:pStyle w:val="Heading3"/>
        <w:spacing w:after="80" w:before="200"/>
      </w:pPr>
      <w:r>
        <w:rPr>
          <w:b/>
          <w:bCs/>
          <w:color w:val="1A6B3C"/>
          <w:sz w:val="22"/>
          <w:szCs w:val="22"/>
        </w:rPr>
        <w:t xml:space="preserve">B. Data Derivatif — Konfirmasi Kejenuhan (BUKAN Trigger)</w:t>
      </w:r>
    </w:p>
    <w:p>
      <w:pPr>
        <w:spacing w:after="60" w:before="60"/>
      </w:pPr>
      <w:r>
        <w:rPr>
          <w:sz w:val="20"/>
          <w:szCs w:val="20"/>
        </w:rPr>
        <w:t xml:space="preserve">Semua kondisi derivatif di bawah ini harus terpenuhi sebagai filter konfirmasi SETELAH sinyal price action muncul: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Parameter</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Kondisi</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Nilai / Threshold</w:t>
            </w:r>
          </w:p>
        </w:tc>
        <w:tc>
          <w:tcPr>
            <w:tcW w:type="dxa" w:w="236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Sumber API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Open Interest (OI)</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Turun tajam atau mendatar setelah sweep</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OI change -5% atau lebih dalam 1 jam terakhir pasca sweep</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Coinalyze API (gratis): /futures/open-interest | Binance: /fapi/v1/openInterest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Funding Rate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Bergerak dari ekstrem negatif menuju 0 (netral)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Funding sebelumnya &lt; -0.05%, kini bergerak ke arah 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Binance: /fapi/v1/fundingRate | Coinalyze: /futures/funding-rate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CVD (Cumulative Volume Delta)</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Divergence: Harga Low baru, CVD mulai naik</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Price &lt; previous low, tapi CVD slope positif dalam 5-10 candle terakhir</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Hitung dari aggTrades: buy_vol - sell_vol cumulative | Binance: /fapi/v1/aggTrades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Volatility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Lonjakan saat sweep, lalu stabil saat struktur baru terbentuk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ATR spike &gt; 150% rata-rata 14 periode, lalu turun kembali &lt; 100%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Kalkulasi ATR dari OHLCV (ta-lib)</w:t>
            </w:r>
          </w:p>
        </w:tc>
      </w:tr>
    </w:tbl>
    <w:p>
      <w:pPr>
        <w:spacing w:after="0" w:before="0"/>
      </w:pPr>
      <w:r>
        <w:t xml:space="preserve"/>
      </w:r>
    </w:p>
    <w:p>
      <w:pPr>
        <w:pStyle w:val="Heading2"/>
        <w:spacing w:after="100" w:before="280"/>
      </w:pPr>
      <w:r>
        <w:rPr>
          <w:b/>
          <w:bCs/>
          <w:color w:val="2E6DA4"/>
          <w:sz w:val="26"/>
          <w:szCs w:val="26"/>
        </w:rPr>
        <w:t xml:space="preserve">1.4 Logika Scoring untuk Top 10</w:t>
      </w:r>
    </w:p>
    <w:p>
      <w:pPr>
        <w:spacing w:after="60" w:before="60"/>
      </w:pPr>
      <w:r>
        <w:rPr>
          <w:sz w:val="20"/>
          <w:szCs w:val="20"/>
        </w:rPr>
        <w:t xml:space="preserve">Setiap koin diberi skor 0-100 berdasarkan bobot berikut: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6B3C" w:val="clear"/>
            <w:tcMar>
              <w:top w:type="dxa" w:w="80"/>
              <w:left w:type="dxa" w:w="100"/>
              <w:bottom w:type="dxa" w:w="80"/>
              <w:right w:type="dxa" w:w="100"/>
            </w:tcMar>
          </w:tcPr>
          <w:p>
            <w:r>
              <w:rPr>
                <w:b/>
                <w:bCs/>
                <w:color w:val="FFFFFF"/>
                <w:sz w:val="17"/>
                <w:szCs w:val="17"/>
              </w:rPr>
              <w:t xml:space="preserve">Komponen</w:t>
            </w:r>
          </w:p>
        </w:tc>
        <w:tc>
          <w:tcPr>
            <w:tcW w:type="dxa" w:w="2000"/>
            <w:tcBorders>
              <w:top w:val="single" w:color="CCCCCC" w:sz="1"/>
              <w:left w:val="single" w:color="CCCCCC" w:sz="1"/>
              <w:bottom w:val="single" w:color="CCCCCC" w:sz="1"/>
              <w:right w:val="single" w:color="CCCCCC" w:sz="1"/>
            </w:tcBorders>
            <w:shd w:fill="1A6B3C" w:val="clear"/>
            <w:tcMar>
              <w:top w:type="dxa" w:w="80"/>
              <w:left w:type="dxa" w:w="100"/>
              <w:bottom w:type="dxa" w:w="80"/>
              <w:right w:type="dxa" w:w="100"/>
            </w:tcMar>
          </w:tcPr>
          <w:p>
            <w:r>
              <w:rPr>
                <w:b/>
                <w:bCs/>
                <w:color w:val="FFFFFF"/>
                <w:sz w:val="17"/>
                <w:szCs w:val="17"/>
              </w:rPr>
              <w:t xml:space="preserve">Bobot</w:t>
            </w:r>
          </w:p>
        </w:tc>
        <w:tc>
          <w:tcPr>
            <w:tcW w:type="dxa" w:w="3860"/>
            <w:tcBorders>
              <w:top w:val="single" w:color="CCCCCC" w:sz="1"/>
              <w:left w:val="single" w:color="CCCCCC" w:sz="1"/>
              <w:bottom w:val="single" w:color="CCCCCC" w:sz="1"/>
              <w:right w:val="single" w:color="CCCCCC" w:sz="1"/>
            </w:tcBorders>
            <w:shd w:fill="1A6B3C" w:val="clear"/>
            <w:tcMar>
              <w:top w:type="dxa" w:w="80"/>
              <w:left w:type="dxa" w:w="100"/>
              <w:bottom w:type="dxa" w:w="80"/>
              <w:right w:type="dxa" w:w="100"/>
            </w:tcMar>
          </w:tcPr>
          <w:p>
            <w:r>
              <w:rPr>
                <w:b/>
                <w:bCs/>
                <w:color w:val="FFFFFF"/>
                <w:sz w:val="17"/>
                <w:szCs w:val="17"/>
              </w:rPr>
              <w:t xml:space="preserve">Keterangan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Liquidity Sweep terkonfirmasi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30%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Boolean: terpenuhi atau tidak</w:t>
            </w:r>
          </w:p>
        </w:tc>
      </w:tr>
      <w:tr>
        <w:tc>
          <w:tcPr>
            <w:tcW w:type="dxa" w:w="350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MSS dengan body break</w:t>
            </w:r>
          </w:p>
        </w:tc>
        <w:tc>
          <w:tcPr>
            <w:tcW w:type="dxa" w:w="200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25%</w:t>
            </w:r>
          </w:p>
        </w:tc>
        <w:tc>
          <w:tcPr>
            <w:tcW w:type="dxa" w:w="386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Boolean: terpenuhi atau tidak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OI menurun pasca sweep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Gradasi: -5% = 50%, -10% = 100%</w:t>
            </w:r>
          </w:p>
        </w:tc>
      </w:tr>
      <w:tr>
        <w:tc>
          <w:tcPr>
            <w:tcW w:type="dxa" w:w="350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CVD Divergence</w:t>
            </w:r>
          </w:p>
        </w:tc>
        <w:tc>
          <w:tcPr>
            <w:tcW w:type="dxa" w:w="200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15%</w:t>
            </w:r>
          </w:p>
        </w:tc>
        <w:tc>
          <w:tcPr>
            <w:tcW w:type="dxa" w:w="386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Boolean dengan grade kekuatan divergence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Funding Rate mendekati 0 dari negatif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Gradasi: makin dekat 0 = skor lebih tinggi</w:t>
            </w:r>
          </w:p>
        </w:tc>
      </w:tr>
      <w:tr>
        <w:tc>
          <w:tcPr>
            <w:tcW w:type="dxa" w:w="350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Volatility stabilizing</w:t>
            </w:r>
          </w:p>
        </w:tc>
        <w:tc>
          <w:tcPr>
            <w:tcW w:type="dxa" w:w="200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5%</w:t>
            </w:r>
          </w:p>
        </w:tc>
        <w:tc>
          <w:tcPr>
            <w:tcW w:type="dxa" w:w="3860"/>
            <w:tcBorders>
              <w:top w:val="single" w:color="CCCCCC" w:sz="1"/>
              <w:left w:val="single" w:color="CCCCCC" w:sz="1"/>
              <w:bottom w:val="single" w:color="CCCCCC" w:sz="1"/>
              <w:right w:val="single" w:color="CCCCCC" w:sz="1"/>
            </w:tcBorders>
            <w:shd w:fill="F0FBF4" w:val="clear"/>
            <w:tcMar>
              <w:top w:type="dxa" w:w="80"/>
              <w:left w:type="dxa" w:w="100"/>
              <w:bottom w:type="dxa" w:w="80"/>
              <w:right w:type="dxa" w:w="100"/>
            </w:tcMar>
          </w:tcPr>
          <w:p>
            <w:r>
              <w:rPr>
                <w:b w:val="false"/>
                <w:bCs w:val="false"/>
                <w:color w:val="333333"/>
                <w:sz w:val="17"/>
                <w:szCs w:val="17"/>
              </w:rPr>
              <w:t xml:space="preserve">ATR turun dari spike</w:t>
            </w:r>
          </w:p>
        </w:tc>
      </w:tr>
    </w:tbl>
    <w:p>
      <w:pPr>
        <w:spacing w:after="0" w:before="0"/>
      </w:pPr>
      <w:r>
        <w:t xml:space="preserve"/>
      </w:r>
    </w:p>
    <w:p>
      <w:pPr>
        <w:spacing w:after="60" w:before="60"/>
      </w:pPr>
      <w:r>
        <w:rPr>
          <w:sz w:val="20"/>
          <w:szCs w:val="20"/>
        </w:rPr>
        <w:t xml:space="preserve">Output: Urutkan 10 koin dengan skor tertinggi. Tampilkan skor individual tiap komponen untuk transparansi.</w:t>
      </w:r>
    </w:p>
    <w:p>
      <w:pPr>
        <w:pBdr>
          <w:bottom w:val="single" w:color="DDDDDD" w:sz="4" w:space="1"/>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4513" w:val="clear"/>
            <w:tcMar>
              <w:top w:type="dxa" w:w="140"/>
              <w:left w:type="dxa" w:w="200"/>
              <w:bottom w:type="dxa" w:w="140"/>
              <w:right w:type="dxa" w:w="200"/>
            </w:tcMar>
          </w:tcPr>
          <w:p>
            <w:r>
              <w:rPr>
                <w:b/>
                <w:bCs/>
                <w:color w:val="FFFFFF"/>
                <w:sz w:val="28"/>
                <w:szCs w:val="28"/>
              </w:rPr>
              <w:t xml:space="preserve">MODEL 2: PRE-PUMP METHOD</w:t>
            </w:r>
          </w:p>
          <w:p>
            <w:r>
              <w:rPr>
                <w:color w:val="E0E0E0"/>
                <w:sz w:val="18"/>
                <w:szCs w:val="18"/>
              </w:rPr>
              <w:t xml:space="preserve">The Pressure Cooker — Deteksi Koin yang Siap Meledak</w:t>
            </w:r>
          </w:p>
        </w:tc>
      </w:tr>
    </w:tbl>
    <w:p>
      <w:pPr>
        <w:spacing w:after="0" w:before="0"/>
      </w:pPr>
      <w:r>
        <w:t xml:space="preserve"/>
      </w:r>
    </w:p>
    <w:p>
      <w:pPr>
        <w:pStyle w:val="Heading2"/>
        <w:spacing w:after="100" w:before="280"/>
      </w:pPr>
      <w:r>
        <w:rPr>
          <w:b/>
          <w:bCs/>
          <w:color w:val="2E6DA4"/>
          <w:sz w:val="26"/>
          <w:szCs w:val="26"/>
        </w:rPr>
        <w:t xml:space="preserve">2.1 Deskripsi &amp; Filosofi</w:t>
      </w:r>
    </w:p>
    <w:p>
      <w:pPr>
        <w:spacing w:after="60" w:before="60"/>
      </w:pPr>
      <w:r>
        <w:rPr>
          <w:sz w:val="20"/>
          <w:szCs w:val="20"/>
        </w:rPr>
        <w:t xml:space="preserve">Model ini mencari koin yang sedang berada di bawah tekanan besar (short pressure) dan dalam kondisi kompresi volatilitas — siap meledak ke atas. Analoginya: panci tekanan (pressure cooker) yang semakin panas dan sesaat lagi akan meledak.</w:t>
      </w:r>
    </w:p>
    <w:p>
      <w:pPr>
        <w:spacing w:after="60" w:before="60"/>
      </w:pPr>
      <w:r>
        <w:rPr>
          <w:sz w:val="20"/>
          <w:szCs w:val="20"/>
        </w:rPr>
        <w:t xml:space="preserve">Filosofi inti: Funding rate negatif ekstrem = banyak yang short. Saat short squeeze terjadi, harga naik tajam karena short seller dipaksa menutup posisi.</w:t>
      </w:r>
    </w:p>
    <w:p>
      <w:pPr>
        <w:spacing w:after="0" w:before="0"/>
      </w:pPr>
      <w:r>
        <w:t xml:space="preserve"/>
      </w:r>
    </w:p>
    <w:p>
      <w:pPr>
        <w:pStyle w:val="Heading2"/>
        <w:spacing w:after="100" w:before="280"/>
      </w:pPr>
      <w:r>
        <w:rPr>
          <w:b/>
          <w:bCs/>
          <w:color w:val="2E6DA4"/>
          <w:sz w:val="26"/>
          <w:szCs w:val="26"/>
        </w:rPr>
        <w:t xml:space="preserve">2.2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b/>
                <w:bCs/>
                <w:color w:val="FFFFFF"/>
                <w:sz w:val="18"/>
                <w:szCs w:val="18"/>
              </w:rPr>
              <w:t xml:space="preserve">Komponen</w:t>
            </w:r>
          </w:p>
        </w:tc>
        <w:tc>
          <w:tcPr>
            <w:tcW w:type="dxa" w:w="6560"/>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tcPr>
          <w:p>
            <w:r>
              <w:rPr>
                <w:color w:val="FFFFFF"/>
                <w:sz w:val="18"/>
                <w:szCs w:val="18"/>
              </w:rPr>
              <w:t xml:space="preserve">Timeframe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Funding Rate Screening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Real-time / 8H interval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OI Expansion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ATR Compression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4H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Price Action (Momentum Runner)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4H atau 1D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Entry Timing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1H atau 15M</w:t>
            </w:r>
          </w:p>
        </w:tc>
      </w:tr>
    </w:tbl>
    <w:p>
      <w:pPr>
        <w:spacing w:after="0" w:before="0"/>
      </w:pPr>
      <w:r>
        <w:t xml:space="preserve"/>
      </w:r>
    </w:p>
    <w:p>
      <w:pPr>
        <w:pStyle w:val="Heading2"/>
        <w:spacing w:after="100" w:before="280"/>
      </w:pPr>
      <w:r>
        <w:rPr>
          <w:b/>
          <w:bCs/>
          <w:color w:val="2E6DA4"/>
          <w:sz w:val="26"/>
          <w:szCs w:val="26"/>
        </w:rPr>
        <w:t xml:space="preserve">2.3 Komponen Sinyal &amp; Logika</w:t>
      </w:r>
    </w:p>
    <w:p>
      <w:pPr>
        <w:pStyle w:val="Heading3"/>
        <w:spacing w:after="80" w:before="200"/>
      </w:pPr>
      <w:r>
        <w:rPr>
          <w:b/>
          <w:bCs/>
          <w:color w:val="1A6B3C"/>
          <w:sz w:val="22"/>
          <w:szCs w:val="22"/>
        </w:rPr>
        <w:t xml:space="preserve">A. Funding Rate Squeeze (Filter Primer)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Parameter</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Kondisi</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Nilai / Threshold</w:t>
            </w:r>
          </w:p>
        </w:tc>
        <w:tc>
          <w:tcPr>
            <w:tcW w:type="dxa" w:w="236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Sumber API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Funding Rate Negatif Ekstrem</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Nilai funding &lt; threshold negatif</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Target: &lt; -0.05% per 8 jam. Makin negatif = prioritas lebih tinggi</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Binance: GET /fapi/v1/fundingRate | Bybit: /v5/market/funding/history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Konsistensi Negatif</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Funding negatif dalam beberapa periode berturut-turut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Minimal 3 periode 8H berturut-turut negatif</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Kumpulkan riwayat funding rate 24-48H terakhir</w:t>
            </w:r>
          </w:p>
        </w:tc>
      </w:tr>
    </w:tbl>
    <w:p>
      <w:pPr>
        <w:spacing w:after="0" w:before="0"/>
      </w:pPr>
      <w:r>
        <w:t xml:space="preserve"/>
      </w:r>
    </w:p>
    <w:p>
      <w:pPr>
        <w:pStyle w:val="Heading3"/>
        <w:spacing w:after="80" w:before="200"/>
      </w:pPr>
      <w:r>
        <w:rPr>
          <w:b/>
          <w:bCs/>
          <w:color w:val="1A6B3C"/>
          <w:sz w:val="22"/>
          <w:szCs w:val="22"/>
        </w:rPr>
        <w:t xml:space="preserve">B. Momentum Runner (Kekuatan Relatif)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Parameter</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Kondisi</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Nilai / Threshold</w:t>
            </w:r>
          </w:p>
        </w:tc>
        <w:tc>
          <w:tcPr>
            <w:tcW w:type="dxa" w:w="236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Sumber API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Relative Strength vs BTC</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Koin tetap naik atau sideways saat BTC turun</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Hitung correlation 24H: if BTC_return &lt; -1% dan coin_return &gt; 0%, flag sebagai strong</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CoinGecko: /coins/{id}/market_chart untuk price history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Volume Relatif</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Volume lebih tinggi dari rata-rata saat konsolidasi</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Volume 24H &gt; 150% rata-rata 7 hari terakhir</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CoinGecko: /coins/markets — kolom total_volume</w:t>
            </w:r>
          </w:p>
        </w:tc>
      </w:tr>
    </w:tbl>
    <w:p>
      <w:pPr>
        <w:spacing w:after="0" w:before="0"/>
      </w:pPr>
      <w:r>
        <w:t xml:space="preserve"/>
      </w:r>
    </w:p>
    <w:p>
      <w:pPr>
        <w:pStyle w:val="Heading3"/>
        <w:spacing w:after="80" w:before="200"/>
      </w:pPr>
      <w:r>
        <w:rPr>
          <w:b/>
          <w:bCs/>
          <w:color w:val="1A6B3C"/>
          <w:sz w:val="22"/>
          <w:szCs w:val="22"/>
        </w:rPr>
        <w:t xml:space="preserve">C. OI Expansion + Price Action + ATR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Parameter</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Kondisi</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Nilai / Threshold</w:t>
            </w:r>
          </w:p>
        </w:tc>
        <w:tc>
          <w:tcPr>
            <w:tcW w:type="dxa" w:w="236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Sumber API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OI Expansion</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OI naik konsisten selama konsolidasi harga</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OI naik &gt; 3% dalam 24H sementara harga bergerak &lt; 2%</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Coinalyze atau Binance /fapi/v1/openInterest (polling per jam)</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Price at POI/OB</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Harga tertahan di area Order Block atau POI</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Harga dalam rentang ±0.5% dari OB yang teridentifikasi</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Kalkulasi OB dari OHLCV 4H: last bearish candle sebelum impulse naik</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ATR Compression</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Volatilitas rendah — sinyal energy compression</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ATR(14) 4H &lt; 70% dari rata-rata ATR 30 hari. Makin kecil = lebih baik</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Kalkulasi dari OHLCV 4H menggunakan ta-lib atau pandas-ta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CVD Buying Delta</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Buying pressure diam-diam menumpuk meski harga sideways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CVD slope positif (linear regression CVD 20 candle terakhir &gt; 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Hitung dari aggTrades Binance atau Bybit</w:t>
            </w:r>
          </w:p>
        </w:tc>
      </w:tr>
    </w:tbl>
    <w:p>
      <w:pPr>
        <w:spacing w:after="0" w:before="0"/>
      </w:pPr>
      <w:r>
        <w:t xml:space="preserve"/>
      </w:r>
    </w:p>
    <w:p>
      <w:pPr>
        <w:pStyle w:val="Heading2"/>
        <w:spacing w:after="100" w:before="280"/>
      </w:pPr>
      <w:r>
        <w:rPr>
          <w:b/>
          <w:bCs/>
          <w:color w:val="2E6DA4"/>
          <w:sz w:val="26"/>
          <w:szCs w:val="26"/>
        </w:rPr>
        <w:t xml:space="preserve">2.4 Logika Scoring untuk Top 10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8B4513" w:val="clear"/>
            <w:tcMar>
              <w:top w:type="dxa" w:w="80"/>
              <w:left w:type="dxa" w:w="100"/>
              <w:bottom w:type="dxa" w:w="80"/>
              <w:right w:type="dxa" w:w="100"/>
            </w:tcMar>
          </w:tcPr>
          <w:p>
            <w:r>
              <w:rPr>
                <w:b/>
                <w:bCs/>
                <w:color w:val="FFFFFF"/>
                <w:sz w:val="17"/>
                <w:szCs w:val="17"/>
              </w:rPr>
              <w:t xml:space="preserve">Komponen</w:t>
            </w:r>
          </w:p>
        </w:tc>
        <w:tc>
          <w:tcPr>
            <w:tcW w:type="dxa" w:w="2000"/>
            <w:tcBorders>
              <w:top w:val="single" w:color="CCCCCC" w:sz="1"/>
              <w:left w:val="single" w:color="CCCCCC" w:sz="1"/>
              <w:bottom w:val="single" w:color="CCCCCC" w:sz="1"/>
              <w:right w:val="single" w:color="CCCCCC" w:sz="1"/>
            </w:tcBorders>
            <w:shd w:fill="8B4513" w:val="clear"/>
            <w:tcMar>
              <w:top w:type="dxa" w:w="80"/>
              <w:left w:type="dxa" w:w="100"/>
              <w:bottom w:type="dxa" w:w="80"/>
              <w:right w:type="dxa" w:w="100"/>
            </w:tcMar>
          </w:tcPr>
          <w:p>
            <w:r>
              <w:rPr>
                <w:b/>
                <w:bCs/>
                <w:color w:val="FFFFFF"/>
                <w:sz w:val="17"/>
                <w:szCs w:val="17"/>
              </w:rPr>
              <w:t xml:space="preserve">Bobot</w:t>
            </w:r>
          </w:p>
        </w:tc>
        <w:tc>
          <w:tcPr>
            <w:tcW w:type="dxa" w:w="3860"/>
            <w:tcBorders>
              <w:top w:val="single" w:color="CCCCCC" w:sz="1"/>
              <w:left w:val="single" w:color="CCCCCC" w:sz="1"/>
              <w:bottom w:val="single" w:color="CCCCCC" w:sz="1"/>
              <w:right w:val="single" w:color="CCCCCC" w:sz="1"/>
            </w:tcBorders>
            <w:shd w:fill="8B4513" w:val="clear"/>
            <w:tcMar>
              <w:top w:type="dxa" w:w="80"/>
              <w:left w:type="dxa" w:w="100"/>
              <w:bottom w:type="dxa" w:w="80"/>
              <w:right w:type="dxa" w:w="100"/>
            </w:tcMar>
          </w:tcPr>
          <w:p>
            <w:r>
              <w:rPr>
                <w:b/>
                <w:bCs/>
                <w:color w:val="FFFFFF"/>
                <w:sz w:val="17"/>
                <w:szCs w:val="17"/>
              </w:rPr>
              <w:t xml:space="preserve">Keterangan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Funding Rate (negatif ekstrem)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35%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Gradasi: -0.05%=50%, -0.1%=75%, -0.15%+=100%</w:t>
            </w:r>
          </w:p>
        </w:tc>
      </w:tr>
      <w:tr>
        <w:tc>
          <w:tcPr>
            <w:tcW w:type="dxa" w:w="3500"/>
            <w:tcBorders>
              <w:top w:val="single" w:color="CCCCCC" w:sz="1"/>
              <w:left w:val="single" w:color="CCCCCC" w:sz="1"/>
              <w:bottom w:val="single" w:color="CCCCCC" w:sz="1"/>
              <w:right w:val="single" w:color="CCCCCC" w:sz="1"/>
            </w:tcBorders>
            <w:shd w:fill="FDF5EC" w:val="clear"/>
            <w:tcMar>
              <w:top w:type="dxa" w:w="80"/>
              <w:left w:type="dxa" w:w="100"/>
              <w:bottom w:type="dxa" w:w="80"/>
              <w:right w:type="dxa" w:w="100"/>
            </w:tcMar>
          </w:tcPr>
          <w:p>
            <w:r>
              <w:rPr>
                <w:b w:val="false"/>
                <w:bCs w:val="false"/>
                <w:color w:val="333333"/>
                <w:sz w:val="17"/>
                <w:szCs w:val="17"/>
              </w:rPr>
              <w:t xml:space="preserve">ATR Compression</w:t>
            </w:r>
          </w:p>
        </w:tc>
        <w:tc>
          <w:tcPr>
            <w:tcW w:type="dxa" w:w="2000"/>
            <w:tcBorders>
              <w:top w:val="single" w:color="CCCCCC" w:sz="1"/>
              <w:left w:val="single" w:color="CCCCCC" w:sz="1"/>
              <w:bottom w:val="single" w:color="CCCCCC" w:sz="1"/>
              <w:right w:val="single" w:color="CCCCCC" w:sz="1"/>
            </w:tcBorders>
            <w:shd w:fill="FDF5EC" w:val="clear"/>
            <w:tcMar>
              <w:top w:type="dxa" w:w="80"/>
              <w:left w:type="dxa" w:w="100"/>
              <w:bottom w:type="dxa" w:w="80"/>
              <w:right w:type="dxa" w:w="100"/>
            </w:tcMar>
          </w:tcPr>
          <w:p>
            <w:r>
              <w:rPr>
                <w:b w:val="false"/>
                <w:bCs w:val="false"/>
                <w:color w:val="333333"/>
                <w:sz w:val="17"/>
                <w:szCs w:val="17"/>
              </w:rPr>
              <w:t xml:space="preserve">25%</w:t>
            </w:r>
          </w:p>
        </w:tc>
        <w:tc>
          <w:tcPr>
            <w:tcW w:type="dxa" w:w="3860"/>
            <w:tcBorders>
              <w:top w:val="single" w:color="CCCCCC" w:sz="1"/>
              <w:left w:val="single" w:color="CCCCCC" w:sz="1"/>
              <w:bottom w:val="single" w:color="CCCCCC" w:sz="1"/>
              <w:right w:val="single" w:color="CCCCCC" w:sz="1"/>
            </w:tcBorders>
            <w:shd w:fill="FDF5EC" w:val="clear"/>
            <w:tcMar>
              <w:top w:type="dxa" w:w="80"/>
              <w:left w:type="dxa" w:w="100"/>
              <w:bottom w:type="dxa" w:w="80"/>
              <w:right w:type="dxa" w:w="100"/>
            </w:tcMar>
          </w:tcPr>
          <w:p>
            <w:r>
              <w:rPr>
                <w:b w:val="false"/>
                <w:bCs w:val="false"/>
                <w:color w:val="333333"/>
                <w:sz w:val="17"/>
                <w:szCs w:val="17"/>
              </w:rPr>
              <w:t xml:space="preserve">Gradasi: makin kecil dari rata-rata = skor lebih tinggi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OI Expansion saat sideways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Gradasi berdasarkan % kenaikan OI</w:t>
            </w:r>
          </w:p>
        </w:tc>
      </w:tr>
      <w:tr>
        <w:tc>
          <w:tcPr>
            <w:tcW w:type="dxa" w:w="3500"/>
            <w:tcBorders>
              <w:top w:val="single" w:color="CCCCCC" w:sz="1"/>
              <w:left w:val="single" w:color="CCCCCC" w:sz="1"/>
              <w:bottom w:val="single" w:color="CCCCCC" w:sz="1"/>
              <w:right w:val="single" w:color="CCCCCC" w:sz="1"/>
            </w:tcBorders>
            <w:shd w:fill="FDF5EC" w:val="clear"/>
            <w:tcMar>
              <w:top w:type="dxa" w:w="80"/>
              <w:left w:type="dxa" w:w="100"/>
              <w:bottom w:type="dxa" w:w="80"/>
              <w:right w:type="dxa" w:w="100"/>
            </w:tcMar>
          </w:tcPr>
          <w:p>
            <w:r>
              <w:rPr>
                <w:b w:val="false"/>
                <w:bCs w:val="false"/>
                <w:color w:val="333333"/>
                <w:sz w:val="17"/>
                <w:szCs w:val="17"/>
              </w:rPr>
              <w:t xml:space="preserve">Momentum Runner (RS vs BTC)</w:t>
            </w:r>
          </w:p>
        </w:tc>
        <w:tc>
          <w:tcPr>
            <w:tcW w:type="dxa" w:w="2000"/>
            <w:tcBorders>
              <w:top w:val="single" w:color="CCCCCC" w:sz="1"/>
              <w:left w:val="single" w:color="CCCCCC" w:sz="1"/>
              <w:bottom w:val="single" w:color="CCCCCC" w:sz="1"/>
              <w:right w:val="single" w:color="CCCCCC" w:sz="1"/>
            </w:tcBorders>
            <w:shd w:fill="FDF5EC" w:val="clear"/>
            <w:tcMar>
              <w:top w:type="dxa" w:w="80"/>
              <w:left w:type="dxa" w:w="100"/>
              <w:bottom w:type="dxa" w:w="80"/>
              <w:right w:type="dxa" w:w="100"/>
            </w:tcMar>
          </w:tcPr>
          <w:p>
            <w:r>
              <w:rPr>
                <w:b w:val="false"/>
                <w:bCs w:val="false"/>
                <w:color w:val="333333"/>
                <w:sz w:val="17"/>
                <w:szCs w:val="17"/>
              </w:rPr>
              <w:t xml:space="preserve">10%</w:t>
            </w:r>
          </w:p>
        </w:tc>
        <w:tc>
          <w:tcPr>
            <w:tcW w:type="dxa" w:w="3860"/>
            <w:tcBorders>
              <w:top w:val="single" w:color="CCCCCC" w:sz="1"/>
              <w:left w:val="single" w:color="CCCCCC" w:sz="1"/>
              <w:bottom w:val="single" w:color="CCCCCC" w:sz="1"/>
              <w:right w:val="single" w:color="CCCCCC" w:sz="1"/>
            </w:tcBorders>
            <w:shd w:fill="FDF5EC" w:val="clear"/>
            <w:tcMar>
              <w:top w:type="dxa" w:w="80"/>
              <w:left w:type="dxa" w:w="100"/>
              <w:bottom w:type="dxa" w:w="80"/>
              <w:right w:type="dxa" w:w="100"/>
            </w:tcMar>
          </w:tcPr>
          <w:p>
            <w:r>
              <w:rPr>
                <w:b w:val="false"/>
                <w:bCs w:val="false"/>
                <w:color w:val="333333"/>
                <w:sz w:val="17"/>
                <w:szCs w:val="17"/>
              </w:rPr>
              <w:t xml:space="preserve">Boolean + grade kekuatan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CVD Buying Delta positif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Gradasi berdasarkan slope CVD</w:t>
            </w:r>
          </w:p>
        </w:tc>
      </w:tr>
    </w:tbl>
    <w:p>
      <w:pPr>
        <w:pBdr>
          <w:bottom w:val="single" w:color="DDDDDD" w:sz="4" w:space="1"/>
        </w:pBdr>
        <w:spacing w:after="16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40"/>
              <w:left w:type="dxa" w:w="200"/>
              <w:bottom w:type="dxa" w:w="140"/>
              <w:right w:type="dxa" w:w="200"/>
            </w:tcMar>
          </w:tcPr>
          <w:p>
            <w:r>
              <w:rPr>
                <w:b/>
                <w:bCs/>
                <w:color w:val="FFFFFF"/>
                <w:sz w:val="28"/>
                <w:szCs w:val="28"/>
              </w:rPr>
              <w:t xml:space="preserve">MODEL 3: MACD-RSI-EMA TREND MOMENTUM</w:t>
            </w:r>
          </w:p>
          <w:p>
            <w:r>
              <w:rPr>
                <w:color w:val="E0E0E0"/>
                <w:sz w:val="18"/>
                <w:szCs w:val="18"/>
              </w:rPr>
              <w:t xml:space="preserve">Konfirmasi Koin Breakout yang Punya 'Kaki' Kuat</w:t>
            </w:r>
          </w:p>
        </w:tc>
      </w:tr>
    </w:tbl>
    <w:p>
      <w:pPr>
        <w:spacing w:after="0" w:before="0"/>
      </w:pPr>
      <w:r>
        <w:t xml:space="preserve"/>
      </w:r>
    </w:p>
    <w:p>
      <w:pPr>
        <w:pStyle w:val="Heading2"/>
        <w:spacing w:after="100" w:before="280"/>
      </w:pPr>
      <w:r>
        <w:rPr>
          <w:b/>
          <w:bCs/>
          <w:color w:val="2E6DA4"/>
          <w:sz w:val="26"/>
          <w:szCs w:val="26"/>
        </w:rPr>
        <w:t xml:space="preserve">3.1 Deskripsi &amp; Filosofi</w:t>
      </w:r>
    </w:p>
    <w:p>
      <w:pPr>
        <w:spacing w:after="60" w:before="60"/>
      </w:pPr>
      <w:r>
        <w:rPr>
          <w:sz w:val="20"/>
          <w:szCs w:val="20"/>
        </w:rPr>
        <w:t xml:space="preserve">Model ini mengidentifikasi koin yang sudah breakout dan mengkonfirmasi bahwa momentum tersebut memiliki kekuatan yang cukup untuk berlanjut. Bukan mencari entry awal, tapi memastikan tren yang sudah berjalan masih sehat dan layak diikuti.</w:t>
      </w:r>
    </w:p>
    <w:p>
      <w:pPr>
        <w:spacing w:after="60" w:before="60"/>
      </w:pPr>
      <w:r>
        <w:rPr>
          <w:sz w:val="20"/>
          <w:szCs w:val="20"/>
        </w:rPr>
        <w:t xml:space="preserve">Filosofi inti: Follow the trend yang dikonfirmasi oleh multiple timeframe dan supported oleh uang baru yang masuk (OI naik).</w:t>
      </w:r>
    </w:p>
    <w:p>
      <w:pPr>
        <w:spacing w:after="0" w:before="0"/>
      </w:pPr>
      <w:r>
        <w:t xml:space="preserve"/>
      </w:r>
    </w:p>
    <w:p>
      <w:pPr>
        <w:pStyle w:val="Heading2"/>
        <w:spacing w:after="100" w:before="280"/>
      </w:pPr>
      <w:r>
        <w:rPr>
          <w:b/>
          <w:bCs/>
          <w:color w:val="2E6DA4"/>
          <w:sz w:val="26"/>
          <w:szCs w:val="26"/>
        </w:rPr>
        <w:t xml:space="preserve">3.2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18"/>
                <w:szCs w:val="18"/>
              </w:rPr>
              <w:t xml:space="preserve">Komponen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color w:val="FFFFFF"/>
                <w:sz w:val="18"/>
                <w:szCs w:val="18"/>
              </w:rPr>
              <w:t xml:space="preserve">Timeframe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EMA Filter (tren utama)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1D atau 4H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MACD + RSI Synergy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4H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BOS (Break of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4H atau 1H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OI &amp; CVD Konfirmasi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1H</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Entry Timing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1H atau 15M</w:t>
            </w:r>
          </w:p>
        </w:tc>
      </w:tr>
    </w:tbl>
    <w:p>
      <w:pPr>
        <w:spacing w:after="0" w:before="0"/>
      </w:pPr>
      <w:r>
        <w:t xml:space="preserve"/>
      </w:r>
    </w:p>
    <w:p>
      <w:pPr>
        <w:pStyle w:val="Heading2"/>
        <w:spacing w:after="100" w:before="280"/>
      </w:pPr>
      <w:r>
        <w:rPr>
          <w:b/>
          <w:bCs/>
          <w:color w:val="2E6DA4"/>
          <w:sz w:val="26"/>
          <w:szCs w:val="26"/>
        </w:rPr>
        <w:t xml:space="preserve">3.3 Komponen Sinyal &amp; Logika</w:t>
      </w:r>
    </w:p>
    <w:p>
      <w:pPr>
        <w:pStyle w:val="Heading3"/>
        <w:spacing w:after="80" w:before="200"/>
      </w:pPr>
      <w:r>
        <w:rPr>
          <w:b/>
          <w:bCs/>
          <w:color w:val="1A6B3C"/>
          <w:sz w:val="22"/>
          <w:szCs w:val="22"/>
        </w:rPr>
        <w:t xml:space="preserve">A. EMA Filter (Struktur Tren)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Parameter</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Kondisi</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Nilai / Threshold</w:t>
            </w:r>
          </w:p>
        </w:tc>
        <w:tc>
          <w:tcPr>
            <w:tcW w:type="dxa" w:w="236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Sumber API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Posisi Harga vs EMA</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Harga di atas EMA 50 dan EMA 200</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Close &gt; EMA50 &gt; EMA200 pada timeframe 4H/1D</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Kalkulasi dari OHLCV: ta-lib EMA(50) dan EMA(200)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EMA Spread (Golden Cross)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Jarak antara EMA 50 dan 200 melebar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Spread EMA50-EMA200 sekarang &gt; spread 3 candle lalu (trend strengthening)</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Hitung: EMA50 - EMA200, bandingkan dengan nilai sebelumnya</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EMA Slope</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Kedua EMA mengarah ke atas</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Slope EMA50 (current - 5 candle lalu) &gt; 0</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Kalkulasi dari nilai EMA historis</w:t>
            </w:r>
          </w:p>
        </w:tc>
      </w:tr>
    </w:tbl>
    <w:p>
      <w:pPr>
        <w:spacing w:after="0" w:before="0"/>
      </w:pPr>
      <w:r>
        <w:t xml:space="preserve"/>
      </w:r>
    </w:p>
    <w:p>
      <w:pPr>
        <w:pStyle w:val="Heading3"/>
        <w:spacing w:after="80" w:before="200"/>
      </w:pPr>
      <w:r>
        <w:rPr>
          <w:b/>
          <w:bCs/>
          <w:color w:val="1A6B3C"/>
          <w:sz w:val="22"/>
          <w:szCs w:val="22"/>
        </w:rPr>
        <w:t xml:space="preserve">B. RSI &amp; MACD Synergy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Parameter</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Kondisi</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Nilai / Threshold</w:t>
            </w:r>
          </w:p>
        </w:tc>
        <w:tc>
          <w:tcPr>
            <w:tcW w:type="dxa" w:w="236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Sumber API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RSI Momentum Zone</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RSI berada di zona momentum sehat</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RSI(14) antara 50-65 (momentum tanpa overbought)</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ta-lib RSI(14) dari OHLCV 4H</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MACD Line &gt; Signal Line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MACD bullish crossover atau sudah di atas signal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MACD Line &gt; Signal Line, keduanya di atas garis 0</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ta-lib MACD(12,26,9) dari OHLCV 4H</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MACD Histogram</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Histogram positif dan membesar</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Histogram &gt; 0 dan histogram[now] &gt; histogram[prev]</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Kolom histogram dari output MACD</w:t>
            </w:r>
          </w:p>
        </w:tc>
      </w:tr>
    </w:tbl>
    <w:p>
      <w:pPr>
        <w:spacing w:after="0" w:before="0"/>
      </w:pPr>
      <w:r>
        <w:t xml:space="preserve"/>
      </w:r>
    </w:p>
    <w:p>
      <w:pPr>
        <w:pStyle w:val="Heading3"/>
        <w:spacing w:after="80" w:before="200"/>
      </w:pPr>
      <w:r>
        <w:rPr>
          <w:b/>
          <w:bCs/>
          <w:color w:val="1A6B3C"/>
          <w:sz w:val="22"/>
          <w:szCs w:val="22"/>
        </w:rPr>
        <w:t xml:space="preserve">C. OI &amp; CVD Konfirmasi Tren Sehat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Parameter</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Kondisi</w:t>
            </w:r>
          </w:p>
        </w:tc>
        <w:tc>
          <w:tcPr>
            <w:tcW w:type="dxa" w:w="250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Nilai / Threshold</w:t>
            </w:r>
          </w:p>
        </w:tc>
        <w:tc>
          <w:tcPr>
            <w:tcW w:type="dxa" w:w="2360"/>
            <w:tcBorders>
              <w:top w:val="single" w:color="CCCCCC" w:sz="1"/>
              <w:left w:val="single" w:color="CCCCCC" w:sz="1"/>
              <w:bottom w:val="single" w:color="CCCCCC" w:sz="1"/>
              <w:right w:val="single" w:color="CCCCCC" w:sz="1"/>
            </w:tcBorders>
            <w:shd w:fill="2E3A4E" w:val="clear"/>
            <w:tcMar>
              <w:top w:type="dxa" w:w="80"/>
              <w:left w:type="dxa" w:w="100"/>
              <w:bottom w:type="dxa" w:w="80"/>
              <w:right w:type="dxa" w:w="100"/>
            </w:tcMar>
          </w:tcPr>
          <w:p>
            <w:r>
              <w:rPr>
                <w:b/>
                <w:bCs/>
                <w:color w:val="FFFFFF"/>
                <w:sz w:val="17"/>
                <w:szCs w:val="17"/>
              </w:rPr>
              <w:t xml:space="preserve">Sumber API</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OI Expansion searah harga</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Kenaikan harga diikuti kenaikan OI (uang baru masuk)</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Jika price naik &gt; 1% dalam 4H, OI juga harus naik &gt; 1% dalam periode sama</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Binance /fapi/v1/openInterest polling per jam, bandingkan dengan price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CVD Positif Konsisten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Agresivitas pembeli dominan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CVD slope positif minimal 10 candle 1H terakhir (linear regression)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color w:val="333333"/>
                <w:sz w:val="17"/>
                <w:szCs w:val="17"/>
              </w:rPr>
              <w:t xml:space="preserve">Hitung dari aggTrades Binance</w:t>
            </w:r>
          </w:p>
        </w:tc>
      </w:tr>
      <w:tr>
        <w:tc>
          <w:tcPr>
            <w:tcW w:type="dxa" w:w="20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BOS (Break of Structure)</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Koin terus menembus resistansi dan membuat higher high</w:t>
            </w:r>
          </w:p>
        </w:tc>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Swing high 4H terbaru &gt; swing high sebelumnya (minimal 2 BOS berturut-turut)</w:t>
            </w:r>
          </w:p>
        </w:tc>
        <w:tc>
          <w:tcPr>
            <w:tcW w:type="dxa" w:w="23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color w:val="333333"/>
                <w:sz w:val="17"/>
                <w:szCs w:val="17"/>
              </w:rPr>
              <w:t xml:space="preserve">Kalkulasi swing points dari OHLCV 4H</w:t>
            </w:r>
          </w:p>
        </w:tc>
      </w:tr>
    </w:tbl>
    <w:p>
      <w:pPr>
        <w:spacing w:after="0" w:before="0"/>
      </w:pPr>
      <w:r>
        <w:t xml:space="preserve"/>
      </w:r>
    </w:p>
    <w:p>
      <w:pPr>
        <w:pStyle w:val="Heading2"/>
        <w:spacing w:after="100" w:before="280"/>
      </w:pPr>
      <w:r>
        <w:rPr>
          <w:b/>
          <w:bCs/>
          <w:color w:val="2E6DA4"/>
          <w:sz w:val="26"/>
          <w:szCs w:val="26"/>
        </w:rPr>
        <w:t xml:space="preserve">3.4 Logika Scoring untuk Top 10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7"/>
                <w:szCs w:val="17"/>
              </w:rPr>
              <w:t xml:space="preserve">Komponen</w:t>
            </w:r>
          </w:p>
        </w:tc>
        <w:tc>
          <w:tcPr>
            <w:tcW w:type="dxa" w:w="20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7"/>
                <w:szCs w:val="17"/>
              </w:rPr>
              <w:t xml:space="preserve">Bobot</w:t>
            </w:r>
          </w:p>
        </w:tc>
        <w:tc>
          <w:tcPr>
            <w:tcW w:type="dxa" w:w="38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b/>
                <w:bCs/>
                <w:color w:val="FFFFFF"/>
                <w:sz w:val="17"/>
                <w:szCs w:val="17"/>
              </w:rPr>
              <w:t xml:space="preserve">Keterangan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EMA Filter (harga &gt; EMA50 &gt; EMA200)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Boolean (wajib terpenuhi)</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MACD di atas Signal &amp; garis 0</w:t>
            </w:r>
          </w:p>
        </w:tc>
        <w:tc>
          <w:tcPr>
            <w:tcW w:type="dxa" w:w="2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20%</w:t>
            </w:r>
          </w:p>
        </w:tc>
        <w:tc>
          <w:tcPr>
            <w:tcW w:type="dxa" w:w="38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Boolean + grade histogram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RSI di zona 50-65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Gradasi: 55-60 = 100%, 50-55 atau 60-65 = 70%</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OI Expansion searah harga</w:t>
            </w:r>
          </w:p>
        </w:tc>
        <w:tc>
          <w:tcPr>
            <w:tcW w:type="dxa" w:w="2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20%</w:t>
            </w:r>
          </w:p>
        </w:tc>
        <w:tc>
          <w:tcPr>
            <w:tcW w:type="dxa" w:w="38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Gradasi berdasarkan % kenaikan OI vs harga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BOS minimal 2x berturut-turut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333333"/>
                <w:sz w:val="17"/>
                <w:szCs w:val="17"/>
              </w:rPr>
              <w:t xml:space="preserve">Gradasi: 2 BOS=50%, 3+=100%</w:t>
            </w:r>
          </w:p>
        </w:tc>
      </w:tr>
      <w:tr>
        <w:tc>
          <w:tcPr>
            <w:tcW w:type="dxa" w:w="35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CVD positif konsisten</w:t>
            </w:r>
          </w:p>
        </w:tc>
        <w:tc>
          <w:tcPr>
            <w:tcW w:type="dxa" w:w="200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10%</w:t>
            </w:r>
          </w:p>
        </w:tc>
        <w:tc>
          <w:tcPr>
            <w:tcW w:type="dxa" w:w="3860"/>
            <w:tcBorders>
              <w:top w:val="single" w:color="CCCCCC" w:sz="1"/>
              <w:left w:val="single" w:color="CCCCCC" w:sz="1"/>
              <w:bottom w:val="single" w:color="CCCCCC" w:sz="1"/>
              <w:right w:val="single" w:color="CCCCCC" w:sz="1"/>
            </w:tcBorders>
            <w:shd w:fill="EAF2FB" w:val="clear"/>
            <w:tcMar>
              <w:top w:type="dxa" w:w="80"/>
              <w:left w:type="dxa" w:w="100"/>
              <w:bottom w:type="dxa" w:w="80"/>
              <w:right w:type="dxa" w:w="100"/>
            </w:tcMar>
          </w:tcPr>
          <w:p>
            <w:r>
              <w:rPr>
                <w:b w:val="false"/>
                <w:bCs w:val="false"/>
                <w:color w:val="333333"/>
                <w:sz w:val="17"/>
                <w:szCs w:val="17"/>
              </w:rPr>
              <w:t xml:space="preserve">Gradasi berdasarkan slope dan konsistensi</w:t>
            </w:r>
          </w:p>
        </w:tc>
      </w:tr>
    </w:tbl>
    <w:p>
      <w:pPr>
        <w:pBdr>
          <w:bottom w:val="single" w:color="DDDDDD" w:sz="4" w:space="1"/>
        </w:pBdr>
        <w:spacing w:after="160" w:before="160"/>
      </w:pPr>
    </w:p>
    <w:p>
      <w:r>
        <w:br w:type="page"/>
      </w:r>
    </w:p>
    <w:p>
      <w:pPr>
        <w:pStyle w:val="Heading1"/>
        <w:spacing w:after="120" w:before="360"/>
      </w:pPr>
      <w:r>
        <w:rPr>
          <w:b/>
          <w:bCs/>
          <w:color w:val="1A3C5E"/>
          <w:sz w:val="32"/>
          <w:szCs w:val="32"/>
        </w:rPr>
        <w:t xml:space="preserve">4. Referensi Data Sources (Public API)</w:t>
      </w:r>
    </w:p>
    <w:p>
      <w:pPr>
        <w:spacing w:after="60" w:before="60"/>
      </w:pPr>
      <w:r>
        <w:rPr>
          <w:sz w:val="20"/>
          <w:szCs w:val="20"/>
        </w:rPr>
        <w:t xml:space="preserve">Semua endpoint di bawah ini adalah public dan gratis. Beberapa memerlukan API key gratis (daftar tanpa bayar).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2E3A4E" w:val="clear"/>
            <w:tcMar>
              <w:top w:type="dxa" w:w="70"/>
              <w:left w:type="dxa" w:w="100"/>
              <w:bottom w:type="dxa" w:w="70"/>
              <w:right w:type="dxa" w:w="100"/>
            </w:tcMar>
          </w:tcPr>
          <w:p>
            <w:r>
              <w:rPr>
                <w:b/>
                <w:bCs/>
                <w:color w:val="FFFFFF"/>
                <w:sz w:val="17"/>
                <w:szCs w:val="17"/>
              </w:rPr>
              <w:t xml:space="preserve">Data</w:t>
            </w:r>
          </w:p>
        </w:tc>
        <w:tc>
          <w:tcPr>
            <w:tcW w:type="dxa" w:w="2200"/>
            <w:tcBorders>
              <w:top w:val="single" w:color="CCCCCC" w:sz="1"/>
              <w:left w:val="single" w:color="CCCCCC" w:sz="1"/>
              <w:bottom w:val="single" w:color="CCCCCC" w:sz="1"/>
              <w:right w:val="single" w:color="CCCCCC" w:sz="1"/>
            </w:tcBorders>
            <w:shd w:fill="2E3A4E" w:val="clear"/>
            <w:tcMar>
              <w:top w:type="dxa" w:w="70"/>
              <w:left w:type="dxa" w:w="100"/>
              <w:bottom w:type="dxa" w:w="70"/>
              <w:right w:type="dxa" w:w="100"/>
            </w:tcMar>
          </w:tcPr>
          <w:p>
            <w:r>
              <w:rPr>
                <w:b/>
                <w:bCs/>
                <w:color w:val="FFFFFF"/>
                <w:sz w:val="17"/>
                <w:szCs w:val="17"/>
              </w:rPr>
              <w:t xml:space="preserve">Provider</w:t>
            </w:r>
          </w:p>
        </w:tc>
        <w:tc>
          <w:tcPr>
            <w:tcW w:type="dxa" w:w="2800"/>
            <w:tcBorders>
              <w:top w:val="single" w:color="CCCCCC" w:sz="1"/>
              <w:left w:val="single" w:color="CCCCCC" w:sz="1"/>
              <w:bottom w:val="single" w:color="CCCCCC" w:sz="1"/>
              <w:right w:val="single" w:color="CCCCCC" w:sz="1"/>
            </w:tcBorders>
            <w:shd w:fill="2E3A4E" w:val="clear"/>
            <w:tcMar>
              <w:top w:type="dxa" w:w="70"/>
              <w:left w:type="dxa" w:w="100"/>
              <w:bottom w:type="dxa" w:w="70"/>
              <w:right w:type="dxa" w:w="100"/>
            </w:tcMar>
          </w:tcPr>
          <w:p>
            <w:r>
              <w:rPr>
                <w:b/>
                <w:bCs/>
                <w:color w:val="FFFFFF"/>
                <w:sz w:val="17"/>
                <w:szCs w:val="17"/>
              </w:rPr>
              <w:t xml:space="preserve">Endpoint Utama</w:t>
            </w:r>
          </w:p>
        </w:tc>
        <w:tc>
          <w:tcPr>
            <w:tcW w:type="dxa" w:w="2560"/>
            <w:tcBorders>
              <w:top w:val="single" w:color="CCCCCC" w:sz="1"/>
              <w:left w:val="single" w:color="CCCCCC" w:sz="1"/>
              <w:bottom w:val="single" w:color="CCCCCC" w:sz="1"/>
              <w:right w:val="single" w:color="CCCCCC" w:sz="1"/>
            </w:tcBorders>
            <w:shd w:fill="2E3A4E" w:val="clear"/>
            <w:tcMar>
              <w:top w:type="dxa" w:w="70"/>
              <w:left w:type="dxa" w:w="100"/>
              <w:bottom w:type="dxa" w:w="70"/>
              <w:right w:type="dxa" w:w="100"/>
            </w:tcMar>
          </w:tcPr>
          <w:p>
            <w:r>
              <w:rPr>
                <w:b/>
                <w:bCs/>
                <w:color w:val="FFFFFF"/>
                <w:sz w:val="17"/>
                <w:szCs w:val="17"/>
              </w:rPr>
              <w:t xml:space="preserve">Catatan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OHLCV (Price)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Binance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/api/v3/klines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Limit 1000 candle/req, no auth</w:t>
            </w:r>
          </w:p>
        </w:tc>
      </w:tr>
      <w:tr>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OHLCV (Price)</w:t>
            </w:r>
          </w:p>
        </w:tc>
        <w:tc>
          <w:tcPr>
            <w:tcW w:type="dxa" w:w="2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CoinGecko</w:t>
            </w:r>
          </w:p>
        </w:tc>
        <w:tc>
          <w:tcPr>
            <w:tcW w:type="dxa" w:w="2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/coins/{id}/ohlc</w:t>
            </w:r>
          </w:p>
        </w:tc>
        <w:tc>
          <w:tcPr>
            <w:tcW w:type="dxa" w:w="25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Free tier: 30 req/min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Open Interest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Binance Futures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/fapi/v1/openInterest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Perlu query per symbol</w:t>
            </w:r>
          </w:p>
        </w:tc>
      </w:tr>
      <w:tr>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OI History</w:t>
            </w:r>
          </w:p>
        </w:tc>
        <w:tc>
          <w:tcPr>
            <w:tcW w:type="dxa" w:w="2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Coinalyze</w:t>
            </w:r>
          </w:p>
        </w:tc>
        <w:tc>
          <w:tcPr>
            <w:tcW w:type="dxa" w:w="2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/futures/open-interest-history</w:t>
            </w:r>
          </w:p>
        </w:tc>
        <w:tc>
          <w:tcPr>
            <w:tcW w:type="dxa" w:w="25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Free tier tersedia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Funding Rate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Binance Futures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/fapi/v1/fundingRate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History tersedia</w:t>
            </w:r>
          </w:p>
        </w:tc>
      </w:tr>
      <w:tr>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Funding Rate</w:t>
            </w:r>
          </w:p>
        </w:tc>
        <w:tc>
          <w:tcPr>
            <w:tcW w:type="dxa" w:w="2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Bybit</w:t>
            </w:r>
          </w:p>
        </w:tc>
        <w:tc>
          <w:tcPr>
            <w:tcW w:type="dxa" w:w="2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/v5/market/funding/history</w:t>
            </w:r>
          </w:p>
        </w:tc>
        <w:tc>
          <w:tcPr>
            <w:tcW w:type="dxa" w:w="25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No auth untuk public data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Agg Trades (CVD)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Binance Futures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/fapi/v1/aggTrades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Untuk kalkulasi CVD manual</w:t>
            </w:r>
          </w:p>
        </w:tc>
      </w:tr>
      <w:tr>
        <w:tc>
          <w:tcPr>
            <w:tcW w:type="dxa" w:w="1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Market Cap/Vol</w:t>
            </w:r>
          </w:p>
        </w:tc>
        <w:tc>
          <w:tcPr>
            <w:tcW w:type="dxa" w:w="2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CoinGecko</w:t>
            </w:r>
          </w:p>
        </w:tc>
        <w:tc>
          <w:tcPr>
            <w:tcW w:type="dxa" w:w="28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/coins/markets</w:t>
            </w:r>
          </w:p>
        </w:tc>
        <w:tc>
          <w:tcPr>
            <w:tcW w:type="dxa" w:w="25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Batch hingga 250 koin/req</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24H Price Change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Binance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/api/v3/ticker/24hr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Untuk relative strength</w:t>
            </w:r>
          </w:p>
        </w:tc>
      </w:tr>
    </w:tbl>
    <w:p>
      <w:pPr>
        <w:spacing w:after="0" w:before="0"/>
      </w:pPr>
      <w:r>
        <w:t xml:space="preserve"/>
      </w:r>
    </w:p>
    <w:p>
      <w:pPr>
        <w:pStyle w:val="Heading2"/>
        <w:spacing w:after="100" w:before="280"/>
      </w:pPr>
      <w:r>
        <w:rPr>
          <w:b/>
          <w:bCs/>
          <w:color w:val="2E6DA4"/>
          <w:sz w:val="26"/>
          <w:szCs w:val="26"/>
        </w:rPr>
        <w:t xml:space="preserve">4.1 Library yang Direkomendasikan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18"/>
                <w:szCs w:val="18"/>
              </w:rPr>
              <w:t xml:space="preserve">Bahasa / Library</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color w:val="FFFFFF"/>
                <w:sz w:val="18"/>
                <w:szCs w:val="18"/>
              </w:rPr>
              <w:t xml:space="preserve">Fungsi</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Python + pandas-ta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Kalkulasi EMA, RSI, MACD, ATR, Bollinger Bands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Python + ta-lib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Alternatif kalkulasi indikator teknikal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Python + numpy/scipy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Linear regression untuk slope CVD dan EMA</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Python + requests / aiohttp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HTTP calls ke public API</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Node.js + technicalindicators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Kalkulasi indikator di lingkungan JS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Redis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Cache data API agar tidak hit rate limit</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A3C5E"/>
                <w:sz w:val="18"/>
                <w:szCs w:val="18"/>
              </w:rPr>
              <w:t xml:space="preserve">PostgreSQL / SQLite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Pr>
              <w:t xml:space="preserve">Simpan history OI, Funding, harga untuk kalkulasi</w:t>
            </w:r>
          </w:p>
        </w:tc>
      </w:tr>
    </w:tbl>
    <w:p>
      <w:pPr>
        <w:pBdr>
          <w:bottom w:val="single" w:color="DDDDDD" w:sz="4" w:space="1"/>
        </w:pBdr>
        <w:spacing w:after="160" w:before="160"/>
      </w:pPr>
    </w:p>
    <w:p>
      <w:r>
        <w:br w:type="page"/>
      </w:r>
    </w:p>
    <w:p>
      <w:pPr>
        <w:pStyle w:val="Heading1"/>
        <w:spacing w:after="120" w:before="360"/>
      </w:pPr>
      <w:r>
        <w:rPr>
          <w:b/>
          <w:bCs/>
          <w:color w:val="1A3C5E"/>
          <w:sz w:val="32"/>
          <w:szCs w:val="32"/>
        </w:rPr>
        <w:t xml:space="preserve">5. Arsitektur Sistem di VPS</w:t>
      </w:r>
    </w:p>
    <w:p>
      <w:pPr>
        <w:pStyle w:val="Heading2"/>
        <w:spacing w:after="100" w:before="280"/>
      </w:pPr>
      <w:r>
        <w:rPr>
          <w:b/>
          <w:bCs/>
          <w:color w:val="2E6DA4"/>
          <w:sz w:val="26"/>
          <w:szCs w:val="26"/>
        </w:rPr>
        <w:t xml:space="preserve">5.1 Struktur Service</w:t>
      </w:r>
    </w:p>
    <w:p>
      <w:pPr>
        <w:spacing w:after="60" w:before="60"/>
      </w:pPr>
      <w:r>
        <w:rPr>
          <w:sz w:val="20"/>
          <w:szCs w:val="20"/>
        </w:rPr>
        <w:t xml:space="preserve">Setiap model berjalan sebagai service/process terpisah: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2E3A4E" w:val="clear"/>
            <w:tcMar>
              <w:top w:type="dxa" w:w="70"/>
              <w:left w:type="dxa" w:w="100"/>
              <w:bottom w:type="dxa" w:w="70"/>
              <w:right w:type="dxa" w:w="100"/>
            </w:tcMar>
          </w:tcPr>
          <w:p>
            <w:r>
              <w:rPr>
                <w:b/>
                <w:bCs/>
                <w:color w:val="FFFFFF"/>
                <w:sz w:val="17"/>
                <w:szCs w:val="17"/>
              </w:rPr>
              <w:t xml:space="preserve">Service</w:t>
            </w:r>
          </w:p>
        </w:tc>
        <w:tc>
          <w:tcPr>
            <w:tcW w:type="dxa" w:w="2200"/>
            <w:tcBorders>
              <w:top w:val="single" w:color="CCCCCC" w:sz="1"/>
              <w:left w:val="single" w:color="CCCCCC" w:sz="1"/>
              <w:bottom w:val="single" w:color="CCCCCC" w:sz="1"/>
              <w:right w:val="single" w:color="CCCCCC" w:sz="1"/>
            </w:tcBorders>
            <w:shd w:fill="2E3A4E" w:val="clear"/>
            <w:tcMar>
              <w:top w:type="dxa" w:w="70"/>
              <w:left w:type="dxa" w:w="100"/>
              <w:bottom w:type="dxa" w:w="70"/>
              <w:right w:type="dxa" w:w="100"/>
            </w:tcMar>
          </w:tcPr>
          <w:p>
            <w:r>
              <w:rPr>
                <w:b/>
                <w:bCs/>
                <w:color w:val="FFFFFF"/>
                <w:sz w:val="17"/>
                <w:szCs w:val="17"/>
              </w:rPr>
              <w:t xml:space="preserve">Interval Scan</w:t>
            </w:r>
          </w:p>
        </w:tc>
        <w:tc>
          <w:tcPr>
            <w:tcW w:type="dxa" w:w="2200"/>
            <w:tcBorders>
              <w:top w:val="single" w:color="CCCCCC" w:sz="1"/>
              <w:left w:val="single" w:color="CCCCCC" w:sz="1"/>
              <w:bottom w:val="single" w:color="CCCCCC" w:sz="1"/>
              <w:right w:val="single" w:color="CCCCCC" w:sz="1"/>
            </w:tcBorders>
            <w:shd w:fill="2E3A4E" w:val="clear"/>
            <w:tcMar>
              <w:top w:type="dxa" w:w="70"/>
              <w:left w:type="dxa" w:w="100"/>
              <w:bottom w:type="dxa" w:w="70"/>
              <w:right w:type="dxa" w:w="100"/>
            </w:tcMar>
          </w:tcPr>
          <w:p>
            <w:r>
              <w:rPr>
                <w:b/>
                <w:bCs/>
                <w:color w:val="FFFFFF"/>
                <w:sz w:val="17"/>
                <w:szCs w:val="17"/>
              </w:rPr>
              <w:t xml:space="preserve">Port / Queue</w:t>
            </w:r>
          </w:p>
        </w:tc>
        <w:tc>
          <w:tcPr>
            <w:tcW w:type="dxa" w:w="2460"/>
            <w:tcBorders>
              <w:top w:val="single" w:color="CCCCCC" w:sz="1"/>
              <w:left w:val="single" w:color="CCCCCC" w:sz="1"/>
              <w:bottom w:val="single" w:color="CCCCCC" w:sz="1"/>
              <w:right w:val="single" w:color="CCCCCC" w:sz="1"/>
            </w:tcBorders>
            <w:shd w:fill="2E3A4E" w:val="clear"/>
            <w:tcMar>
              <w:top w:type="dxa" w:w="70"/>
              <w:left w:type="dxa" w:w="100"/>
              <w:bottom w:type="dxa" w:w="70"/>
              <w:right w:type="dxa" w:w="100"/>
            </w:tcMar>
          </w:tcPr>
          <w:p>
            <w:r>
              <w:rPr>
                <w:b/>
                <w:bCs/>
                <w:color w:val="FFFFFF"/>
                <w:sz w:val="17"/>
                <w:szCs w:val="17"/>
              </w:rPr>
              <w:t xml:space="preserve">Output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service-counter-trend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Setiap 15 menit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Internal queue M1</w:t>
            </w:r>
          </w:p>
        </w:tc>
        <w:tc>
          <w:tcPr>
            <w:tcW w:type="dxa" w:w="2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Top 10 Counter Trend coins</w:t>
            </w:r>
          </w:p>
        </w:tc>
      </w:tr>
      <w:tr>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service-pre-pump</w:t>
            </w:r>
          </w:p>
        </w:tc>
        <w:tc>
          <w:tcPr>
            <w:tcW w:type="dxa" w:w="2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Setiap 30 menit</w:t>
            </w:r>
          </w:p>
        </w:tc>
        <w:tc>
          <w:tcPr>
            <w:tcW w:type="dxa" w:w="2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Internal queue M2</w:t>
            </w:r>
          </w:p>
        </w:tc>
        <w:tc>
          <w:tcPr>
            <w:tcW w:type="dxa" w:w="24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Top 10 Pre-Pump coins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service-trend-momentum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Setiap 1 jam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Internal queue M3</w:t>
            </w:r>
          </w:p>
        </w:tc>
        <w:tc>
          <w:tcPr>
            <w:tcW w:type="dxa" w:w="2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Top 10 Momentum coins</w:t>
            </w:r>
          </w:p>
        </w:tc>
      </w:tr>
      <w:tr>
        <w:tc>
          <w:tcPr>
            <w:tcW w:type="dxa" w:w="25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service-data-fetcher</w:t>
            </w:r>
          </w:p>
        </w:tc>
        <w:tc>
          <w:tcPr>
            <w:tcW w:type="dxa" w:w="2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Setiap 5 menit</w:t>
            </w:r>
          </w:p>
        </w:tc>
        <w:tc>
          <w:tcPr>
            <w:tcW w:type="dxa" w:w="220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Shared Redis cache</w:t>
            </w:r>
          </w:p>
        </w:tc>
        <w:tc>
          <w:tcPr>
            <w:tcW w:type="dxa" w:w="2460"/>
            <w:tcBorders>
              <w:top w:val="single" w:color="CCCCCC" w:sz="1"/>
              <w:left w:val="single" w:color="CCCCCC" w:sz="1"/>
              <w:bottom w:val="single" w:color="CCCCCC" w:sz="1"/>
              <w:right w:val="single" w:color="CCCCCC" w:sz="1"/>
            </w:tcBorders>
            <w:shd w:fill="F7F9FC" w:val="clear"/>
            <w:tcMar>
              <w:top w:type="dxa" w:w="70"/>
              <w:left w:type="dxa" w:w="100"/>
              <w:bottom w:type="dxa" w:w="70"/>
              <w:right w:type="dxa" w:w="100"/>
            </w:tcMar>
          </w:tcPr>
          <w:p>
            <w:r>
              <w:rPr>
                <w:b w:val="false"/>
                <w:bCs w:val="false"/>
                <w:color w:val="333333"/>
                <w:sz w:val="17"/>
                <w:szCs w:val="17"/>
              </w:rPr>
              <w:t xml:space="preserve">OHLCV, OI, Funding, CVD raw data</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service-api-gateway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On-demand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Port 3000/8000</w:t>
            </w:r>
          </w:p>
        </w:tc>
        <w:tc>
          <w:tcPr>
            <w:tcW w:type="dxa" w:w="2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val="false"/>
                <w:bCs w:val="false"/>
                <w:color w:val="333333"/>
                <w:sz w:val="17"/>
                <w:szCs w:val="17"/>
              </w:rPr>
              <w:t xml:space="preserve">REST API untuk dashboard/bot</w:t>
            </w:r>
          </w:p>
        </w:tc>
      </w:tr>
    </w:tbl>
    <w:p>
      <w:pPr>
        <w:spacing w:after="0" w:before="0"/>
      </w:pPr>
      <w:r>
        <w:t xml:space="preserve"/>
      </w:r>
    </w:p>
    <w:p>
      <w:pPr>
        <w:pStyle w:val="Heading2"/>
        <w:spacing w:after="100" w:before="280"/>
      </w:pPr>
      <w:r>
        <w:rPr>
          <w:b/>
          <w:bCs/>
          <w:color w:val="2E6DA4"/>
          <w:sz w:val="26"/>
          <w:szCs w:val="26"/>
        </w:rPr>
        <w:t xml:space="preserve">5.2 Format Output JSON per Model</w:t>
      </w:r>
    </w:p>
    <w:p>
      <w:pPr>
        <w:spacing w:after="60" w:before="60"/>
      </w:pPr>
      <w:r>
        <w:rPr>
          <w:sz w:val="20"/>
          <w:szCs w:val="20"/>
        </w:rPr>
        <w:t xml:space="preserve">Setiap service harus mengembalikan data dalam format berikut:</w:t>
      </w:r>
    </w:p>
    <w:p>
      <w:pPr>
        <w:spacing w:after="0" w:before="0"/>
      </w:pPr>
      <w:r>
        <w:t xml:space="preserve"/>
      </w:r>
    </w:p>
    <w:p>
      <w:pPr>
        <w:pBdr>
          <w:left w:val="single" w:color="2E6DA4" w:sz="12" w:space="1"/>
        </w:pBdr>
        <w:shd w:fill="1E2A38" w:val="clear"/>
        <w:spacing w:after="80" w:before="80"/>
        <w:ind w:left="200"/>
      </w:pPr>
      <w:r>
        <w:rPr>
          <w:rFonts w:ascii="Courier New" w:cs="Courier New" w:eastAsia="Courier New" w:hAnsi="Courier New"/>
          <w:color w:val="A8D8F0"/>
          <w:sz w:val="17"/>
          <w:szCs w:val="17"/>
        </w:rPr>
        <w:t xml:space="preserve">{</w:t>
      </w:r>
      <w:r>
        <w:rPr>
          <w:rFonts w:ascii="Courier New" w:cs="Courier New" w:eastAsia="Courier New" w:hAnsi="Courier New"/>
          <w:color w:val="90EE90"/>
          <w:sz w:val="17"/>
          <w:szCs w:val="17"/>
        </w:rPr>
        <w:br/>
        <w:t xml:space="preserve">  "model": "counter_trend",</w:t>
      </w:r>
      <w:r>
        <w:rPr>
          <w:rFonts w:ascii="Courier New" w:cs="Courier New" w:eastAsia="Courier New" w:hAnsi="Courier New"/>
          <w:color w:val="90EE90"/>
          <w:sz w:val="17"/>
          <w:szCs w:val="17"/>
        </w:rPr>
        <w:br/>
        <w:t xml:space="preserve">  "timestamp": "2025-01-01T00:00:00Z",</w:t>
      </w:r>
      <w:r>
        <w:rPr>
          <w:rFonts w:ascii="Courier New" w:cs="Courier New" w:eastAsia="Courier New" w:hAnsi="Courier New"/>
          <w:color w:val="A8D8F0"/>
          <w:sz w:val="17"/>
          <w:szCs w:val="17"/>
        </w:rPr>
        <w:br/>
        <w:t xml:space="preserve">  "top_coins": [</w:t>
      </w:r>
      <w:r>
        <w:rPr>
          <w:rFonts w:ascii="Courier New" w:cs="Courier New" w:eastAsia="Courier New" w:hAnsi="Courier New"/>
          <w:color w:val="A8D8F0"/>
          <w:sz w:val="17"/>
          <w:szCs w:val="17"/>
        </w:rPr>
        <w:br/>
        <w:t xml:space="preserve">    {</w:t>
      </w:r>
      <w:r>
        <w:rPr>
          <w:rFonts w:ascii="Courier New" w:cs="Courier New" w:eastAsia="Courier New" w:hAnsi="Courier New"/>
          <w:color w:val="FFD700"/>
          <w:sz w:val="17"/>
          <w:szCs w:val="17"/>
        </w:rPr>
        <w:br/>
        <w:t xml:space="preserve">      "symbol": "BTCUSDT",</w:t>
      </w:r>
      <w:r>
        <w:rPr>
          <w:rFonts w:ascii="Courier New" w:cs="Courier New" w:eastAsia="Courier New" w:hAnsi="Courier New"/>
          <w:color w:val="FFD700"/>
          <w:sz w:val="17"/>
          <w:szCs w:val="17"/>
        </w:rPr>
        <w:br/>
        <w:t xml:space="preserve">      "total_score": 87.5,</w:t>
      </w:r>
      <w:r>
        <w:rPr>
          <w:rFonts w:ascii="Courier New" w:cs="Courier New" w:eastAsia="Courier New" w:hAnsi="Courier New"/>
          <w:color w:val="A8D8F0"/>
          <w:sz w:val="17"/>
          <w:szCs w:val="17"/>
        </w:rPr>
        <w:br/>
        <w:t xml:space="preserve">      "components": {</w:t>
      </w:r>
      <w:r>
        <w:rPr>
          <w:rFonts w:ascii="Courier New" w:cs="Courier New" w:eastAsia="Courier New" w:hAnsi="Courier New"/>
          <w:color w:val="FFA07A"/>
          <w:sz w:val="17"/>
          <w:szCs w:val="17"/>
        </w:rPr>
        <w:br/>
        <w:t xml:space="preserve">        "liquidity_sweep": true,</w:t>
      </w:r>
      <w:r>
        <w:rPr>
          <w:rFonts w:ascii="Courier New" w:cs="Courier New" w:eastAsia="Courier New" w:hAnsi="Courier New"/>
          <w:color w:val="FFA07A"/>
          <w:sz w:val="17"/>
          <w:szCs w:val="17"/>
        </w:rPr>
        <w:br/>
        <w:t xml:space="preserve">        "mss_confirmed": true,</w:t>
      </w:r>
      <w:r>
        <w:rPr>
          <w:rFonts w:ascii="Courier New" w:cs="Courier New" w:eastAsia="Courier New" w:hAnsi="Courier New"/>
          <w:color w:val="FFA07A"/>
          <w:sz w:val="17"/>
          <w:szCs w:val="17"/>
        </w:rPr>
        <w:br/>
        <w:t xml:space="preserve">        "oi_declining": 0.85,</w:t>
      </w:r>
      <w:r>
        <w:rPr>
          <w:rFonts w:ascii="Courier New" w:cs="Courier New" w:eastAsia="Courier New" w:hAnsi="Courier New"/>
          <w:color w:val="FFA07A"/>
          <w:sz w:val="17"/>
          <w:szCs w:val="17"/>
        </w:rPr>
        <w:br/>
        <w:t xml:space="preserve">        "cvd_divergence": 0.90,</w:t>
      </w:r>
      <w:r>
        <w:rPr>
          <w:rFonts w:ascii="Courier New" w:cs="Courier New" w:eastAsia="Courier New" w:hAnsi="Courier New"/>
          <w:color w:val="FFA07A"/>
          <w:sz w:val="17"/>
          <w:szCs w:val="17"/>
        </w:rPr>
        <w:br/>
        <w:t xml:space="preserve">        "funding_normalizing": 0.75</w:t>
      </w:r>
      <w:r>
        <w:rPr>
          <w:rFonts w:ascii="Courier New" w:cs="Courier New" w:eastAsia="Courier New" w:hAnsi="Courier New"/>
          <w:color w:val="A8D8F0"/>
          <w:sz w:val="17"/>
          <w:szCs w:val="17"/>
        </w:rPr>
        <w:br/>
        <w:t xml:space="preserve">      }</w:t>
      </w:r>
      <w:r>
        <w:rPr>
          <w:rFonts w:ascii="Courier New" w:cs="Courier New" w:eastAsia="Courier New" w:hAnsi="Courier New"/>
          <w:color w:val="A8D8F0"/>
          <w:sz w:val="17"/>
          <w:szCs w:val="17"/>
        </w:rPr>
        <w:br/>
        <w:t xml:space="preserve">    }</w:t>
      </w:r>
      <w:r>
        <w:rPr>
          <w:rFonts w:ascii="Courier New" w:cs="Courier New" w:eastAsia="Courier New" w:hAnsi="Courier New"/>
          <w:color w:val="A8D8F0"/>
          <w:sz w:val="17"/>
          <w:szCs w:val="17"/>
        </w:rPr>
        <w:br/>
        <w:t xml:space="preserve">  ]</w:t>
      </w:r>
      <w:r>
        <w:rPr>
          <w:rFonts w:ascii="Courier New" w:cs="Courier New" w:eastAsia="Courier New" w:hAnsi="Courier New"/>
          <w:color w:val="A8D8F0"/>
          <w:sz w:val="17"/>
          <w:szCs w:val="17"/>
        </w:rPr>
        <w:br/>
        <w:t xml:space="preserve">}</w:t>
      </w:r>
    </w:p>
    <w:p>
      <w:pPr>
        <w:spacing w:after="0" w:before="0"/>
      </w:pPr>
      <w:r>
        <w:t xml:space="preserve"/>
      </w:r>
    </w:p>
    <w:p>
      <w:pPr>
        <w:pStyle w:val="Heading2"/>
        <w:spacing w:after="100" w:before="280"/>
      </w:pPr>
      <w:r>
        <w:rPr>
          <w:b/>
          <w:bCs/>
          <w:color w:val="2E6DA4"/>
          <w:sz w:val="26"/>
          <w:szCs w:val="26"/>
        </w:rPr>
        <w:t xml:space="preserve">5.3 Rate Limiting &amp; Caching Strategy</w:t>
      </w:r>
    </w:p>
    <w:p>
      <w:pPr>
        <w:pStyle w:val="ListParagraph"/>
        <w:numPr>
          <w:ilvl w:val="0"/>
          <w:numId w:val="2"/>
        </w:numPr>
        <w:spacing w:after="40" w:before="40"/>
      </w:pPr>
      <w:r>
        <w:rPr>
          <w:sz w:val="20"/>
          <w:szCs w:val="20"/>
        </w:rPr>
        <w:t xml:space="preserve">Gunakan 1 service data fetcher terpusat yang menyimpan ke Redis/SQLite</w:t>
      </w:r>
    </w:p>
    <w:p>
      <w:pPr>
        <w:pStyle w:val="ListParagraph"/>
        <w:numPr>
          <w:ilvl w:val="0"/>
          <w:numId w:val="2"/>
        </w:numPr>
        <w:spacing w:after="40" w:before="40"/>
      </w:pPr>
      <w:r>
        <w:rPr>
          <w:sz w:val="20"/>
          <w:szCs w:val="20"/>
        </w:rPr>
        <w:t xml:space="preserve">Jangan query API langsung dari masing-masing model service</w:t>
      </w:r>
    </w:p>
    <w:p>
      <w:pPr>
        <w:pStyle w:val="ListParagraph"/>
        <w:numPr>
          <w:ilvl w:val="0"/>
          <w:numId w:val="2"/>
        </w:numPr>
        <w:spacing w:after="40" w:before="40"/>
      </w:pPr>
      <w:r>
        <w:rPr>
          <w:sz w:val="20"/>
          <w:szCs w:val="20"/>
        </w:rPr>
        <w:t xml:space="preserve">CoinGecko free tier: maks 30 req/menit — gunakan batch endpoint /coins/markets</w:t>
      </w:r>
    </w:p>
    <w:p>
      <w:pPr>
        <w:pStyle w:val="ListParagraph"/>
        <w:numPr>
          <w:ilvl w:val="0"/>
          <w:numId w:val="2"/>
        </w:numPr>
        <w:spacing w:after="40" w:before="40"/>
      </w:pPr>
      <w:r>
        <w:rPr>
          <w:sz w:val="20"/>
          <w:szCs w:val="20"/>
        </w:rPr>
        <w:t xml:space="preserve">Binance: tidak ada rate limit ketat untuk public endpoints jika interval wajar (&gt;5 detik/req)</w:t>
      </w:r>
    </w:p>
    <w:p>
      <w:pPr>
        <w:pStyle w:val="ListParagraph"/>
        <w:numPr>
          <w:ilvl w:val="0"/>
          <w:numId w:val="2"/>
        </w:numPr>
        <w:spacing w:after="40" w:before="40"/>
      </w:pPr>
      <w:r>
        <w:rPr>
          <w:sz w:val="20"/>
          <w:szCs w:val="20"/>
        </w:rPr>
        <w:t xml:space="preserve">Simpan data OHLCV minimal 200 candle untuk kalkulasi indikator yang akurat</w:t>
      </w:r>
    </w:p>
    <w:p>
      <w:pPr>
        <w:pBdr>
          <w:bottom w:val="single" w:color="DDDDDD" w:sz="4" w:space="1"/>
        </w:pBdr>
        <w:spacing w:after="160" w:before="160"/>
      </w:pPr>
    </w:p>
    <w:p>
      <w:r>
        <w:br w:type="page"/>
      </w:r>
    </w:p>
    <w:p>
      <w:pPr>
        <w:pStyle w:val="Heading1"/>
        <w:spacing w:after="120" w:before="360"/>
      </w:pPr>
      <w:r>
        <w:rPr>
          <w:b/>
          <w:bCs/>
          <w:color w:val="1A3C5E"/>
          <w:sz w:val="32"/>
          <w:szCs w:val="32"/>
        </w:rPr>
        <w:t xml:space="preserve">6. Catatan Implementasi &amp; Edge Cases</w:t>
      </w:r>
    </w:p>
    <w:p>
      <w:pPr>
        <w:pStyle w:val="Heading2"/>
        <w:spacing w:after="100" w:before="280"/>
      </w:pPr>
      <w:r>
        <w:rPr>
          <w:b/>
          <w:bCs/>
          <w:color w:val="2E6DA4"/>
          <w:sz w:val="26"/>
          <w:szCs w:val="26"/>
        </w:rPr>
        <w:t xml:space="preserve">6.1 Kalkulasi CVD (Cumulative Volume Delta)</w:t>
      </w:r>
    </w:p>
    <w:p>
      <w:pPr>
        <w:spacing w:after="60" w:before="60"/>
      </w:pPr>
      <w:r>
        <w:rPr>
          <w:sz w:val="20"/>
          <w:szCs w:val="20"/>
        </w:rPr>
        <w:t xml:space="preserve">CVD tidak tersedia langsung dari API. Harus dihitung manual:</w:t>
      </w:r>
    </w:p>
    <w:p>
      <w:pPr>
        <w:pStyle w:val="ListParagraph"/>
        <w:numPr>
          <w:ilvl w:val="0"/>
          <w:numId w:val="2"/>
        </w:numPr>
        <w:spacing w:after="40" w:before="40"/>
      </w:pPr>
      <w:r>
        <w:rPr>
          <w:sz w:val="20"/>
          <w:szCs w:val="20"/>
        </w:rPr>
        <w:t xml:space="preserve">Ambil data aggTrades dari Binance Futures endpoint /fapi/v1/aggTrades</w:t>
      </w:r>
    </w:p>
    <w:p>
      <w:pPr>
        <w:pStyle w:val="ListParagraph"/>
        <w:numPr>
          <w:ilvl w:val="0"/>
          <w:numId w:val="2"/>
        </w:numPr>
        <w:spacing w:after="40" w:before="40"/>
      </w:pPr>
      <w:r>
        <w:rPr>
          <w:sz w:val="20"/>
          <w:szCs w:val="20"/>
        </w:rPr>
        <w:t xml:space="preserve">Untuk setiap trade: jika isBuyerMaker = false → buy volume; jika isBuyerMaker = true → sell volume</w:t>
      </w:r>
    </w:p>
    <w:p>
      <w:pPr>
        <w:pStyle w:val="ListParagraph"/>
        <w:numPr>
          <w:ilvl w:val="0"/>
          <w:numId w:val="2"/>
        </w:numPr>
        <w:spacing w:after="40" w:before="40"/>
      </w:pPr>
      <w:r>
        <w:rPr>
          <w:sz w:val="20"/>
          <w:szCs w:val="20"/>
        </w:rPr>
        <w:t xml:space="preserve">CVD = cumulative sum dari (buy_vol - sell_vol) dalam window timeframe yang ditentukan</w:t>
      </w:r>
    </w:p>
    <w:p>
      <w:pPr>
        <w:pStyle w:val="ListParagraph"/>
        <w:numPr>
          <w:ilvl w:val="0"/>
          <w:numId w:val="2"/>
        </w:numPr>
        <w:spacing w:after="40" w:before="40"/>
      </w:pPr>
      <w:r>
        <w:rPr>
          <w:sz w:val="20"/>
          <w:szCs w:val="20"/>
        </w:rPr>
        <w:t xml:space="preserve">Untuk slope CVD: gunakan linear regression dari array CVD 20 titik terakhir</w:t>
      </w:r>
    </w:p>
    <w:p>
      <w:pPr>
        <w:pStyle w:val="ListParagraph"/>
        <w:numPr>
          <w:ilvl w:val="0"/>
          <w:numId w:val="2"/>
        </w:numPr>
        <w:spacing w:after="40" w:before="40"/>
      </w:pPr>
      <w:r>
        <w:rPr>
          <w:sz w:val="20"/>
          <w:szCs w:val="20"/>
        </w:rPr>
        <w:t xml:space="preserve">Pertimbangkan reset CVD setiap awal sesi (00:00 UTC) untuk konsistensi</w:t>
      </w:r>
    </w:p>
    <w:p>
      <w:pPr>
        <w:spacing w:after="0" w:before="0"/>
      </w:pPr>
      <w:r>
        <w:t xml:space="preserve"/>
      </w:r>
    </w:p>
    <w:p>
      <w:pPr>
        <w:pStyle w:val="Heading2"/>
        <w:spacing w:after="100" w:before="280"/>
      </w:pPr>
      <w:r>
        <w:rPr>
          <w:b/>
          <w:bCs/>
          <w:color w:val="2E6DA4"/>
          <w:sz w:val="26"/>
          <w:szCs w:val="26"/>
        </w:rPr>
        <w:t xml:space="preserve">6.2 Identifikasi Liquidity Sweep</w:t>
      </w:r>
    </w:p>
    <w:p>
      <w:pPr>
        <w:pStyle w:val="ListParagraph"/>
        <w:numPr>
          <w:ilvl w:val="0"/>
          <w:numId w:val="2"/>
        </w:numPr>
        <w:spacing w:after="40" w:before="40"/>
      </w:pPr>
      <w:r>
        <w:rPr>
          <w:sz w:val="20"/>
          <w:szCs w:val="20"/>
        </w:rPr>
        <w:t xml:space="preserve">Definisikan Old High/Low: swing high/low yang terbentuk minimal 10 candle sebelumnya</w:t>
      </w:r>
    </w:p>
    <w:p>
      <w:pPr>
        <w:pStyle w:val="ListParagraph"/>
        <w:numPr>
          <w:ilvl w:val="0"/>
          <w:numId w:val="2"/>
        </w:numPr>
        <w:spacing w:after="40" w:before="40"/>
      </w:pPr>
      <w:r>
        <w:rPr>
          <w:sz w:val="20"/>
          <w:szCs w:val="20"/>
        </w:rPr>
        <w:t xml:space="preserve">Equal Highs/Lows: dua atau lebih level harga dengan toleransi ±0.1%</w:t>
      </w:r>
    </w:p>
    <w:p>
      <w:pPr>
        <w:pStyle w:val="ListParagraph"/>
        <w:numPr>
          <w:ilvl w:val="0"/>
          <w:numId w:val="2"/>
        </w:numPr>
        <w:spacing w:after="40" w:before="40"/>
      </w:pPr>
      <w:r>
        <w:rPr>
          <w:sz w:val="20"/>
          <w:szCs w:val="20"/>
        </w:rPr>
        <w:t xml:space="preserve">Sweep terkonfirmasi: candle wick melampaui level, tapi candle CLOSE kembali di bawah (untuk bearish sweep) atau di atas (untuk bullish sweep)</w:t>
      </w:r>
    </w:p>
    <w:p>
      <w:pPr>
        <w:pStyle w:val="ListParagraph"/>
        <w:numPr>
          <w:ilvl w:val="0"/>
          <w:numId w:val="2"/>
        </w:numPr>
        <w:spacing w:after="40" w:before="40"/>
      </w:pPr>
      <w:r>
        <w:rPr>
          <w:sz w:val="20"/>
          <w:szCs w:val="20"/>
        </w:rPr>
        <w:t xml:space="preserve">Timeframe untuk identifikasi: 1H atau 4H untuk akurasi terbaik</w:t>
      </w:r>
    </w:p>
    <w:p>
      <w:pPr>
        <w:spacing w:after="0" w:before="0"/>
      </w:pPr>
      <w:r>
        <w:t xml:space="preserve"/>
      </w:r>
    </w:p>
    <w:p>
      <w:pPr>
        <w:pStyle w:val="Heading2"/>
        <w:spacing w:after="100" w:before="280"/>
      </w:pPr>
      <w:r>
        <w:rPr>
          <w:b/>
          <w:bCs/>
          <w:color w:val="2E6DA4"/>
          <w:sz w:val="26"/>
          <w:szCs w:val="26"/>
        </w:rPr>
        <w:t xml:space="preserve">6.3 Identifikasi MSS (Market Structure Shift)</w:t>
      </w:r>
    </w:p>
    <w:p>
      <w:pPr>
        <w:pStyle w:val="ListParagraph"/>
        <w:numPr>
          <w:ilvl w:val="0"/>
          <w:numId w:val="2"/>
        </w:numPr>
        <w:spacing w:after="40" w:before="40"/>
      </w:pPr>
      <w:r>
        <w:rPr>
          <w:sz w:val="20"/>
          <w:szCs w:val="20"/>
        </w:rPr>
        <w:t xml:space="preserve">Buat list swing highs dan swing lows dari OHLCV data</w:t>
      </w:r>
    </w:p>
    <w:p>
      <w:pPr>
        <w:pStyle w:val="ListParagraph"/>
        <w:numPr>
          <w:ilvl w:val="0"/>
          <w:numId w:val="2"/>
        </w:numPr>
        <w:spacing w:after="40" w:before="40"/>
      </w:pPr>
      <w:r>
        <w:rPr>
          <w:sz w:val="20"/>
          <w:szCs w:val="20"/>
        </w:rPr>
        <w:t xml:space="preserve">MSS Bullish: dalam downtrend, candle body CLOSE menembus swing high sebelumnya</w:t>
      </w:r>
    </w:p>
    <w:p>
      <w:pPr>
        <w:pStyle w:val="ListParagraph"/>
        <w:numPr>
          <w:ilvl w:val="0"/>
          <w:numId w:val="2"/>
        </w:numPr>
        <w:spacing w:after="40" w:before="40"/>
      </w:pPr>
      <w:r>
        <w:rPr>
          <w:sz w:val="20"/>
          <w:szCs w:val="20"/>
        </w:rPr>
        <w:t xml:space="preserve">MSS Bearish: dalam uptrend, candle body CLOSE menembus swing low sebelumnya</w:t>
      </w:r>
    </w:p>
    <w:p>
      <w:pPr>
        <w:pStyle w:val="ListParagraph"/>
        <w:numPr>
          <w:ilvl w:val="0"/>
          <w:numId w:val="2"/>
        </w:numPr>
        <w:spacing w:after="40" w:before="40"/>
      </w:pPr>
      <w:r>
        <w:rPr>
          <w:sz w:val="20"/>
          <w:szCs w:val="20"/>
        </w:rPr>
        <w:t xml:space="preserve">Penting: harus body close, bukan wick — ini yang membedakan MSS dari false break</w:t>
      </w:r>
    </w:p>
    <w:p>
      <w:pPr>
        <w:spacing w:after="0" w:before="0"/>
      </w:pPr>
      <w:r>
        <w:t xml:space="preserve"/>
      </w:r>
    </w:p>
    <w:p>
      <w:pPr>
        <w:pStyle w:val="Heading2"/>
        <w:spacing w:after="100" w:before="280"/>
      </w:pPr>
      <w:r>
        <w:rPr>
          <w:b/>
          <w:bCs/>
          <w:color w:val="2E6DA4"/>
          <w:sz w:val="26"/>
          <w:szCs w:val="26"/>
        </w:rPr>
        <w:t xml:space="preserve">6.4 Identifikasi Order Block (OB)</w:t>
      </w:r>
    </w:p>
    <w:p>
      <w:pPr>
        <w:pStyle w:val="ListParagraph"/>
        <w:numPr>
          <w:ilvl w:val="0"/>
          <w:numId w:val="2"/>
        </w:numPr>
        <w:spacing w:after="40" w:before="40"/>
      </w:pPr>
      <w:r>
        <w:rPr>
          <w:sz w:val="20"/>
          <w:szCs w:val="20"/>
        </w:rPr>
        <w:t xml:space="preserve">Bearish OB (untuk bullish reversal): candle bearish terakhir sebelum impulse move naik yang signifikan</w:t>
      </w:r>
    </w:p>
    <w:p>
      <w:pPr>
        <w:pStyle w:val="ListParagraph"/>
        <w:numPr>
          <w:ilvl w:val="0"/>
          <w:numId w:val="2"/>
        </w:numPr>
        <w:spacing w:after="40" w:before="40"/>
      </w:pPr>
      <w:r>
        <w:rPr>
          <w:sz w:val="20"/>
          <w:szCs w:val="20"/>
        </w:rPr>
        <w:t xml:space="preserve">Bullish OB (untuk bearish reversal): candle bullish terakhir sebelum impulse move turun</w:t>
      </w:r>
    </w:p>
    <w:p>
      <w:pPr>
        <w:pStyle w:val="ListParagraph"/>
        <w:numPr>
          <w:ilvl w:val="0"/>
          <w:numId w:val="2"/>
        </w:numPr>
        <w:spacing w:after="40" w:before="40"/>
      </w:pPr>
      <w:r>
        <w:rPr>
          <w:sz w:val="20"/>
          <w:szCs w:val="20"/>
        </w:rPr>
        <w:t xml:space="preserve">Batas OB: High dan Low dari candle tersebut</w:t>
      </w:r>
    </w:p>
    <w:p>
      <w:pPr>
        <w:pStyle w:val="ListParagraph"/>
        <w:numPr>
          <w:ilvl w:val="0"/>
          <w:numId w:val="2"/>
        </w:numPr>
        <w:spacing w:after="40" w:before="40"/>
      </w:pPr>
      <w:r>
        <w:rPr>
          <w:sz w:val="20"/>
          <w:szCs w:val="20"/>
        </w:rPr>
        <w:t xml:space="preserve">Harga 'di OB': Close price dalam rentang antara OB Low dan OB High (±0.3% toleransi)</w:t>
      </w:r>
    </w:p>
    <w:p>
      <w:pPr>
        <w:spacing w:after="0" w:before="0"/>
      </w:pPr>
      <w:r>
        <w:t xml:space="preserve"/>
      </w:r>
    </w:p>
    <w:p>
      <w:pPr>
        <w:pStyle w:val="Heading2"/>
        <w:spacing w:after="100" w:before="280"/>
      </w:pPr>
      <w:r>
        <w:rPr>
          <w:b/>
          <w:bCs/>
          <w:color w:val="2E6DA4"/>
          <w:sz w:val="26"/>
          <w:szCs w:val="26"/>
        </w:rPr>
        <w:t xml:space="preserve">6.5 Coin Universe (Daftar Koin yang Discan)</w:t>
      </w:r>
    </w:p>
    <w:p>
      <w:pPr>
        <w:pStyle w:val="ListParagraph"/>
        <w:numPr>
          <w:ilvl w:val="0"/>
          <w:numId w:val="2"/>
        </w:numPr>
        <w:spacing w:after="40" w:before="40"/>
      </w:pPr>
      <w:r>
        <w:rPr>
          <w:sz w:val="20"/>
          <w:szCs w:val="20"/>
        </w:rPr>
        <w:t xml:space="preserve">Rekomendasikan scan seluruh perp futures di Binance (&gt;300 koin) untuk coverage maksimal</w:t>
      </w:r>
    </w:p>
    <w:p>
      <w:pPr>
        <w:pStyle w:val="ListParagraph"/>
        <w:numPr>
          <w:ilvl w:val="0"/>
          <w:numId w:val="2"/>
        </w:numPr>
        <w:spacing w:after="40" w:before="40"/>
      </w:pPr>
      <w:r>
        <w:rPr>
          <w:sz w:val="20"/>
          <w:szCs w:val="20"/>
        </w:rPr>
        <w:t xml:space="preserve">Filter minimum: Volume 24H &gt; $5 juta untuk menghindari manipulasi koin kecil</w:t>
      </w:r>
    </w:p>
    <w:p>
      <w:pPr>
        <w:pStyle w:val="ListParagraph"/>
        <w:numPr>
          <w:ilvl w:val="0"/>
          <w:numId w:val="2"/>
        </w:numPr>
        <w:spacing w:after="40" w:before="40"/>
      </w:pPr>
      <w:r>
        <w:rPr>
          <w:sz w:val="20"/>
          <w:szCs w:val="20"/>
        </w:rPr>
        <w:t xml:space="preserve">Filter minimum: OI &gt; $1 juta untuk pastikan ada data derivatif yang reliable</w:t>
      </w:r>
    </w:p>
    <w:p>
      <w:pPr>
        <w:pStyle w:val="ListParagraph"/>
        <w:numPr>
          <w:ilvl w:val="0"/>
          <w:numId w:val="2"/>
        </w:numPr>
        <w:spacing w:after="40" w:before="40"/>
      </w:pPr>
      <w:r>
        <w:rPr>
          <w:sz w:val="20"/>
          <w:szCs w:val="20"/>
        </w:rPr>
        <w:t xml:space="preserve">Exclude: stablecoin pairs (USDC, BUSD, DAI pairs)</w:t>
      </w:r>
    </w:p>
    <w:p>
      <w:pPr>
        <w:pBdr>
          <w:bottom w:val="single" w:color="DDDDDD" w:sz="4" w:space="1"/>
        </w:pBdr>
        <w:spacing w:after="160" w:before="160"/>
      </w:pPr>
    </w:p>
    <w:p>
      <w:r>
        <w:br w:type="page"/>
      </w:r>
    </w:p>
    <w:p>
      <w:pPr>
        <w:pStyle w:val="Heading1"/>
        <w:spacing w:after="120" w:before="360"/>
      </w:pPr>
      <w:r>
        <w:rPr>
          <w:b/>
          <w:bCs/>
          <w:color w:val="1A3C5E"/>
          <w:sz w:val="32"/>
          <w:szCs w:val="32"/>
        </w:rPr>
        <w:t xml:space="preserve">7. Developer Checklist</w:t>
      </w:r>
    </w:p>
    <w:p>
      <w:pPr>
        <w:spacing w:after="60" w:before="60"/>
      </w:pPr>
      <w:r>
        <w:rPr>
          <w:sz w:val="20"/>
          <w:szCs w:val="20"/>
        </w:rPr>
        <w:t xml:space="preserve">Gunakan checklist ini untuk memastikan semua komponen terimplementasi dengan benar:</w:t>
      </w:r>
    </w:p>
    <w:p>
      <w:pPr>
        <w:spacing w:after="0" w:before="0"/>
      </w:pPr>
      <w:r>
        <w:t xml:space="preserve"/>
      </w:r>
    </w:p>
    <w:p>
      <w:pPr>
        <w:pStyle w:val="Heading2"/>
        <w:spacing w:after="100" w:before="280"/>
      </w:pPr>
      <w:r>
        <w:rPr>
          <w:b/>
          <w:bCs/>
          <w:color w:val="2E6DA4"/>
          <w:sz w:val="26"/>
          <w:szCs w:val="26"/>
        </w:rPr>
        <w:t xml:space="preserve">Model 1 — Counter Trend</w:t>
      </w:r>
    </w:p>
    <w:p>
      <w:pPr>
        <w:pStyle w:val="ListParagraph"/>
        <w:numPr>
          <w:ilvl w:val="0"/>
          <w:numId w:val="2"/>
        </w:numPr>
        <w:spacing w:after="40" w:before="40"/>
      </w:pPr>
      <w:r>
        <w:rPr>
          <w:sz w:val="20"/>
          <w:szCs w:val="20"/>
        </w:rPr>
        <w:t xml:space="preserve">[ ] Service terpisah dari Model 2 dan 3</w:t>
      </w:r>
    </w:p>
    <w:p>
      <w:pPr>
        <w:pStyle w:val="ListParagraph"/>
        <w:numPr>
          <w:ilvl w:val="0"/>
          <w:numId w:val="2"/>
        </w:numPr>
        <w:spacing w:after="40" w:before="40"/>
      </w:pPr>
      <w:r>
        <w:rPr>
          <w:sz w:val="20"/>
          <w:szCs w:val="20"/>
        </w:rPr>
        <w:t xml:space="preserve">[ ] Swing point detection untuk identifikasi Old High/Low</w:t>
      </w:r>
    </w:p>
    <w:p>
      <w:pPr>
        <w:pStyle w:val="ListParagraph"/>
        <w:numPr>
          <w:ilvl w:val="0"/>
          <w:numId w:val="2"/>
        </w:numPr>
        <w:spacing w:after="40" w:before="40"/>
      </w:pPr>
      <w:r>
        <w:rPr>
          <w:sz w:val="20"/>
          <w:szCs w:val="20"/>
        </w:rPr>
        <w:t xml:space="preserve">[ ] Liquidity Sweep detection (wick vs close logic)</w:t>
      </w:r>
    </w:p>
    <w:p>
      <w:pPr>
        <w:pStyle w:val="ListParagraph"/>
        <w:numPr>
          <w:ilvl w:val="0"/>
          <w:numId w:val="2"/>
        </w:numPr>
        <w:spacing w:after="40" w:before="40"/>
      </w:pPr>
      <w:r>
        <w:rPr>
          <w:sz w:val="20"/>
          <w:szCs w:val="20"/>
        </w:rPr>
        <w:t xml:space="preserve">[ ] MSS detection dengan body break validation</w:t>
      </w:r>
    </w:p>
    <w:p>
      <w:pPr>
        <w:pStyle w:val="ListParagraph"/>
        <w:numPr>
          <w:ilvl w:val="0"/>
          <w:numId w:val="2"/>
        </w:numPr>
        <w:spacing w:after="40" w:before="40"/>
      </w:pPr>
      <w:r>
        <w:rPr>
          <w:sz w:val="20"/>
          <w:szCs w:val="20"/>
        </w:rPr>
        <w:t xml:space="preserve">[ ] FVG dan Order Block calculator</w:t>
      </w:r>
    </w:p>
    <w:p>
      <w:pPr>
        <w:pStyle w:val="ListParagraph"/>
        <w:numPr>
          <w:ilvl w:val="0"/>
          <w:numId w:val="2"/>
        </w:numPr>
        <w:spacing w:after="40" w:before="40"/>
      </w:pPr>
      <w:r>
        <w:rPr>
          <w:sz w:val="20"/>
          <w:szCs w:val="20"/>
        </w:rPr>
        <w:t xml:space="preserve">[ ] OI change calculator (% per jam pasca sweep)</w:t>
      </w:r>
    </w:p>
    <w:p>
      <w:pPr>
        <w:pStyle w:val="ListParagraph"/>
        <w:numPr>
          <w:ilvl w:val="0"/>
          <w:numId w:val="2"/>
        </w:numPr>
        <w:spacing w:after="40" w:before="40"/>
      </w:pPr>
      <w:r>
        <w:rPr>
          <w:sz w:val="20"/>
          <w:szCs w:val="20"/>
        </w:rPr>
        <w:t xml:space="preserve">[ ] Funding Rate trend tracker (dari ekstrem ke netral)</w:t>
      </w:r>
    </w:p>
    <w:p>
      <w:pPr>
        <w:pStyle w:val="ListParagraph"/>
        <w:numPr>
          <w:ilvl w:val="0"/>
          <w:numId w:val="2"/>
        </w:numPr>
        <w:spacing w:after="40" w:before="40"/>
      </w:pPr>
      <w:r>
        <w:rPr>
          <w:sz w:val="20"/>
          <w:szCs w:val="20"/>
        </w:rPr>
        <w:t xml:space="preserve">[ ] CVD Divergence detector (price low baru vs CVD naik)</w:t>
      </w:r>
    </w:p>
    <w:p>
      <w:pPr>
        <w:pStyle w:val="ListParagraph"/>
        <w:numPr>
          <w:ilvl w:val="0"/>
          <w:numId w:val="2"/>
        </w:numPr>
        <w:spacing w:after="40" w:before="40"/>
      </w:pPr>
      <w:r>
        <w:rPr>
          <w:sz w:val="20"/>
          <w:szCs w:val="20"/>
        </w:rPr>
        <w:t xml:space="preserve">[ ] ATR Spike + Stabilization detector</w:t>
      </w:r>
    </w:p>
    <w:p>
      <w:pPr>
        <w:pStyle w:val="ListParagraph"/>
        <w:numPr>
          <w:ilvl w:val="0"/>
          <w:numId w:val="2"/>
        </w:numPr>
        <w:spacing w:after="40" w:before="40"/>
      </w:pPr>
      <w:r>
        <w:rPr>
          <w:sz w:val="20"/>
          <w:szCs w:val="20"/>
        </w:rPr>
        <w:t xml:space="preserve">[ ] Scoring engine dengan bobot yang benar</w:t>
      </w:r>
    </w:p>
    <w:p>
      <w:pPr>
        <w:pStyle w:val="ListParagraph"/>
        <w:numPr>
          <w:ilvl w:val="0"/>
          <w:numId w:val="2"/>
        </w:numPr>
        <w:spacing w:after="40" w:before="40"/>
      </w:pPr>
      <w:r>
        <w:rPr>
          <w:sz w:val="20"/>
          <w:szCs w:val="20"/>
        </w:rPr>
        <w:t xml:space="preserve">[ ] Output JSON format sesuai spesifikasi</w:t>
      </w:r>
    </w:p>
    <w:p>
      <w:pPr>
        <w:spacing w:after="0" w:before="0"/>
      </w:pPr>
      <w:r>
        <w:t xml:space="preserve"/>
      </w:r>
    </w:p>
    <w:p>
      <w:pPr>
        <w:pStyle w:val="Heading2"/>
        <w:spacing w:after="100" w:before="280"/>
      </w:pPr>
      <w:r>
        <w:rPr>
          <w:b/>
          <w:bCs/>
          <w:color w:val="2E6DA4"/>
          <w:sz w:val="26"/>
          <w:szCs w:val="26"/>
        </w:rPr>
        <w:t xml:space="preserve">Model 2 — Pre-Pump</w:t>
      </w:r>
    </w:p>
    <w:p>
      <w:pPr>
        <w:pStyle w:val="ListParagraph"/>
        <w:numPr>
          <w:ilvl w:val="0"/>
          <w:numId w:val="2"/>
        </w:numPr>
        <w:spacing w:after="40" w:before="40"/>
      </w:pPr>
      <w:r>
        <w:rPr>
          <w:sz w:val="20"/>
          <w:szCs w:val="20"/>
        </w:rPr>
        <w:t xml:space="preserve">[ ] Service terpisah dari Model 1 dan 3</w:t>
      </w:r>
    </w:p>
    <w:p>
      <w:pPr>
        <w:pStyle w:val="ListParagraph"/>
        <w:numPr>
          <w:ilvl w:val="0"/>
          <w:numId w:val="2"/>
        </w:numPr>
        <w:spacing w:after="40" w:before="40"/>
      </w:pPr>
      <w:r>
        <w:rPr>
          <w:sz w:val="20"/>
          <w:szCs w:val="20"/>
        </w:rPr>
        <w:t xml:space="preserve">[ ] Funding Rate screener (threshold &lt; -0.05%)</w:t>
      </w:r>
    </w:p>
    <w:p>
      <w:pPr>
        <w:pStyle w:val="ListParagraph"/>
        <w:numPr>
          <w:ilvl w:val="0"/>
          <w:numId w:val="2"/>
        </w:numPr>
        <w:spacing w:after="40" w:before="40"/>
      </w:pPr>
      <w:r>
        <w:rPr>
          <w:sz w:val="20"/>
          <w:szCs w:val="20"/>
        </w:rPr>
        <w:t xml:space="preserve">[ ] Konsistensi funding negatif (3+ periode berturut)</w:t>
      </w:r>
    </w:p>
    <w:p>
      <w:pPr>
        <w:pStyle w:val="ListParagraph"/>
        <w:numPr>
          <w:ilvl w:val="0"/>
          <w:numId w:val="2"/>
        </w:numPr>
        <w:spacing w:after="40" w:before="40"/>
      </w:pPr>
      <w:r>
        <w:rPr>
          <w:sz w:val="20"/>
          <w:szCs w:val="20"/>
        </w:rPr>
        <w:t xml:space="preserve">[ ] Relative Strength vs BTC calculator</w:t>
      </w:r>
    </w:p>
    <w:p>
      <w:pPr>
        <w:pStyle w:val="ListParagraph"/>
        <w:numPr>
          <w:ilvl w:val="0"/>
          <w:numId w:val="2"/>
        </w:numPr>
        <w:spacing w:after="40" w:before="40"/>
      </w:pPr>
      <w:r>
        <w:rPr>
          <w:sz w:val="20"/>
          <w:szCs w:val="20"/>
        </w:rPr>
        <w:t xml:space="preserve">[ ] Volume relative to 7-day average</w:t>
      </w:r>
    </w:p>
    <w:p>
      <w:pPr>
        <w:pStyle w:val="ListParagraph"/>
        <w:numPr>
          <w:ilvl w:val="0"/>
          <w:numId w:val="2"/>
        </w:numPr>
        <w:spacing w:after="40" w:before="40"/>
      </w:pPr>
      <w:r>
        <w:rPr>
          <w:sz w:val="20"/>
          <w:szCs w:val="20"/>
        </w:rPr>
        <w:t xml:space="preserve">[ ] OI Expansion detector selama sideways</w:t>
      </w:r>
    </w:p>
    <w:p>
      <w:pPr>
        <w:pStyle w:val="ListParagraph"/>
        <w:numPr>
          <w:ilvl w:val="0"/>
          <w:numId w:val="2"/>
        </w:numPr>
        <w:spacing w:after="40" w:before="40"/>
      </w:pPr>
      <w:r>
        <w:rPr>
          <w:sz w:val="20"/>
          <w:szCs w:val="20"/>
        </w:rPr>
        <w:t xml:space="preserve">[ ] ATR Compression detector (vs 30-day average)</w:t>
      </w:r>
    </w:p>
    <w:p>
      <w:pPr>
        <w:pStyle w:val="ListParagraph"/>
        <w:numPr>
          <w:ilvl w:val="0"/>
          <w:numId w:val="2"/>
        </w:numPr>
        <w:spacing w:after="40" w:before="40"/>
      </w:pPr>
      <w:r>
        <w:rPr>
          <w:sz w:val="20"/>
          <w:szCs w:val="20"/>
        </w:rPr>
        <w:t xml:space="preserve">[ ] CVD slope calculator (linear regression)</w:t>
      </w:r>
    </w:p>
    <w:p>
      <w:pPr>
        <w:pStyle w:val="ListParagraph"/>
        <w:numPr>
          <w:ilvl w:val="0"/>
          <w:numId w:val="2"/>
        </w:numPr>
        <w:spacing w:after="40" w:before="40"/>
      </w:pPr>
      <w:r>
        <w:rPr>
          <w:sz w:val="20"/>
          <w:szCs w:val="20"/>
        </w:rPr>
        <w:t xml:space="preserve">[ ] Scoring engine dengan bobot yang benar</w:t>
      </w:r>
    </w:p>
    <w:p>
      <w:pPr>
        <w:pStyle w:val="ListParagraph"/>
        <w:numPr>
          <w:ilvl w:val="0"/>
          <w:numId w:val="2"/>
        </w:numPr>
        <w:spacing w:after="40" w:before="40"/>
      </w:pPr>
      <w:r>
        <w:rPr>
          <w:sz w:val="20"/>
          <w:szCs w:val="20"/>
        </w:rPr>
        <w:t xml:space="preserve">[ ] Output JSON format sesuai spesifikasi</w:t>
      </w:r>
    </w:p>
    <w:p>
      <w:pPr>
        <w:spacing w:after="0" w:before="0"/>
      </w:pPr>
      <w:r>
        <w:t xml:space="preserve"/>
      </w:r>
    </w:p>
    <w:p>
      <w:pPr>
        <w:pStyle w:val="Heading2"/>
        <w:spacing w:after="100" w:before="280"/>
      </w:pPr>
      <w:r>
        <w:rPr>
          <w:b/>
          <w:bCs/>
          <w:color w:val="2E6DA4"/>
          <w:sz w:val="26"/>
          <w:szCs w:val="26"/>
        </w:rPr>
        <w:t xml:space="preserve">Model 3 — Trend Momentum</w:t>
      </w:r>
    </w:p>
    <w:p>
      <w:pPr>
        <w:pStyle w:val="ListParagraph"/>
        <w:numPr>
          <w:ilvl w:val="0"/>
          <w:numId w:val="2"/>
        </w:numPr>
        <w:spacing w:after="40" w:before="40"/>
      </w:pPr>
      <w:r>
        <w:rPr>
          <w:sz w:val="20"/>
          <w:szCs w:val="20"/>
        </w:rPr>
        <w:t xml:space="preserve">[ ] Service terpisah dari Model 1 dan 2</w:t>
      </w:r>
    </w:p>
    <w:p>
      <w:pPr>
        <w:pStyle w:val="ListParagraph"/>
        <w:numPr>
          <w:ilvl w:val="0"/>
          <w:numId w:val="2"/>
        </w:numPr>
        <w:spacing w:after="40" w:before="40"/>
      </w:pPr>
      <w:r>
        <w:rPr>
          <w:sz w:val="20"/>
          <w:szCs w:val="20"/>
        </w:rPr>
        <w:t xml:space="preserve">[ ] EMA 50 dan EMA 200 calculator</w:t>
      </w:r>
    </w:p>
    <w:p>
      <w:pPr>
        <w:pStyle w:val="ListParagraph"/>
        <w:numPr>
          <w:ilvl w:val="0"/>
          <w:numId w:val="2"/>
        </w:numPr>
        <w:spacing w:after="40" w:before="40"/>
      </w:pPr>
      <w:r>
        <w:rPr>
          <w:sz w:val="20"/>
          <w:szCs w:val="20"/>
        </w:rPr>
        <w:t xml:space="preserve">[ ] EMA Spread tracker (apakah melebar)</w:t>
      </w:r>
    </w:p>
    <w:p>
      <w:pPr>
        <w:pStyle w:val="ListParagraph"/>
        <w:numPr>
          <w:ilvl w:val="0"/>
          <w:numId w:val="2"/>
        </w:numPr>
        <w:spacing w:after="40" w:before="40"/>
      </w:pPr>
      <w:r>
        <w:rPr>
          <w:sz w:val="20"/>
          <w:szCs w:val="20"/>
        </w:rPr>
        <w:t xml:space="preserve">[ ] RSI(14) calculator dengan zone check</w:t>
      </w:r>
    </w:p>
    <w:p>
      <w:pPr>
        <w:pStyle w:val="ListParagraph"/>
        <w:numPr>
          <w:ilvl w:val="0"/>
          <w:numId w:val="2"/>
        </w:numPr>
        <w:spacing w:after="40" w:before="40"/>
      </w:pPr>
      <w:r>
        <w:rPr>
          <w:sz w:val="20"/>
          <w:szCs w:val="20"/>
        </w:rPr>
        <w:t xml:space="preserve">[ ] MACD(12,26,9) calculator dengan histogram</w:t>
      </w:r>
    </w:p>
    <w:p>
      <w:pPr>
        <w:pStyle w:val="ListParagraph"/>
        <w:numPr>
          <w:ilvl w:val="0"/>
          <w:numId w:val="2"/>
        </w:numPr>
        <w:spacing w:after="40" w:before="40"/>
      </w:pPr>
      <w:r>
        <w:rPr>
          <w:sz w:val="20"/>
          <w:szCs w:val="20"/>
        </w:rPr>
        <w:t xml:space="preserve">[ ] OI vs Price movement correlation check</w:t>
      </w:r>
    </w:p>
    <w:p>
      <w:pPr>
        <w:pStyle w:val="ListParagraph"/>
        <w:numPr>
          <w:ilvl w:val="0"/>
          <w:numId w:val="2"/>
        </w:numPr>
        <w:spacing w:after="40" w:before="40"/>
      </w:pPr>
      <w:r>
        <w:rPr>
          <w:sz w:val="20"/>
          <w:szCs w:val="20"/>
        </w:rPr>
        <w:t xml:space="preserve">[ ] CVD positive slope checker</w:t>
      </w:r>
    </w:p>
    <w:p>
      <w:pPr>
        <w:pStyle w:val="ListParagraph"/>
        <w:numPr>
          <w:ilvl w:val="0"/>
          <w:numId w:val="2"/>
        </w:numPr>
        <w:spacing w:after="40" w:before="40"/>
      </w:pPr>
      <w:r>
        <w:rPr>
          <w:sz w:val="20"/>
          <w:szCs w:val="20"/>
        </w:rPr>
        <w:t xml:space="preserve">[ ] BOS (Break of Structure) counter</w:t>
      </w:r>
    </w:p>
    <w:p>
      <w:pPr>
        <w:pStyle w:val="ListParagraph"/>
        <w:numPr>
          <w:ilvl w:val="0"/>
          <w:numId w:val="2"/>
        </w:numPr>
        <w:spacing w:after="40" w:before="40"/>
      </w:pPr>
      <w:r>
        <w:rPr>
          <w:sz w:val="20"/>
          <w:szCs w:val="20"/>
        </w:rPr>
        <w:t xml:space="preserve">[ ] Scoring engine dengan bobot yang benar</w:t>
      </w:r>
    </w:p>
    <w:p>
      <w:pPr>
        <w:pStyle w:val="ListParagraph"/>
        <w:numPr>
          <w:ilvl w:val="0"/>
          <w:numId w:val="2"/>
        </w:numPr>
        <w:spacing w:after="40" w:before="40"/>
      </w:pPr>
      <w:r>
        <w:rPr>
          <w:sz w:val="20"/>
          <w:szCs w:val="20"/>
        </w:rPr>
        <w:t xml:space="preserve">[ ] Output JSON format sesuai spesifikasi</w:t>
      </w:r>
    </w:p>
    <w:p>
      <w:pPr>
        <w:spacing w:after="0" w:before="0"/>
      </w:pPr>
      <w:r>
        <w:t xml:space="preserve"/>
      </w:r>
    </w:p>
    <w:p>
      <w:pPr>
        <w:pStyle w:val="Heading2"/>
        <w:spacing w:after="100" w:before="280"/>
      </w:pPr>
      <w:r>
        <w:rPr>
          <w:b/>
          <w:bCs/>
          <w:color w:val="2E6DA4"/>
          <w:sz w:val="26"/>
          <w:szCs w:val="26"/>
        </w:rPr>
        <w:t xml:space="preserve">Infrastruktur</w:t>
      </w:r>
    </w:p>
    <w:p>
      <w:pPr>
        <w:pStyle w:val="ListParagraph"/>
        <w:numPr>
          <w:ilvl w:val="0"/>
          <w:numId w:val="2"/>
        </w:numPr>
        <w:spacing w:after="40" w:before="40"/>
      </w:pPr>
      <w:r>
        <w:rPr>
          <w:sz w:val="20"/>
          <w:szCs w:val="20"/>
        </w:rPr>
        <w:t xml:space="preserve">[ ] service-data-fetcher terpusat</w:t>
      </w:r>
    </w:p>
    <w:p>
      <w:pPr>
        <w:pStyle w:val="ListParagraph"/>
        <w:numPr>
          <w:ilvl w:val="0"/>
          <w:numId w:val="2"/>
        </w:numPr>
        <w:spacing w:after="40" w:before="40"/>
      </w:pPr>
      <w:r>
        <w:rPr>
          <w:sz w:val="20"/>
          <w:szCs w:val="20"/>
        </w:rPr>
        <w:t xml:space="preserve">[ ] Redis atau caching layer terinstall</w:t>
      </w:r>
    </w:p>
    <w:p>
      <w:pPr>
        <w:pStyle w:val="ListParagraph"/>
        <w:numPr>
          <w:ilvl w:val="0"/>
          <w:numId w:val="2"/>
        </w:numPr>
        <w:spacing w:after="40" w:before="40"/>
      </w:pPr>
      <w:r>
        <w:rPr>
          <w:sz w:val="20"/>
          <w:szCs w:val="20"/>
        </w:rPr>
        <w:t xml:space="preserve">[ ] Rate limiting handler untuk API calls</w:t>
      </w:r>
    </w:p>
    <w:p>
      <w:pPr>
        <w:pStyle w:val="ListParagraph"/>
        <w:numPr>
          <w:ilvl w:val="0"/>
          <w:numId w:val="2"/>
        </w:numPr>
        <w:spacing w:after="40" w:before="40"/>
      </w:pPr>
      <w:r>
        <w:rPr>
          <w:sz w:val="20"/>
          <w:szCs w:val="20"/>
        </w:rPr>
        <w:t xml:space="preserve">[ ] Database untuk menyimpan historical data</w:t>
      </w:r>
    </w:p>
    <w:p>
      <w:pPr>
        <w:pStyle w:val="ListParagraph"/>
        <w:numPr>
          <w:ilvl w:val="0"/>
          <w:numId w:val="2"/>
        </w:numPr>
        <w:spacing w:after="40" w:before="40"/>
      </w:pPr>
      <w:r>
        <w:rPr>
          <w:sz w:val="20"/>
          <w:szCs w:val="20"/>
        </w:rPr>
        <w:t xml:space="preserve">[ ] Error handling untuk API timeout / downtime</w:t>
      </w:r>
    </w:p>
    <w:p>
      <w:pPr>
        <w:pStyle w:val="ListParagraph"/>
        <w:numPr>
          <w:ilvl w:val="0"/>
          <w:numId w:val="2"/>
        </w:numPr>
        <w:spacing w:after="40" w:before="40"/>
      </w:pPr>
      <w:r>
        <w:rPr>
          <w:sz w:val="20"/>
          <w:szCs w:val="20"/>
        </w:rPr>
        <w:t xml:space="preserve">[ ] Logging untuk setiap sinyal yang terdeteksi</w:t>
      </w:r>
    </w:p>
    <w:p>
      <w:pPr>
        <w:pStyle w:val="ListParagraph"/>
        <w:numPr>
          <w:ilvl w:val="0"/>
          <w:numId w:val="2"/>
        </w:numPr>
        <w:spacing w:after="40" w:before="40"/>
      </w:pPr>
      <w:r>
        <w:rPr>
          <w:sz w:val="20"/>
          <w:szCs w:val="20"/>
        </w:rPr>
        <w:t xml:space="preserve">[ ] Unit test untuk setiap kalkulasi indikator</w:t>
      </w:r>
    </w:p>
    <w:p>
      <w:pPr>
        <w:pBdr>
          <w:bottom w:val="single" w:color="DDDDDD" w:sz="4" w:space="1"/>
        </w:pBdr>
        <w:spacing w:after="160" w:before="160"/>
      </w:pP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200"/>
              <w:left w:type="dxa" w:w="300"/>
              <w:bottom w:type="dxa" w:w="200"/>
              <w:right w:type="dxa" w:w="300"/>
            </w:tcMar>
          </w:tcPr>
          <w:p>
            <w:pPr>
              <w:jc w:val="center"/>
            </w:pPr>
            <w:r>
              <w:rPr>
                <w:b/>
                <w:bCs/>
                <w:color w:val="FFD700"/>
                <w:sz w:val="20"/>
                <w:szCs w:val="20"/>
              </w:rPr>
              <w:t xml:space="preserve">PENTING: Ketiga model ini adalah sistem sinyal (scanner), bukan trading bot otomatis.</w:t>
            </w:r>
          </w:p>
          <w:p>
            <w:pPr>
              <w:jc w:val="center"/>
            </w:pPr>
            <w:r>
              <w:rPr>
                <w:color w:val="E0E0E0"/>
                <w:sz w:val="18"/>
                <w:szCs w:val="18"/>
              </w:rPr>
              <w:t xml:space="preserve">Keputusan eksekusi order tetap harus dilakukan secara manual atau dengan layer risk management tambahan.</w:t>
            </w:r>
          </w:p>
          <w:p>
            <w:pPr>
              <w:spacing w:before="120"/>
              <w:jc w:val="center"/>
            </w:pPr>
            <w:r>
              <w:rPr>
                <w:color w:val="AAAAAA"/>
                <w:sz w:val="16"/>
                <w:szCs w:val="16"/>
              </w:rPr>
              <w:t xml:space="preserve">Trading mengandung risiko. Gunakan dengan bijak.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120"/>
    </w:pPr>
    <w:r>
      <w:rPr>
        <w:color w:val="999999"/>
        <w:sz w:val="16"/>
        <w:szCs w:val="16"/>
      </w:rPr>
      <w:t xml:space="preserve">Halaman </w:t>
    </w:r>
    <w:r>
      <w:rPr>
        <w:color w:val="999999"/>
        <w:sz w:val="16"/>
        <w:szCs w:val="16"/>
      </w:rPr>
      <w:fldChar w:fldCharType="begin"/>
      <w:instrText xml:space="preserve">PAGE</w:instrText>
      <w:fldChar w:fldCharType="separate"/>
      <w:fldChar w:fldCharType="end"/>
    </w:r>
    <w:r>
      <w:rPr>
        <w:color w:val="999999"/>
        <w:sz w:val="16"/>
        <w:szCs w:val="16"/>
      </w:rPr>
      <w:t xml:space="preserve"> dari </w:t>
    </w:r>
    <w:r>
      <w:rPr>
        <w:color w:val="999999"/>
        <w:sz w:val="16"/>
        <w:szCs w:val="16"/>
      </w:rPr>
      <w:fldChar w:fldCharType="begin"/>
      <w:instrText xml:space="preserve">NUMPAGES</w:instrText>
      <w:fldChar w:fldCharType="separate"/>
      <w:fldChar w:fldCharType="end"/>
    </w:r>
    <w:r>
      <w:rPr>
        <w:color w:val="999999"/>
        <w:sz w:val="16"/>
        <w:szCs w:val="16"/>
      </w:rPr>
      <w:t xml:space="preserve">		© 2025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tabs>
        <w:tab w:val="right" w:pos="9026"/>
      </w:tabs>
      <w:spacing w:after="120"/>
    </w:pPr>
    <w:r>
      <w:rPr>
        <w:b/>
        <w:bCs/>
        <w:color w:val="1A3C5E"/>
        <w:sz w:val="18"/>
        <w:szCs w:val="18"/>
      </w:rPr>
      <w:t xml:space="preserve">CRYPTO TRADING SYSTEM — TECHNICAL SPECIFICATION</w:t>
    </w:r>
    <w:r>
      <w:rPr>
        <w:color w:val="999999"/>
        <w:sz w:val="16"/>
        <w:szCs w:val="16"/>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2"/>
      <w:szCs w:val="32"/>
    </w:rPr>
  </w:style>
  <w:style w:type="paragraph" w:styleId="Heading2">
    <w:name w:val="Heading 2"/>
    <w:basedOn w:val="Normal"/>
    <w:next w:val="Normal"/>
    <w:qFormat/>
    <w:pPr>
      <w:spacing w:after="100" w:before="280"/>
      <w:outlineLvl w:val="1"/>
    </w:pPr>
    <w:rPr>
      <w:rFonts w:ascii="Calibri" w:cs="Calibri" w:eastAsia="Calibri" w:hAnsi="Calibri"/>
      <w:b/>
      <w:bCs/>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2026-04-28T07:54:05.395Z</dcterms:created>
  <dcterms:modified xsi:type="dcterms:W3CDTF">2026-04-28T07:54:05.396Z</dcterms:modified>
</cp:coreProperties>
</file>

<file path=docProps/custom.xml><?xml version="1.0" encoding="utf-8"?>
<Properties xmlns="http://schemas.openxmlformats.org/officeDocument/2006/custom-properties" xmlns:vt="http://schemas.openxmlformats.org/officeDocument/2006/docPropsVTypes"/>
</file>