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 ﱽ ﱾ ﱿ ﲀﲁ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 ﲛ 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 ﲤ 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 ﲶﲷ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ﲿﳀ ﳁ ﳂ ﳃ ﳄ</w:t>
      </w:r>
    </w:p>
    <w:p w:rsidR="00000000" w:rsidDel="00000000" w:rsidP="00000000" w:rsidRDefault="00000000" w:rsidRPr="00000000" w14:paraId="00000001">
      <w:pPr>
        <w:jc w:val="right"/>
        <w:rPr/>
      </w:pPr>
      <w:r>
        <w:t>ﳅ ﳆ ﳇ ﳈ ﳉ ﳊ ﳋ ﳌ ﳍ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