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滞后回归结果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152"/>
        <w:gridCol w:w="1440"/>
        <w:gridCol w:w="1152"/>
        <w:gridCol w:w="1152"/>
        <w:gridCol w:w="1152"/>
        <w:gridCol w:w="1152"/>
        <w:gridCol w:w="1440"/>
        <w:gridCol w:w="1440"/>
        <w:gridCol w:w="1152"/>
        <w:gridCol w:w="1440"/>
        <w:gridCol w:w="1440"/>
        <w:gridCol w:w="1152"/>
        <w:gridCol w:w="1152"/>
      </w:tblGrid>
      <w:tr>
        <w:tc>
          <w:tcPr>
            <w:tcW w:type="dxa" w:w="665"/>
          </w:tcPr>
          <w:p>
            <w:pPr>
              <w:jc w:val="center"/>
            </w:pPr>
            <w:r>
              <w:rPr>
                <w:sz w:val="18"/>
              </w:rPr>
              <w:t>Lag Order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sz w:val="18"/>
              </w:rPr>
              <w:t>Observations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sz w:val="18"/>
              </w:rPr>
              <w:t>Alpha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sz w:val="18"/>
              </w:rPr>
              <w:t>Alpha SE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sz w:val="18"/>
              </w:rPr>
              <w:t>Beta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sz w:val="18"/>
              </w:rPr>
              <w:t>Beta SE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sz w:val="18"/>
              </w:rPr>
              <w:t>Beta t-value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sz w:val="18"/>
              </w:rPr>
              <w:t>Beta p-value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sz w:val="18"/>
              </w:rPr>
              <w:t>R-squared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sz w:val="18"/>
              </w:rPr>
              <w:t>Adj. R-squared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sz w:val="18"/>
              </w:rPr>
              <w:t>F-statistic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sz w:val="18"/>
              </w:rPr>
              <w:t>AIC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sz w:val="18"/>
              </w:rPr>
              <w:t>BIC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1.0000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297.0000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0.0048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0.0043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0.1347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0.0577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2.3362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0.0201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0.0182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0.0148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5.4579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-695.9628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-688.5753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2.0000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297.0000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0.0049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0.0044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0.1182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0.0575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2.0545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0.0408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0.0141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0.0108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4.2209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-694.7375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-687.3500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3.0000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297.0000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0.0053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0.0044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0.0488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0.0575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0.8493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0.3964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0.0024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-0.0009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0.7214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-691.2435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-683.8560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