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3.png" ContentType="image/png"/>
  <Override PartName="/word/media/rId69.png" ContentType="image/png"/>
  <Override PartName="/word/media/rId71.png" ContentType="image/png"/>
  <Override PartName="/word/media/rId55.png" ContentType="image/png"/>
  <Override PartName="/word/media/rId73.png" ContentType="image/png"/>
  <Override PartName="/word/media/rId59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7.png" ContentType="image/png"/>
  <Override PartName="/word/media/rId5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Разработка</w:t>
      </w:r>
      <w:r>
        <w:t xml:space="preserve"> </w:t>
      </w:r>
      <w:r>
        <w:t xml:space="preserve">прототипа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задачами</w:t>
      </w:r>
      <w:r>
        <w:t xml:space="preserve"> </w:t>
      </w:r>
      <w:r>
        <w:t xml:space="preserve">(наподобие</w:t>
      </w:r>
      <w:r>
        <w:t xml:space="preserve"> </w:t>
      </w:r>
      <w:r>
        <w:t xml:space="preserve">Jira)</w:t>
      </w:r>
      <w:r>
        <w:t xml:space="preserve"> </w:t>
      </w:r>
      <w:r>
        <w:t xml:space="preserve">с</w:t>
      </w:r>
      <w:r>
        <w:t xml:space="preserve"> </w:t>
      </w:r>
      <w:r>
        <w:t xml:space="preserve">полным</w:t>
      </w:r>
      <w:r>
        <w:t xml:space="preserve"> </w:t>
      </w:r>
      <w:r>
        <w:t xml:space="preserve">комплектом</w:t>
      </w:r>
      <w:r>
        <w:t xml:space="preserve"> </w:t>
      </w:r>
      <w:r>
        <w:t xml:space="preserve">UML-диаграмм</w:t>
      </w:r>
    </w:p>
    <w:p>
      <w:pPr>
        <w:pStyle w:val="Author"/>
      </w:pPr>
      <w:r>
        <w:t xml:space="preserve">Курсовая</w:t>
      </w:r>
      <w:r>
        <w:t xml:space="preserve"> </w:t>
      </w:r>
      <w:r>
        <w:t xml:space="preserve">работа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введение"/>
      <w:r>
        <w:t xml:space="preserve">ВВЕДЕНИЕ</w:t>
      </w:r>
      <w:bookmarkEnd w:id="20"/>
    </w:p>
    <w:p>
      <w:pPr>
        <w:pStyle w:val="FirstParagraph"/>
      </w:pPr>
      <w:r>
        <w:t xml:space="preserve">Современные процессы разработки программного обеспечения и управления проектами невозможно представить без специализированных систем управления задачами (Issue Tracking Systems, ITS). Такие системы выступают центральным узлом командной работы: в них фиксируются требования, декомпозируются крупные единицы работы, отслеживается прогресс, ведутся обсуждения и хранится история изменений каждой задачи. Согласно отчёту State of Agile, более 80 % команд, использующих гибкие методологии, ежедневно работают с инструментами вида Jira, Asana, Trello, YouTrack или GitLab Issues, а сам рынок SaaS-решений для управления задачами устойчиво растёт двузначными темпами.</w:t>
      </w:r>
    </w:p>
    <w:p>
      <w:pPr>
        <w:pStyle w:val="BodyText"/>
      </w:pPr>
      <w:r>
        <w:t xml:space="preserve">На фоне ухода ряда зарубежных вендоров с российского рынка особое значение приобретают</w:t>
      </w:r>
      <w:r>
        <w:t xml:space="preserve"> </w:t>
      </w:r>
      <w:r>
        <w:rPr>
          <w:b/>
        </w:rPr>
        <w:t xml:space="preserve">импортозамещающие</w:t>
      </w:r>
      <w:r>
        <w:t xml:space="preserve"> </w:t>
      </w:r>
      <w:r>
        <w:t xml:space="preserve">решения — системы, разворачиваемые в собственной инфраструктуре или у российских облачных провайдеров. Это требование ставит перед разработчиком задачу спроектировать архитектуру, которая будет одновременно: (а) изолировать данные множества организаций (multi-tenancy), (б) поддерживать гибкие методологии (Kanban, Scrum), (в) обеспечивать прозрачную работу с биллингом, безопасность аутентификации и горизонтальное масштабирование.</w:t>
      </w:r>
    </w:p>
    <w:p>
      <w:pPr>
        <w:pStyle w:val="BodyText"/>
      </w:pPr>
      <w:r>
        <w:rPr>
          <w:b/>
        </w:rPr>
        <w:t xml:space="preserve">Объектом исследования</w:t>
      </w:r>
      <w:r>
        <w:t xml:space="preserve"> </w:t>
      </w:r>
      <w:r>
        <w:t xml:space="preserve">настоящей курсовой работы является процесс совместной разработки программного обеспечения, организованный в виде потока задач между ролями.</w:t>
      </w:r>
      <w:r>
        <w:t xml:space="preserve"> </w:t>
      </w:r>
      <w:r>
        <w:rPr>
          <w:b/>
        </w:rPr>
        <w:t xml:space="preserve">Предметом исследования</w:t>
      </w:r>
      <w:r>
        <w:t xml:space="preserve"> </w:t>
      </w:r>
      <w:r>
        <w:t xml:space="preserve">— методы и средства проектирования и реализации многоарендной (multi-tenant) системы управления задачами на основе современного стека технологий (NestJS, React, PostgreSQL, Redis, S3-совместимое объектное хранилище).</w:t>
      </w:r>
    </w:p>
    <w:p>
      <w:pPr>
        <w:pStyle w:val="BodyText"/>
      </w:pPr>
      <w:r>
        <w:rPr>
          <w:b/>
        </w:rPr>
        <w:t xml:space="preserve">Целью</w:t>
      </w:r>
      <w:r>
        <w:t xml:space="preserve"> </w:t>
      </w:r>
      <w:r>
        <w:t xml:space="preserve">работы является разработка прототипа системы управления задачами «TaskHub», функционально близкой к Jira, и подготовка для него полного комплекта UML-диаграмм согласно нотации UML 2.5.</w:t>
      </w:r>
    </w:p>
    <w:p>
      <w:pPr>
        <w:pStyle w:val="BodyText"/>
      </w:pPr>
      <w:r>
        <w:t xml:space="preserve">Для достижения поставленной цели сформулированы следующие</w:t>
      </w:r>
      <w:r>
        <w:t xml:space="preserve"> </w:t>
      </w:r>
      <w:r>
        <w:rPr>
          <w:b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Провести анализ предметной области и существующих решений в классе Issue Tracking Systems.</w:t>
      </w:r>
    </w:p>
    <w:p>
      <w:pPr>
        <w:numPr>
          <w:ilvl w:val="0"/>
          <w:numId w:val="1001"/>
        </w:numPr>
        <w:pStyle w:val="Compact"/>
      </w:pPr>
      <w:r>
        <w:t xml:space="preserve">Сформировать функциональные и нефункциональные требования к прототипу, выделить роли и сценарии использования.</w:t>
      </w:r>
    </w:p>
    <w:p>
      <w:pPr>
        <w:numPr>
          <w:ilvl w:val="0"/>
          <w:numId w:val="1001"/>
        </w:numPr>
        <w:pStyle w:val="Compact"/>
      </w:pPr>
      <w:r>
        <w:t xml:space="preserve">Спроектировать архитектуру системы: модульный монолит на NestJS, фронтенд-SPA на React, реляционную базу данных PostgreSQL с поддержкой Row-Level Security.</w:t>
      </w:r>
    </w:p>
    <w:p>
      <w:pPr>
        <w:numPr>
          <w:ilvl w:val="0"/>
          <w:numId w:val="1001"/>
        </w:numPr>
        <w:pStyle w:val="Compact"/>
      </w:pPr>
      <w:r>
        <w:t xml:space="preserve">Разработать модель предметной области и физическую схему БД с учётом изоляции арендаторов.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ключевые подсистемы: аутентификацию (JWT с ротацией refresh-токенов), управление задачами с Kanban-доской, спринты, комментарии, вложения, уведомления реального времени.</w:t>
      </w:r>
    </w:p>
    <w:p>
      <w:pPr>
        <w:numPr>
          <w:ilvl w:val="0"/>
          <w:numId w:val="1001"/>
        </w:numPr>
        <w:pStyle w:val="Compact"/>
      </w:pPr>
      <w:r>
        <w:t xml:space="preserve">Подготовить полный комплект UML-диаграмм: диаграмма вариантов использования, классов, ER-диаграмма, диаграммы последовательности, активности, состояний, компонентов, развёртывания и пакетов.</w:t>
      </w:r>
    </w:p>
    <w:p>
      <w:pPr>
        <w:numPr>
          <w:ilvl w:val="0"/>
          <w:numId w:val="1001"/>
        </w:numPr>
        <w:pStyle w:val="Compact"/>
      </w:pPr>
      <w:r>
        <w:t xml:space="preserve">Описать инфраструктуру развёртывания на базе Docker Compose и обратного прокси Traefik.</w:t>
      </w:r>
    </w:p>
    <w:p>
      <w:pPr>
        <w:numPr>
          <w:ilvl w:val="0"/>
          <w:numId w:val="1001"/>
        </w:numPr>
        <w:pStyle w:val="Compact"/>
      </w:pPr>
      <w:r>
        <w:t xml:space="preserve">Сформулировать выводы о применимости разработанного прототипа и наметить направления его развития.</w:t>
      </w:r>
    </w:p>
    <w:p>
      <w:pPr>
        <w:pStyle w:val="FirstParagraph"/>
      </w:pPr>
      <w:r>
        <w:rPr>
          <w:b/>
        </w:rPr>
        <w:t xml:space="preserve">Методы исследования.</w:t>
      </w:r>
      <w:r>
        <w:t xml:space="preserve"> </w:t>
      </w:r>
      <w:r>
        <w:t xml:space="preserve">В работе использованы методы системного и структурного анализа, объектно-ориентированного проектирования, моделирования с использованием унифицированного языка моделирования UML, реляционной алгебры (для проектирования БД), а также методы программной инженерии (Domain-Driven Design, layered architecture, dependency injection).</w:t>
      </w:r>
    </w:p>
    <w:p>
      <w:pPr>
        <w:pStyle w:val="BodyText"/>
      </w:pPr>
      <w:r>
        <w:rPr>
          <w:b/>
        </w:rPr>
        <w:t xml:space="preserve">Практическая значимость.</w:t>
      </w:r>
      <w:r>
        <w:t xml:space="preserve"> </w:t>
      </w:r>
      <w:r>
        <w:t xml:space="preserve">Полученный прототип может использоваться как основа для создания корпоративной системы управления задачами, а также как методический материал по проектированию многоарендных SaaS-приложений.</w:t>
      </w:r>
    </w:p>
    <w:p>
      <w:pPr>
        <w:pStyle w:val="BodyText"/>
      </w:pPr>
      <w:r>
        <w:rPr>
          <w:b/>
        </w:rPr>
        <w:t xml:space="preserve">Структура работы.</w:t>
      </w:r>
      <w:r>
        <w:t xml:space="preserve"> </w:t>
      </w:r>
      <w:r>
        <w:t xml:space="preserve">Работа состоит из введения, двух глав, заключения, списка использованных источников и приложений с UML-диаграммами. Объём основного текста — около 30 страниц.</w:t>
      </w:r>
    </w:p>
    <w:p>
      <w:pPr>
        <w:pStyle w:val="Heading1"/>
      </w:pPr>
      <w:bookmarkStart w:id="21" w:name="X63b6171103eb489e0c72b3c2d43a2324915b27c"/>
      <w:r>
        <w:t xml:space="preserve">ГЛАВА 1. АНАЛИЗ ПРЕДМЕТНОЙ ОБЛАСТИ И ПРОЕКТИРОВАНИЕ СИСТЕМЫ</w:t>
      </w:r>
      <w:bookmarkEnd w:id="21"/>
    </w:p>
    <w:p>
      <w:pPr>
        <w:pStyle w:val="Heading2"/>
      </w:pPr>
      <w:bookmarkStart w:id="22" w:name="X1d0157a700f4a4a92efc67f94bb00ae86a93ca6"/>
      <w:r>
        <w:t xml:space="preserve">1.1 Системы управления задачами как класс программного обеспечения</w:t>
      </w:r>
      <w:bookmarkEnd w:id="22"/>
    </w:p>
    <w:p>
      <w:pPr>
        <w:pStyle w:val="FirstParagraph"/>
      </w:pPr>
      <w:r>
        <w:t xml:space="preserve">Под системой управления задачами (Issue Tracking System) понимается информационная система, обеспечивающая централизованный учёт единиц работы (задач, требований, дефектов) на всём их жизненном цикле — от создания до закрытия. Ключевая абстракция таких систем —</w:t>
      </w:r>
      <w:r>
        <w:t xml:space="preserve"> </w:t>
      </w:r>
      <w:r>
        <w:rPr>
          <w:b/>
        </w:rPr>
        <w:t xml:space="preserve">issue</w:t>
      </w:r>
      <w:r>
        <w:t xml:space="preserve"> </w:t>
      </w:r>
      <w:r>
        <w:t xml:space="preserve">(задача, тикет): объект с уникальным идентификатором, ответственным, статусом, приоритетом, комментариями и историей изменений.</w:t>
      </w:r>
    </w:p>
    <w:p>
      <w:pPr>
        <w:pStyle w:val="BodyText"/>
      </w:pPr>
      <w:r>
        <w:t xml:space="preserve">В современной практике выделяются три обобщённые группы систем данного класса: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Корпоративные SaaS-решения</w:t>
      </w:r>
      <w:r>
        <w:t xml:space="preserve"> </w:t>
      </w:r>
      <w:r>
        <w:t xml:space="preserve">— Atlassian Jira Cloud, Asana, Monday, Linear. Отличаются богатой функциональностью и закрытым исходным кодом, размещаются на стороне поставщика.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Self-hosted продукты</w:t>
      </w:r>
      <w:r>
        <w:t xml:space="preserve"> </w:t>
      </w:r>
      <w:r>
        <w:t xml:space="preserve">— Jira Data Center, GitLab Issues, Redmine, YouTrack Server. Разворачиваются в инфраструктуре клиента, что критично для корпоративной информационной безопасности.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 source-решения</w:t>
      </w:r>
      <w:r>
        <w:t xml:space="preserve"> </w:t>
      </w:r>
      <w:r>
        <w:t xml:space="preserve">— OpenProject, Taiga, Kanboard. Лицензированы под свободными лицензиями (MIT, GPL), допускают модификацию под нужды организации.</w:t>
      </w:r>
    </w:p>
    <w:p>
      <w:pPr>
        <w:pStyle w:val="FirstParagraph"/>
      </w:pPr>
      <w:r>
        <w:t xml:space="preserve">Сравнительный анализ показывает, что наиболее востребованной моделью на корпоративном рынке является</w:t>
      </w:r>
      <w:r>
        <w:t xml:space="preserve"> </w:t>
      </w:r>
      <w:r>
        <w:rPr>
          <w:b/>
        </w:rPr>
        <w:t xml:space="preserve">multi-tenant SaaS</w:t>
      </w:r>
      <w:r>
        <w:t xml:space="preserve"> </w:t>
      </w:r>
      <w:r>
        <w:t xml:space="preserve">с возможностью выкатки on-premise. Именно эта архитектура позволяет одновременно обслуживать множество организаций (арендаторов, tenants) на едином программном и инфраструктурном стеке, обеспечивая при этом</w:t>
      </w:r>
      <w:r>
        <w:t xml:space="preserve"> </w:t>
      </w:r>
      <w:r>
        <w:rPr>
          <w:b/>
        </w:rPr>
        <w:t xml:space="preserve">строгую логическую изоляцию</w:t>
      </w:r>
      <w:r>
        <w:t xml:space="preserve"> </w:t>
      </w:r>
      <w:r>
        <w:t xml:space="preserve">их данных.</w:t>
      </w:r>
    </w:p>
    <w:p>
      <w:pPr>
        <w:pStyle w:val="BodyText"/>
      </w:pPr>
      <w:r>
        <w:t xml:space="preserve">Анализ функциональности промышленных систем (Jira, GitLab, Linear, YouTrack) позволил выделить следующее</w:t>
      </w:r>
      <w:r>
        <w:t xml:space="preserve"> </w:t>
      </w:r>
      <w:r>
        <w:rPr>
          <w:b/>
        </w:rPr>
        <w:t xml:space="preserve">ядро функций</w:t>
      </w:r>
      <w:r>
        <w:t xml:space="preserve">, обязательных для любой современной ITS:</w:t>
      </w:r>
    </w:p>
    <w:p>
      <w:pPr>
        <w:numPr>
          <w:ilvl w:val="0"/>
          <w:numId w:val="1003"/>
        </w:numPr>
        <w:pStyle w:val="Compact"/>
      </w:pPr>
      <w:r>
        <w:t xml:space="preserve">управление организациями, пользователями и ролями;</w:t>
      </w:r>
    </w:p>
    <w:p>
      <w:pPr>
        <w:numPr>
          <w:ilvl w:val="0"/>
          <w:numId w:val="1003"/>
        </w:numPr>
        <w:pStyle w:val="Compact"/>
      </w:pPr>
      <w:r>
        <w:t xml:space="preserve">управление проектами, в том числе настраиваемыми досками (Kanban / Scrum);</w:t>
      </w:r>
    </w:p>
    <w:p>
      <w:pPr>
        <w:numPr>
          <w:ilvl w:val="0"/>
          <w:numId w:val="1003"/>
        </w:numPr>
        <w:pStyle w:val="Compact"/>
      </w:pPr>
      <w:r>
        <w:t xml:space="preserve">управление спринтами (бэклог, активный спринт, завершённый спринт);</w:t>
      </w:r>
    </w:p>
    <w:p>
      <w:pPr>
        <w:numPr>
          <w:ilvl w:val="0"/>
          <w:numId w:val="1003"/>
        </w:numPr>
        <w:pStyle w:val="Compact"/>
      </w:pPr>
      <w:r>
        <w:t xml:space="preserve">управление задачами: создание, редактирование, перемещение по статусам, иерархия «подзадача — родительская задача»;</w:t>
      </w:r>
    </w:p>
    <w:p>
      <w:pPr>
        <w:numPr>
          <w:ilvl w:val="0"/>
          <w:numId w:val="1003"/>
        </w:numPr>
        <w:pStyle w:val="Compact"/>
      </w:pPr>
      <w:r>
        <w:t xml:space="preserve">комментарии и вложения файлов;</w:t>
      </w:r>
    </w:p>
    <w:p>
      <w:pPr>
        <w:numPr>
          <w:ilvl w:val="0"/>
          <w:numId w:val="1003"/>
        </w:numPr>
        <w:pStyle w:val="Compact"/>
      </w:pPr>
      <w:r>
        <w:t xml:space="preserve">история изменений (changelog) каждой задачи;</w:t>
      </w:r>
    </w:p>
    <w:p>
      <w:pPr>
        <w:numPr>
          <w:ilvl w:val="0"/>
          <w:numId w:val="1003"/>
        </w:numPr>
        <w:pStyle w:val="Compact"/>
      </w:pPr>
      <w:r>
        <w:t xml:space="preserve">метки (labels) и приоритеты;</w:t>
      </w:r>
    </w:p>
    <w:p>
      <w:pPr>
        <w:numPr>
          <w:ilvl w:val="0"/>
          <w:numId w:val="1003"/>
        </w:numPr>
        <w:pStyle w:val="Compact"/>
      </w:pPr>
      <w:r>
        <w:t xml:space="preserve">полнотекстовый поиск по задачам;</w:t>
      </w:r>
    </w:p>
    <w:p>
      <w:pPr>
        <w:numPr>
          <w:ilvl w:val="0"/>
          <w:numId w:val="1003"/>
        </w:numPr>
        <w:pStyle w:val="Compact"/>
      </w:pPr>
      <w:r>
        <w:t xml:space="preserve">уведомления в реальном времени (in-app + e-mail);</w:t>
      </w:r>
    </w:p>
    <w:p>
      <w:pPr>
        <w:numPr>
          <w:ilvl w:val="0"/>
          <w:numId w:val="1003"/>
        </w:numPr>
        <w:pStyle w:val="Compact"/>
      </w:pPr>
      <w:r>
        <w:t xml:space="preserve">ролевая модель доступа (RBAC);</w:t>
      </w:r>
    </w:p>
    <w:p>
      <w:pPr>
        <w:numPr>
          <w:ilvl w:val="0"/>
          <w:numId w:val="1003"/>
        </w:numPr>
        <w:pStyle w:val="Compact"/>
      </w:pPr>
      <w:r>
        <w:t xml:space="preserve">учёт планов подписки и платежей.</w:t>
      </w:r>
    </w:p>
    <w:p>
      <w:pPr>
        <w:pStyle w:val="FirstParagraph"/>
      </w:pPr>
      <w:r>
        <w:t xml:space="preserve">Прототип, разработанный в рамках настоящей работы, носит наименование</w:t>
      </w:r>
      <w:r>
        <w:t xml:space="preserve"> </w:t>
      </w:r>
      <w:r>
        <w:rPr>
          <w:b/>
        </w:rPr>
        <w:t xml:space="preserve">TaskHub</w:t>
      </w:r>
      <w:r>
        <w:t xml:space="preserve"> </w:t>
      </w:r>
      <w:r>
        <w:t xml:space="preserve">и реализует все перечисленные функции.</w:t>
      </w:r>
    </w:p>
    <w:p>
      <w:pPr>
        <w:pStyle w:val="Heading2"/>
      </w:pPr>
      <w:bookmarkStart w:id="23" w:name="Xa0152a7f7cde99a9f302179b3cfb606304a49cb"/>
      <w:r>
        <w:t xml:space="preserve">1.2 Функциональные и нефункциональные требования</w:t>
      </w:r>
      <w:bookmarkEnd w:id="23"/>
    </w:p>
    <w:p>
      <w:pPr>
        <w:pStyle w:val="Heading3"/>
      </w:pPr>
      <w:bookmarkStart w:id="24" w:name="роли-пользователей"/>
      <w:r>
        <w:t xml:space="preserve">1.2.1 Роли пользователей</w:t>
      </w:r>
      <w:bookmarkEnd w:id="24"/>
    </w:p>
    <w:p>
      <w:pPr>
        <w:pStyle w:val="FirstParagraph"/>
      </w:pPr>
      <w:r>
        <w:t xml:space="preserve">В системе предусмотрена иерархия из четырёх ролей с возрастающими полномочиями: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VIEWER</w:t>
      </w:r>
      <w:r>
        <w:t xml:space="preserve"> </w:t>
      </w:r>
      <w:r>
        <w:t xml:space="preserve">— наблюдатель, только чтение;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DEVELOPER</w:t>
      </w:r>
      <w:r>
        <w:t xml:space="preserve"> </w:t>
      </w:r>
      <w:r>
        <w:t xml:space="preserve">— может создавать и обновлять собственные задачи, оставлять комментарии;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PROJECT_MANAGER</w:t>
      </w:r>
      <w:r>
        <w:t xml:space="preserve"> </w:t>
      </w:r>
      <w:r>
        <w:t xml:space="preserve">— создаёт проекты, спринты, управляет задачами в проекте, конфигурирует доски;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ADMIN</w:t>
      </w:r>
      <w:r>
        <w:t xml:space="preserve"> </w:t>
      </w:r>
      <w:r>
        <w:t xml:space="preserve">— полный административный доступ: пользователи, биллинг, настройки арендатора.</w:t>
      </w:r>
    </w:p>
    <w:p>
      <w:pPr>
        <w:pStyle w:val="FirstParagraph"/>
      </w:pPr>
      <w:r>
        <w:t xml:space="preserve">Кроме того, выделяются</w:t>
      </w:r>
      <w:r>
        <w:t xml:space="preserve"> </w:t>
      </w:r>
      <w:r>
        <w:rPr>
          <w:b/>
        </w:rPr>
        <w:t xml:space="preserve">внешние акторы</w:t>
      </w:r>
      <w:r>
        <w:t xml:space="preserve">: незарегистрированный посетитель (Guest), платёжный шлюз ЮKassa и SMTP-сервер. Полный набор сценариев приведён на диаграмме вариантов использования (Приложение А, рисунок А.1).</w:t>
      </w:r>
    </w:p>
    <w:p>
      <w:pPr>
        <w:pStyle w:val="Heading3"/>
      </w:pPr>
      <w:bookmarkStart w:id="25" w:name="функциональные-требования"/>
      <w:r>
        <w:t xml:space="preserve">1.2.2 Функциональные требования</w:t>
      </w:r>
      <w:bookmarkEnd w:id="25"/>
    </w:p>
    <w:p>
      <w:pPr>
        <w:pStyle w:val="FirstParagraph"/>
      </w:pPr>
      <w:r>
        <w:t xml:space="preserve">Сформулированы 24 ключевых функциональных требования, сгруппированных по подсистемам (таблица 1).</w:t>
      </w:r>
    </w:p>
    <w:p>
      <w:pPr>
        <w:pStyle w:val="BodyText"/>
      </w:pPr>
      <w:r>
        <w:rPr>
          <w:b/>
        </w:rPr>
        <w:t xml:space="preserve">Таблица 1 — Перечень функциональных требований TaskHub</w:t>
      </w:r>
    </w:p>
    <w:tbl>
      <w:tblPr>
        <w:tblStyle w:val="Table"/>
        <w:tblW w:type="pct" w:w="5000.0"/>
        <w:tblLook w:firstRow="1"/>
      </w:tblPr>
      <w:tblGrid>
        <w:gridCol w:w="384"/>
        <w:gridCol w:w="1537"/>
        <w:gridCol w:w="59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Подсистема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Краткая формулировка требования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</w:t>
            </w:r>
          </w:p>
        </w:tc>
        <w:tc>
          <w:p>
            <w:pPr>
              <w:pStyle w:val="Compact"/>
              <w:jc w:val="left"/>
            </w:pPr>
            <w:r>
              <w:t xml:space="preserve">Регистрация</w:t>
            </w:r>
          </w:p>
        </w:tc>
        <w:tc>
          <w:p>
            <w:pPr>
              <w:pStyle w:val="Compact"/>
              <w:jc w:val="left"/>
            </w:pPr>
            <w:r>
              <w:t xml:space="preserve">Регистрация новой организации с автоматическим созданием администратора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</w:t>
            </w:r>
          </w:p>
        </w:tc>
        <w:tc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p>
            <w:pPr>
              <w:pStyle w:val="Compact"/>
              <w:jc w:val="left"/>
            </w:pPr>
            <w:r>
              <w:t xml:space="preserve">Вход по email/паролю, выдача access- и refresh-токенов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Ф3</w:t>
            </w:r>
          </w:p>
        </w:tc>
        <w:tc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p>
            <w:pPr>
              <w:pStyle w:val="Compact"/>
              <w:jc w:val="left"/>
            </w:pPr>
            <w:r>
              <w:t xml:space="preserve">Ротация refresh-токенов с детектированием повторного использования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Ф4</w:t>
            </w:r>
          </w:p>
        </w:tc>
        <w:tc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p>
            <w:pPr>
              <w:pStyle w:val="Compact"/>
              <w:jc w:val="left"/>
            </w:pPr>
            <w:r>
              <w:t xml:space="preserve">Безопасный выход с инвалидацией refresh-токена в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Ф5</w:t>
            </w:r>
          </w:p>
        </w:tc>
        <w:tc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p>
            <w:pPr>
              <w:pStyle w:val="Compact"/>
              <w:jc w:val="left"/>
            </w:pPr>
            <w:r>
              <w:t xml:space="preserve">Просмотр и редактирование собственного профиля, смена аватара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Ф6</w:t>
            </w:r>
          </w:p>
        </w:tc>
        <w:tc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участниками организации (приглашения, изменение ролей)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Ф7</w:t>
            </w:r>
          </w:p>
        </w:tc>
        <w:tc>
          <w:p>
            <w:pPr>
              <w:pStyle w:val="Compact"/>
              <w:jc w:val="left"/>
            </w:pPr>
            <w:r>
              <w:t xml:space="preserve">Проекты</w:t>
            </w:r>
          </w:p>
        </w:tc>
        <w:tc>
          <w:p>
            <w:pPr>
              <w:pStyle w:val="Compact"/>
              <w:jc w:val="left"/>
            </w:pPr>
            <w:r>
              <w:t xml:space="preserve">CRUD-операции над проектами, выбор типа доски (KANBAN/SCRUM)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Ф8</w:t>
            </w:r>
          </w:p>
        </w:tc>
        <w:tc>
          <w:p>
            <w:pPr>
              <w:pStyle w:val="Compact"/>
              <w:jc w:val="left"/>
            </w:pPr>
            <w:r>
              <w:t xml:space="preserve">Проекты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колонками доски (создание, переименование, удаление, порядок)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Ф9</w:t>
            </w:r>
          </w:p>
        </w:tc>
        <w:tc>
          <w:p>
            <w:pPr>
              <w:pStyle w:val="Compact"/>
              <w:jc w:val="left"/>
            </w:pPr>
            <w:r>
              <w:t xml:space="preserve">Спринты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Создание, запуск, завершение спринта, привязка задач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Ф10</w:t>
            </w:r>
          </w:p>
        </w:tc>
        <w:tc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 задачи с указанием приоритета, исполнителя, родительской задачи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Ф11</w:t>
            </w:r>
          </w:p>
        </w:tc>
        <w:tc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p>
            <w:pPr>
              <w:pStyle w:val="Compact"/>
              <w:jc w:val="left"/>
            </w:pPr>
            <w:r>
              <w:t xml:space="preserve">Изменение статуса, приоритета, исполнителя, оценки в Story 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Ф12</w:t>
            </w:r>
          </w:p>
        </w:tc>
        <w:tc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p>
            <w:pPr>
              <w:pStyle w:val="Compact"/>
              <w:jc w:val="left"/>
            </w:pPr>
            <w:r>
              <w:t xml:space="preserve">Перемещение задачи на доске с float-упорядочением и ребалансировкой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Ф13</w:t>
            </w:r>
          </w:p>
        </w:tc>
        <w:tc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p>
            <w:pPr>
              <w:pStyle w:val="Compact"/>
              <w:jc w:val="left"/>
            </w:pPr>
            <w:r>
              <w:t xml:space="preserve">Иерархия «родительская задача — подзадача»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Ф14</w:t>
            </w:r>
          </w:p>
        </w:tc>
        <w:tc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p>
            <w:pPr>
              <w:pStyle w:val="Compact"/>
              <w:jc w:val="left"/>
            </w:pPr>
            <w:r>
              <w:t xml:space="preserve">Курсорная пагинация при выборке списка задач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Ф15</w:t>
            </w:r>
          </w:p>
        </w:tc>
        <w:tc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  <w:tc>
          <w:p>
            <w:pPr>
              <w:pStyle w:val="Compact"/>
              <w:jc w:val="left"/>
            </w:pPr>
            <w:r>
              <w:t xml:space="preserve">Добавление и просмотр комментариев к задаче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Ф16</w:t>
            </w:r>
          </w:p>
        </w:tc>
        <w:tc>
          <w:p>
            <w:pPr>
              <w:pStyle w:val="Compact"/>
              <w:jc w:val="left"/>
            </w:pPr>
            <w:r>
              <w:t xml:space="preserve">Вложения</w:t>
            </w:r>
          </w:p>
        </w:tc>
        <w:tc>
          <w:p>
            <w:pPr>
              <w:pStyle w:val="Compact"/>
              <w:jc w:val="left"/>
            </w:pPr>
            <w:r>
              <w:t xml:space="preserve">Загрузка файлов через presigned-URL в S3-совместимое хранилище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Ф17</w:t>
            </w:r>
          </w:p>
        </w:tc>
        <w:tc>
          <w:p>
            <w:pPr>
              <w:pStyle w:val="Compact"/>
              <w:jc w:val="left"/>
            </w:pPr>
            <w:r>
              <w:t xml:space="preserve">Журналы</w:t>
            </w:r>
          </w:p>
        </w:tc>
        <w:tc>
          <w:p>
            <w:pPr>
              <w:pStyle w:val="Compact"/>
              <w:jc w:val="left"/>
            </w:pPr>
            <w:r>
              <w:t xml:space="preserve">Запись в changelog при изменении ключевых полей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Ф18</w:t>
            </w:r>
          </w:p>
        </w:tc>
        <w:tc>
          <w:p>
            <w:pPr>
              <w:pStyle w:val="Compact"/>
              <w:jc w:val="left"/>
            </w:pPr>
            <w:r>
              <w:t xml:space="preserve">Метки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 меток арендатора, привязка нескольких меток к задаче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Ф19</w:t>
            </w:r>
          </w:p>
        </w:tc>
        <w:tc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p>
            <w:pPr>
              <w:pStyle w:val="Compact"/>
              <w:jc w:val="left"/>
            </w:pPr>
            <w:r>
              <w:t xml:space="preserve">Полнотекстовый поиск по задачам с поддержкой русской морфологии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Ф20</w:t>
            </w:r>
          </w:p>
        </w:tc>
        <w:tc>
          <w:p>
            <w:pPr>
              <w:pStyle w:val="Compact"/>
              <w:jc w:val="left"/>
            </w:pPr>
            <w:r>
              <w:t xml:space="preserve">Уведомления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 уведомления при назначении задачи, обновлении, новом комментарии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Ф21</w:t>
            </w:r>
          </w:p>
        </w:tc>
        <w:tc>
          <w:p>
            <w:pPr>
              <w:pStyle w:val="Compact"/>
              <w:jc w:val="left"/>
            </w:pPr>
            <w:r>
              <w:t xml:space="preserve">Уведомления</w:t>
            </w:r>
          </w:p>
        </w:tc>
        <w:tc>
          <w:p>
            <w:pPr>
              <w:pStyle w:val="Compact"/>
              <w:jc w:val="left"/>
            </w:pPr>
            <w:r>
              <w:t xml:space="preserve">Доставка уведомлений через WebSocket и e-mail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Ф22</w:t>
            </w:r>
          </w:p>
        </w:tc>
        <w:tc>
          <w:p>
            <w:pPr>
              <w:pStyle w:val="Compact"/>
              <w:jc w:val="left"/>
            </w:pPr>
            <w:r>
              <w:t xml:space="preserve">Биллинг</w:t>
            </w:r>
          </w:p>
        </w:tc>
        <w:tc>
          <w:p>
            <w:pPr>
              <w:pStyle w:val="Compact"/>
              <w:jc w:val="left"/>
            </w:pPr>
            <w:r>
              <w:t xml:space="preserve">Платежи через ЮKassa с подтверждением через webhook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Ф23</w:t>
            </w:r>
          </w:p>
        </w:tc>
        <w:tc>
          <w:p>
            <w:pPr>
              <w:pStyle w:val="Compact"/>
              <w:jc w:val="left"/>
            </w:pPr>
            <w:r>
              <w:t xml:space="preserve">Биллинг</w:t>
            </w:r>
          </w:p>
        </w:tc>
        <w:tc>
          <w:p>
            <w:pPr>
              <w:pStyle w:val="Compact"/>
              <w:jc w:val="left"/>
            </w:pPr>
            <w:r>
              <w:t xml:space="preserve">Контроль лимитов плана (PlanGuard) при создании пользователей и задач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Ф24</w:t>
            </w:r>
          </w:p>
        </w:tc>
        <w:tc>
          <w:p>
            <w:pPr>
              <w:pStyle w:val="Compact"/>
              <w:jc w:val="left"/>
            </w:pPr>
            <w:r>
              <w:t xml:space="preserve">Мониторинг</w:t>
            </w:r>
          </w:p>
        </w:tc>
        <w:tc>
          <w:p>
            <w:pPr>
              <w:pStyle w:val="Compact"/>
              <w:jc w:val="left"/>
            </w:pPr>
            <w:r>
              <w:t xml:space="preserve">Health-check эндпойнт, проверяющий БД и Redis</w:t>
            </w:r>
          </w:p>
        </w:tc>
      </w:tr>
    </w:tbl>
    <w:p>
      <w:pPr>
        <w:pStyle w:val="Heading3"/>
      </w:pPr>
      <w:bookmarkStart w:id="26" w:name="нефункциональные-требования"/>
      <w:r>
        <w:t xml:space="preserve">1.2.3 Нефункциональные требования</w:t>
      </w:r>
      <w:bookmarkEnd w:id="26"/>
    </w:p>
    <w:p>
      <w:pPr>
        <w:pStyle w:val="FirstParagraph"/>
      </w:pPr>
      <w:r>
        <w:t xml:space="preserve">К нефункциональным требованиям прототипа отнесены: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Изоляция данных</w:t>
      </w:r>
      <w:r>
        <w:t xml:space="preserve">: ни при каких условиях запрос пользователя одного арендатора не должен возвращать данные другого арендатора. Реализация — Row-Level Security PostgreSQL.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Производительность</w:t>
      </w:r>
      <w:r>
        <w:t xml:space="preserve">: время ответа REST-API при типовой нагрузке — не более 200 мс P95.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Масштабируемость</w:t>
      </w:r>
      <w:r>
        <w:t xml:space="preserve">: stateless-сервер приложения (sessions хранятся в Redis), горизонтальное масштабирование за обратным прокси.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Безопасность</w:t>
      </w:r>
      <w:r>
        <w:t xml:space="preserve">: пароли хранятся в виде хэшей bcrypt с настраиваемым cost; токены подписываются HMAC-SHA256.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Сопровождаемость</w:t>
      </w:r>
      <w:r>
        <w:t xml:space="preserve">: модульный монолит, строгая типизация TypeScript, автоматизированная валидация входных данных через Zod и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Локализация</w:t>
      </w:r>
      <w:r>
        <w:t xml:space="preserve">: интерфейс и поиск поддерживают русский и английский языки.</w:t>
      </w:r>
    </w:p>
    <w:p>
      <w:pPr>
        <w:pStyle w:val="Heading2"/>
      </w:pPr>
      <w:bookmarkStart w:id="27" w:name="архитектура-системы"/>
      <w:r>
        <w:t xml:space="preserve">1.3 Архитектура системы</w:t>
      </w:r>
      <w:bookmarkEnd w:id="27"/>
    </w:p>
    <w:p>
      <w:pPr>
        <w:pStyle w:val="Heading3"/>
      </w:pPr>
      <w:bookmarkStart w:id="28" w:name="стиль-архитектуры"/>
      <w:r>
        <w:t xml:space="preserve">1.3.1 Стиль архитектуры</w:t>
      </w:r>
      <w:bookmarkEnd w:id="28"/>
    </w:p>
    <w:p>
      <w:pPr>
        <w:pStyle w:val="FirstParagraph"/>
      </w:pPr>
      <w:r>
        <w:t xml:space="preserve">В качестве стиля архитектуры выбран</w:t>
      </w:r>
      <w:r>
        <w:t xml:space="preserve"> </w:t>
      </w:r>
      <w:r>
        <w:rPr>
          <w:b/>
        </w:rPr>
        <w:t xml:space="preserve">модульный монолит</w:t>
      </w:r>
      <w:r>
        <w:t xml:space="preserve"> </w:t>
      </w:r>
      <w:r>
        <w:t xml:space="preserve">с явным разделением на слои:</w:t>
      </w:r>
      <w:r>
        <w:t xml:space="preserve"> </w:t>
      </w:r>
      <w:r>
        <w:t xml:space="preserve">- слой представления (HTTP-контроллеры, WebSocket-шлюзы);</w:t>
      </w:r>
      <w:r>
        <w:t xml:space="preserve"> </w:t>
      </w:r>
      <w:r>
        <w:t xml:space="preserve">- слой бизнес-логики (сервисы);</w:t>
      </w:r>
      <w:r>
        <w:t xml:space="preserve"> </w:t>
      </w:r>
      <w:r>
        <w:t xml:space="preserve">- слой доступа к данным (TypeORM-репозитории и сущности);</w:t>
      </w:r>
      <w:r>
        <w:t xml:space="preserve"> </w:t>
      </w:r>
      <w:r>
        <w:t xml:space="preserve">- инфраструктурный слой (Redis, MinIO, SMTP, JWT, EventEmitter).</w:t>
      </w:r>
    </w:p>
    <w:p>
      <w:pPr>
        <w:pStyle w:val="BodyText"/>
      </w:pPr>
      <w:r>
        <w:t xml:space="preserve">Такой выбор обусловлен компромиссом между сложностью разработки и поддержкой: микросервисная архитектура для прототипа избыточна, а монолитный подход в чистом виде ведёт к высокой связности кода. Модульный монолит, реализуемый средствами фреймворка NestJS, даёт возможность в дальнейшем выделить любой модуль в отдельный микросервис без переписывания.</w:t>
      </w:r>
    </w:p>
    <w:p>
      <w:pPr>
        <w:pStyle w:val="Heading3"/>
      </w:pPr>
      <w:bookmarkStart w:id="29" w:name="технологический-стек"/>
      <w:r>
        <w:t xml:space="preserve">1.3.2 Технологический стек</w:t>
      </w:r>
      <w:bookmarkEnd w:id="29"/>
    </w:p>
    <w:p>
      <w:pPr>
        <w:pStyle w:val="FirstParagraph"/>
      </w:pPr>
      <w:r>
        <w:rPr>
          <w:b/>
        </w:rPr>
        <w:t xml:space="preserve">Backend</w:t>
      </w:r>
      <w:r>
        <w:t xml:space="preserve"> </w:t>
      </w:r>
      <w:r>
        <w:t xml:space="preserve">— NestJS 10 поверх Node.js 20. Преимущества: декларативный DI-контейнер; декораторы для контроллеров, guards, pipes; встроенная поддержка WebSocket; модульная организация. ORM — TypeORM с явной декларацией сущностей и миграций.</w:t>
      </w:r>
    </w:p>
    <w:p>
      <w:pPr>
        <w:pStyle w:val="BodyText"/>
      </w:pPr>
      <w:r>
        <w:rPr>
          <w:b/>
        </w:rPr>
        <w:t xml:space="preserve">Frontend</w:t>
      </w:r>
      <w:r>
        <w:t xml:space="preserve"> </w:t>
      </w:r>
      <w:r>
        <w:t xml:space="preserve">— React 18 в связке со сборщиком Vite 5; маршрутизация — React Router v6 с lazy-загрузкой страниц; глобальное состояние — Zustand; запросы к API — нативный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через тонкую обёртку с автоматической подстановкой access-токена.</w:t>
      </w:r>
    </w:p>
    <w:p>
      <w:pPr>
        <w:pStyle w:val="BodyText"/>
      </w:pPr>
      <w:r>
        <w:rPr>
          <w:b/>
        </w:rPr>
        <w:t xml:space="preserve">Хранилище данных</w:t>
      </w:r>
      <w:r>
        <w:t xml:space="preserve"> </w:t>
      </w:r>
      <w:r>
        <w:t xml:space="preserve">— PostgreSQL 16 с расширениями</w:t>
      </w:r>
      <w:r>
        <w:t xml:space="preserve"> </w:t>
      </w:r>
      <w:r>
        <w:rPr>
          <w:rStyle w:val="VerbatimChar"/>
        </w:rPr>
        <w:t xml:space="preserve">uuid-ossp</w:t>
      </w:r>
      <w:r>
        <w:t xml:space="preserve"> </w:t>
      </w:r>
      <w:r>
        <w:t xml:space="preserve">(генерация UUIDv4) и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(триграммный поиск). Для индексации полнотекстовой выборки используется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с поддержкой русской и английской морфологии. Для кэша и хранения refresh-токенов — Redis 7. Для файловых вложений — MinIO (совместимый с протоколом Amazon S3).</w:t>
      </w:r>
    </w:p>
    <w:p>
      <w:pPr>
        <w:pStyle w:val="BodyText"/>
      </w:pPr>
      <w:r>
        <w:rPr>
          <w:b/>
        </w:rPr>
        <w:t xml:space="preserve">Инфраструктура</w:t>
      </w:r>
      <w:r>
        <w:t xml:space="preserve"> </w:t>
      </w:r>
      <w:r>
        <w:t xml:space="preserve">— Docker Compose, обратный прокси Traefik 3, реализующий маршрутизацию по subdomain (</w:t>
      </w:r>
      <w:r>
        <w:rPr>
          <w:rStyle w:val="VerbatimChar"/>
        </w:rPr>
        <w:t xml:space="preserve">acme.app.localhost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api.app.localhost</w:t>
      </w:r>
      <w:r>
        <w:t xml:space="preserve"> </w:t>
      </w:r>
      <w:r>
        <w:t xml:space="preserve">и т. д.). Развёртывание описано в подразделе 2.7 и проиллюстрировано на диаграмме развёртывания (Приложение А, рисунок А.11).</w:t>
      </w:r>
    </w:p>
    <w:p>
      <w:pPr>
        <w:pStyle w:val="Heading3"/>
      </w:pPr>
      <w:bookmarkStart w:id="30" w:name="архитектурные-решения"/>
      <w:r>
        <w:t xml:space="preserve">1.3.3 Архитектурные решения</w:t>
      </w:r>
      <w:bookmarkEnd w:id="30"/>
    </w:p>
    <w:p>
      <w:pPr>
        <w:pStyle w:val="FirstParagraph"/>
      </w:pPr>
      <w:r>
        <w:t xml:space="preserve">Принципиальные решения, заложенные в архитектуру TaskHub, представлены ниже.</w:t>
      </w:r>
    </w:p>
    <w:p>
      <w:pPr>
        <w:pStyle w:val="BodyText"/>
      </w:pPr>
      <w:r>
        <w:rPr>
          <w:b/>
        </w:rPr>
        <w:t xml:space="preserve">1. Multi-tenant с использованием Row-Level Security.</w:t>
      </w:r>
      <w:r>
        <w:t xml:space="preserve"> </w:t>
      </w:r>
      <w:r>
        <w:t xml:space="preserve">Каждая запись в таблицах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и т. д. содержит столбец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Перед выполнением запросов middleware устанавливает</w:t>
      </w:r>
      <w:r>
        <w:t xml:space="preserve"> </w:t>
      </w:r>
      <w:r>
        <w:rPr>
          <w:rStyle w:val="VerbatimChar"/>
        </w:rPr>
        <w:t xml:space="preserve">SET LOCAL app.tenant_id = '&lt;uuid&gt;'</w:t>
      </w:r>
      <w:r>
        <w:t xml:space="preserve">, после чего политики RLS обеспечивают, что таблица «видит» только строки текущего арендатора. Этот приём (так называемая</w:t>
      </w:r>
      <w:r>
        <w:t xml:space="preserve"> </w:t>
      </w:r>
      <w:r>
        <w:rPr>
          <w:i/>
        </w:rPr>
        <w:t xml:space="preserve">single database, shared schema</w:t>
      </w:r>
      <w:r>
        <w:t xml:space="preserve">-модель) позволяет совмещать высокую плотность размещения с гарантией изоляции на уровне СУБД.</w:t>
      </w:r>
    </w:p>
    <w:p>
      <w:pPr>
        <w:pStyle w:val="BodyText"/>
      </w:pPr>
      <w:r>
        <w:rPr>
          <w:b/>
        </w:rPr>
        <w:t xml:space="preserve">2. Event-driven подход к побочным эффектам.</w:t>
      </w:r>
      <w:r>
        <w:t xml:space="preserve"> </w:t>
      </w:r>
      <w:r>
        <w:t xml:space="preserve">Сервисы предметной области не вызывают друг друга напрямую. Вместо этого они публикуют события через</w:t>
      </w:r>
      <w:r>
        <w:t xml:space="preserve"> </w:t>
      </w:r>
      <w:r>
        <w:rPr>
          <w:rStyle w:val="VerbatimChar"/>
        </w:rPr>
        <w:t xml:space="preserve">@nestjs/event-emitter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issue.created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issue.assigned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comment.added</w:t>
      </w:r>
      <w:r>
        <w:t xml:space="preserve">). Подписчиками выступают модули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(создание in-app уведомлений и WebSocket-broadcast),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(отправка писем),</w:t>
      </w:r>
      <w:r>
        <w:t xml:space="preserve"> </w:t>
      </w:r>
      <w:r>
        <w:rPr>
          <w:rStyle w:val="VerbatimChar"/>
        </w:rPr>
        <w:t xml:space="preserve">Issues.Gateway</w:t>
      </w:r>
      <w:r>
        <w:t xml:space="preserve"> </w:t>
      </w:r>
      <w:r>
        <w:t xml:space="preserve">(трансляция WS-событий клиентам). Это позволяет добавлять новые реакции на события без модификации основной бизнес-логики (соблюдение принципа Open/Closed).</w:t>
      </w:r>
    </w:p>
    <w:p>
      <w:pPr>
        <w:pStyle w:val="BodyText"/>
      </w:pPr>
      <w:r>
        <w:rPr>
          <w:b/>
        </w:rPr>
        <w:t xml:space="preserve">3. JWT с ротацией refresh-токенов.</w:t>
      </w:r>
      <w:r>
        <w:t xml:space="preserve"> </w:t>
      </w:r>
      <w:r>
        <w:t xml:space="preserve">Access-токен — короткоживущий (15 минут), хранится в памяти SPA. Refresh-токен — долгоживущий (7 дней), хранится в Redis в виде «активный → отпечаток». При обновлении пары токенов старый refresh-токен немедленно инвалидируется; повторное обращение с тем же refresh-токеном расценивается как компрометация и приводит к глобальному отзыву всей сессии пользователя. Этот механизм описан в RFC 6819 как</w:t>
      </w:r>
      <w:r>
        <w:t xml:space="preserve"> </w:t>
      </w:r>
      <w:r>
        <w:rPr>
          <w:i/>
        </w:rPr>
        <w:t xml:space="preserve">refresh token reuse detection</w:t>
      </w:r>
      <w:r>
        <w:t xml:space="preserve">.</w:t>
      </w:r>
    </w:p>
    <w:p>
      <w:pPr>
        <w:pStyle w:val="BodyText"/>
      </w:pPr>
      <w:r>
        <w:rPr>
          <w:b/>
        </w:rPr>
        <w:t xml:space="preserve">4. Float-упорядочивание задач на Kanban-доске.</w:t>
      </w:r>
      <w:r>
        <w:t xml:space="preserve"> </w:t>
      </w:r>
      <w:r>
        <w:t xml:space="preserve">Чтобы избежать пересохранения всех задач в колонке при перетаскивании одной из них, поле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DOUBLE PRECISION</w:t>
      </w:r>
      <w:r>
        <w:t xml:space="preserve">. Новой позиции присваивается среднее арифметическое порядков соседних задач. При исчерпании числовой точности запускается процедура</w:t>
      </w:r>
      <w:r>
        <w:t xml:space="preserve"> </w:t>
      </w:r>
      <w:r>
        <w:rPr>
          <w:b/>
        </w:rPr>
        <w:t xml:space="preserve">ребалансировки</w:t>
      </w:r>
      <w:r>
        <w:t xml:space="preserve"> </w:t>
      </w:r>
      <w:r>
        <w:t xml:space="preserve">— все задачи в колонке получают новые равномерно распределённые значения. Подробное описание алгоритма приведено в подразделе 2.3.</w:t>
      </w:r>
    </w:p>
    <w:p>
      <w:pPr>
        <w:pStyle w:val="BodyText"/>
      </w:pPr>
      <w:r>
        <w:rPr>
          <w:b/>
        </w:rPr>
        <w:t xml:space="preserve">5. Курсорная пагинация.</w:t>
      </w:r>
      <w:r>
        <w:t xml:space="preserve"> </w:t>
      </w:r>
      <w:r>
        <w:t xml:space="preserve">Для больших списков задач API возвращает не порядковую страницу, а курсор (закодированную пару</w:t>
      </w:r>
      <w:r>
        <w:t xml:space="preserve"> </w:t>
      </w:r>
      <w:r>
        <w:rPr>
          <w:rStyle w:val="VerbatimChar"/>
        </w:rPr>
        <w:t xml:space="preserve">(updated_at, id)</w:t>
      </w:r>
      <w:r>
        <w:t xml:space="preserve">). Это устраняет проблему «скачка строк» при добавлении или изменении задач между обращениями клиента.</w:t>
      </w:r>
    </w:p>
    <w:p>
      <w:pPr>
        <w:pStyle w:val="BodyText"/>
      </w:pPr>
      <w:r>
        <w:rPr>
          <w:b/>
        </w:rPr>
        <w:t xml:space="preserve">6. Presigned URL для загрузки файлов.</w:t>
      </w:r>
      <w:r>
        <w:t xml:space="preserve"> </w:t>
      </w:r>
      <w:r>
        <w:t xml:space="preserve">Сервер не выступает прокси для бинарных потоков: он лишь подписывает URL для прямой загрузки в MinIO, что разгружает Node.js-процесс и позволяет масштабировать загрузку независимо от API.</w:t>
      </w:r>
    </w:p>
    <w:p>
      <w:pPr>
        <w:pStyle w:val="Heading2"/>
      </w:pPr>
      <w:bookmarkStart w:id="31" w:name="модель-предметной-области"/>
      <w:r>
        <w:t xml:space="preserve">1.4 Модель предметной области</w:t>
      </w:r>
      <w:bookmarkEnd w:id="31"/>
    </w:p>
    <w:p>
      <w:pPr>
        <w:pStyle w:val="FirstParagraph"/>
      </w:pPr>
      <w:r>
        <w:t xml:space="preserve">Модель предметной области, изображённая на диаграмме классов (Приложение А, рисунок А.2), включает 11 сущностей, объединённых в три кластера: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Арендатор и пользователи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Структура работы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Активность вокруг задачи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IssueComment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.</w:t>
      </w:r>
    </w:p>
    <w:p>
      <w:pPr>
        <w:pStyle w:val="FirstParagraph"/>
      </w:pPr>
      <w:r>
        <w:t xml:space="preserve">Перечислим основные ассоциации: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Tenant 1 — N User</w:t>
      </w:r>
      <w:r>
        <w:t xml:space="preserve"> </w:t>
      </w:r>
      <w:r>
        <w:t xml:space="preserve">(агрегация);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Tenant 1 — N 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 1 — N 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 1 — N Notification</w:t>
      </w:r>
      <w:r>
        <w:t xml:space="preserve"> </w:t>
      </w:r>
      <w:r>
        <w:t xml:space="preserve">(композиция, каскадное удаление);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Project 1 — N BoardColumn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Project 1 — N Sprint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Project 1 — N Issue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Sprint 0..1 — N Issue</w:t>
      </w:r>
      <w:r>
        <w:t xml:space="preserve"> </w:t>
      </w:r>
      <w:r>
        <w:t xml:space="preserve">(задача может находиться в бэклоге, тогда</w:t>
      </w:r>
      <w:r>
        <w:t xml:space="preserve"> </w:t>
      </w:r>
      <w:r>
        <w:rPr>
          <w:rStyle w:val="VerbatimChar"/>
        </w:rPr>
        <w:t xml:space="preserve">sprint_id IS NULL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Issue 0..1 — N Issue</w:t>
      </w:r>
      <w:r>
        <w:t xml:space="preserve"> </w:t>
      </w:r>
      <w:r>
        <w:t xml:space="preserve">(рекурсивная самоассоциация «родительская задача»);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 1 — N Issue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reporter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 0..1 — N Issue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Issue 1 — N IssueComment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 1 — N IssueAttachment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 1 — N IssueChangelog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Issue M — N Label</w:t>
      </w:r>
      <w:r>
        <w:t xml:space="preserve"> </w:t>
      </w:r>
      <w:r>
        <w:t xml:space="preserve">через ассоциативную таблицу</w:t>
      </w:r>
      <w:r>
        <w:t xml:space="preserve"> </w:t>
      </w:r>
      <w:r>
        <w:rPr>
          <w:rStyle w:val="VerbatimChar"/>
        </w:rPr>
        <w:t xml:space="preserve">issue_labels</w:t>
      </w:r>
      <w:r>
        <w:t xml:space="preserve">.</w:t>
      </w:r>
    </w:p>
    <w:p>
      <w:pPr>
        <w:pStyle w:val="FirstParagraph"/>
      </w:pPr>
      <w:r>
        <w:t xml:space="preserve">Перечисления (enum-ы), используемые в модели:</w:t>
      </w:r>
      <w:r>
        <w:t xml:space="preserve"> </w:t>
      </w:r>
      <w:r>
        <w:rPr>
          <w:rStyle w:val="VerbatimChar"/>
        </w:rPr>
        <w:t xml:space="preserve">PlanType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NotificationType</w:t>
      </w:r>
      <w:r>
        <w:t xml:space="preserve">. Статус задачи</w:t>
      </w:r>
      <w:r>
        <w:t xml:space="preserve"> </w:t>
      </w:r>
      <w:r>
        <w:rPr>
          <w:rStyle w:val="VerbatimChar"/>
        </w:rPr>
        <w:t xml:space="preserve">Issue.status</w:t>
      </w:r>
      <w:r>
        <w:t xml:space="preserve"> </w:t>
      </w:r>
      <w:r>
        <w:t xml:space="preserve">намеренно реализован строкой, а не enum, чтобы каждый проект мог настроить собственный набор колонок (статусов) на доске.</w:t>
      </w:r>
    </w:p>
    <w:p>
      <w:pPr>
        <w:pStyle w:val="Heading2"/>
      </w:pPr>
      <w:bookmarkStart w:id="32" w:name="проектирование-базы-данных"/>
      <w:r>
        <w:t xml:space="preserve">1.5 Проектирование базы данных</w:t>
      </w:r>
      <w:bookmarkEnd w:id="32"/>
    </w:p>
    <w:p>
      <w:pPr>
        <w:pStyle w:val="FirstParagraph"/>
      </w:pPr>
      <w:r>
        <w:t xml:space="preserve">Физическая схема базы данных представлена ER-диаграммой (Приложение А, рисунок А.3). Основные особенности схемы: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Идентификаторы</w:t>
      </w:r>
      <w:r>
        <w:t xml:space="preserve"> </w:t>
      </w:r>
      <w:r>
        <w:t xml:space="preserve">— UUIDv4, сгенерированные функцией</w:t>
      </w:r>
      <w:r>
        <w:t xml:space="preserve"> </w:t>
      </w:r>
      <w:r>
        <w:rPr>
          <w:rStyle w:val="VerbatimChar"/>
        </w:rPr>
        <w:t xml:space="preserve">uuid_generate_v4()</w:t>
      </w:r>
      <w:r>
        <w:t xml:space="preserve"> </w:t>
      </w:r>
      <w:r>
        <w:t xml:space="preserve">(предотвращает коллизии при будущем шардировании);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Каскадные правила</w:t>
      </w:r>
      <w:r>
        <w:t xml:space="preserve">: удаление арендатора каскадно удаляет всех его пользователей, проекты, метки; удаление проекта каскадно удаляет колонки, спринты и задачи; удаление задачи каскадно удаляет её комментарии, вложения и записи changelog;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Уникальные ограничения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users(tenant_id, email)</w:t>
      </w:r>
      <w:r>
        <w:t xml:space="preserve"> </w:t>
      </w:r>
      <w:r>
        <w:t xml:space="preserve">— один и тот же e-mail можно использовать в разных арендаторах;</w:t>
      </w:r>
      <w:r>
        <w:t xml:space="preserve"> </w:t>
      </w:r>
      <w:r>
        <w:rPr>
          <w:rStyle w:val="VerbatimChar"/>
        </w:rPr>
        <w:t xml:space="preserve">projects(tenant_id, key)</w:t>
      </w:r>
      <w:r>
        <w:t xml:space="preserve"> </w:t>
      </w:r>
      <w:r>
        <w:t xml:space="preserve">— короткий ключ проекта (например,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) уникален внутри арендатора;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Полнотекстовый индекс</w:t>
      </w:r>
      <w:r>
        <w:t xml:space="preserve"> </w:t>
      </w:r>
      <w:r>
        <w:t xml:space="preserve">— GIN-индекс по столбцу</w:t>
      </w:r>
      <w:r>
        <w:t xml:space="preserve"> </w:t>
      </w:r>
      <w:r>
        <w:rPr>
          <w:rStyle w:val="VerbatimChar"/>
        </w:rPr>
        <w:t xml:space="preserve">issues.search_vector</w:t>
      </w:r>
      <w:r>
        <w:t xml:space="preserve">, который автоматически пересчитывается триггером</w:t>
      </w:r>
      <w:r>
        <w:t xml:space="preserve"> </w:t>
      </w:r>
      <w:r>
        <w:rPr>
          <w:rStyle w:val="VerbatimChar"/>
        </w:rPr>
        <w:t xml:space="preserve">issues_search_trigger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Поддерживающие индексы</w:t>
      </w:r>
      <w:r>
        <w:t xml:space="preserve"> </w:t>
      </w:r>
      <w:r>
        <w:t xml:space="preserve">— по</w:t>
      </w:r>
      <w:r>
        <w:t xml:space="preserve"> </w:t>
      </w:r>
      <w:r>
        <w:rPr>
          <w:rStyle w:val="VerbatimChar"/>
        </w:rPr>
        <w:t xml:space="preserve">(tenant_id, project_id)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sprint_id</w:t>
      </w:r>
      <w:r>
        <w:t xml:space="preserve"> </w:t>
      </w:r>
      <w:r>
        <w:t xml:space="preserve">для ускорения характерных запросов («задачи проекта», «задачи пользователя», «задачи спринта»);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Row-Level Security</w:t>
      </w:r>
      <w:r>
        <w:t xml:space="preserve"> </w:t>
      </w:r>
      <w:r>
        <w:t xml:space="preserve">— включена для всех таблиц, содержащих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(прямо или транзитивно через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/</w:t>
      </w:r>
      <w:r>
        <w:rPr>
          <w:rStyle w:val="VerbatimChar"/>
        </w:rPr>
        <w:t xml:space="preserve">issue_id</w:t>
      </w:r>
      <w:r>
        <w:t xml:space="preserve">).</w:t>
      </w:r>
    </w:p>
    <w:p>
      <w:pPr>
        <w:pStyle w:val="FirstParagraph"/>
      </w:pPr>
      <w:r>
        <w:t xml:space="preserve">Для изменений схемы используются миграции TypeORM, что обеспечивает воспроизводимость развёртывания на разных окружениях.</w:t>
      </w:r>
    </w:p>
    <w:p>
      <w:pPr>
        <w:pStyle w:val="Heading2"/>
      </w:pPr>
      <w:bookmarkStart w:id="33" w:name="архитектурные-шаблоны"/>
      <w:r>
        <w:t xml:space="preserve">1.6 Архитектурные шаблоны</w:t>
      </w:r>
      <w:bookmarkEnd w:id="33"/>
    </w:p>
    <w:p>
      <w:pPr>
        <w:pStyle w:val="FirstParagraph"/>
      </w:pPr>
      <w:r>
        <w:t xml:space="preserve">В реализации применены следующие шаблоны проектирования: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Layered Architecture</w:t>
      </w:r>
      <w:r>
        <w:t xml:space="preserve"> </w:t>
      </w:r>
      <w:r>
        <w:t xml:space="preserve">— чёткое разделение на слои (контроллер → сервис → репозиторий → БД).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Dependency Injection</w:t>
      </w:r>
      <w:r>
        <w:t xml:space="preserve"> </w:t>
      </w:r>
      <w:r>
        <w:t xml:space="preserve">— реализуется DI-контейнером NestJS; сервисы внедряются в контроллеры конструкторами.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Repository</w:t>
      </w:r>
      <w:r>
        <w:t xml:space="preserve"> </w:t>
      </w:r>
      <w:r>
        <w:t xml:space="preserve">— TypeORM</w:t>
      </w:r>
      <w:r>
        <w:t xml:space="preserve"> </w:t>
      </w:r>
      <w:r>
        <w:rPr>
          <w:rStyle w:val="VerbatimChar"/>
        </w:rPr>
        <w:t xml:space="preserve">Repository&lt;T&gt;</w:t>
      </w:r>
      <w:r>
        <w:t xml:space="preserve"> </w:t>
      </w:r>
      <w:r>
        <w:t xml:space="preserve">инкапсулирует доступ к таблицам.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Strategy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JwtStrategy</w:t>
      </w:r>
      <w:r>
        <w:t xml:space="preserve"> </w:t>
      </w:r>
      <w:r>
        <w:t xml:space="preserve">(Passport) описывает извлечение и проверку токена.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Guard / Chain of Responsibility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PlanGuard</w:t>
      </w:r>
      <w:r>
        <w:t xml:space="preserve">. Каждый guard либо пропускает запрос, либо отклоняет его.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Observer / Publish-Subscribe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EventEmitterModule</w:t>
      </w:r>
      <w:r>
        <w:t xml:space="preserve"> </w:t>
      </w:r>
      <w:r>
        <w:t xml:space="preserve">распространяет события между модулями.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Decorator</w:t>
      </w:r>
      <w:r>
        <w:t xml:space="preserve"> </w:t>
      </w:r>
      <w:r>
        <w:t xml:space="preserve">— все контроллеры, guards, role-проверки описываются TypeScript-декораторами.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Singleton</w:t>
      </w:r>
      <w:r>
        <w:t xml:space="preserve"> </w:t>
      </w:r>
      <w:r>
        <w:t xml:space="preserve">— все сервисы по умолчанию singletons в DI-контейнере (область видимости</w:t>
      </w:r>
      <w:r>
        <w:t xml:space="preserve"> </w:t>
      </w:r>
      <w:r>
        <w:rPr>
          <w:rStyle w:val="VerbatimChar"/>
        </w:rPr>
        <w:t xml:space="preserve">Scope.DEFAULT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Factory</w:t>
      </w:r>
      <w:r>
        <w:t xml:space="preserve"> </w:t>
      </w:r>
      <w:r>
        <w:t xml:space="preserve">— фабрики опций (</w:t>
      </w:r>
      <w:r>
        <w:rPr>
          <w:rStyle w:val="VerbatimChar"/>
        </w:rPr>
        <w:t xml:space="preserve">useFactory</w:t>
      </w:r>
      <w:r>
        <w:t xml:space="preserve">) для асинхронной конфигурации</w:t>
      </w:r>
      <w:r>
        <w:t xml:space="preserve"> </w:t>
      </w:r>
      <w:r>
        <w:rPr>
          <w:rStyle w:val="VerbatimChar"/>
        </w:rPr>
        <w:t xml:space="preserve">TypeOrmModule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JwtModule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RedisModule</w:t>
      </w:r>
      <w:r>
        <w:t xml:space="preserve">.</w:t>
      </w:r>
    </w:p>
    <w:p>
      <w:pPr>
        <w:pStyle w:val="FirstParagraph"/>
      </w:pPr>
      <w:r>
        <w:t xml:space="preserve">Применение этих шаблонов даёт высокую связность внутри модуля и низкую связанность между модулями, что положительно сказывается на сопровождаемости и расширяемости системы.</w:t>
      </w:r>
    </w:p>
    <w:p>
      <w:pPr>
        <w:pStyle w:val="Heading1"/>
      </w:pPr>
      <w:bookmarkStart w:id="34" w:name="X0331f32fcbaf4e6de01ad2476be5e6d2ce1a5f5"/>
      <w:r>
        <w:t xml:space="preserve">ГЛАВА 2. ПРОГРАММНАЯ РЕАЛИЗАЦИЯ ПРОТОТИПА</w:t>
      </w:r>
      <w:bookmarkEnd w:id="34"/>
    </w:p>
    <w:p>
      <w:pPr>
        <w:pStyle w:val="Heading2"/>
      </w:pPr>
      <w:bookmarkStart w:id="35" w:name="структура-исходного-кода"/>
      <w:r>
        <w:t xml:space="preserve">2.1 Структура исходного кода</w:t>
      </w:r>
      <w:bookmarkEnd w:id="35"/>
    </w:p>
    <w:p>
      <w:pPr>
        <w:pStyle w:val="FirstParagraph"/>
      </w:pPr>
      <w:r>
        <w:t xml:space="preserve">Прототип реализован в виде монорепозитория на базе npm workspaces. Корневая структура каталогов представлена ниже.</w:t>
      </w:r>
    </w:p>
    <w:p>
      <w:pPr>
        <w:pStyle w:val="SourceCode"/>
      </w:pPr>
      <w:r>
        <w:rPr>
          <w:rStyle w:val="VerbatimChar"/>
        </w:rPr>
        <w:t xml:space="preserve">jira1/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# Backend, NestJS 10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entities/   # TypeORM-сущности</w:t>
      </w:r>
      <w:r>
        <w:br/>
      </w:r>
      <w:r>
        <w:rPr>
          <w:rStyle w:val="VerbatimChar"/>
        </w:rPr>
        <w:t xml:space="preserve">│   │       ├── modules/    # 10 функциональных модулей</w:t>
      </w:r>
      <w:r>
        <w:br/>
      </w:r>
      <w:r>
        <w:rPr>
          <w:rStyle w:val="VerbatimChar"/>
        </w:rPr>
        <w:t xml:space="preserve">│   │       ├── middleware/ # TenantMiddleware</w:t>
      </w:r>
      <w:r>
        <w:br/>
      </w:r>
      <w:r>
        <w:rPr>
          <w:rStyle w:val="VerbatimChar"/>
        </w:rPr>
        <w:t xml:space="preserve">│   │       ├── filters/    # GlobalExceptionFilter</w:t>
      </w:r>
      <w:r>
        <w:br/>
      </w:r>
      <w:r>
        <w:rPr>
          <w:rStyle w:val="VerbatimChar"/>
        </w:rPr>
        <w:t xml:space="preserve">│   │       └── main.ts     # точка входа</w:t>
      </w:r>
      <w:r>
        <w:br/>
      </w:r>
      <w:r>
        <w:rPr>
          <w:rStyle w:val="VerbatimChar"/>
        </w:rPr>
        <w:t xml:space="preserve">│   └── web/                # Frontend, React 18 + Vite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features/   # auth, board, backlog, kanban, ...</w:t>
      </w:r>
      <w:r>
        <w:br/>
      </w:r>
      <w:r>
        <w:rPr>
          <w:rStyle w:val="VerbatimChar"/>
        </w:rPr>
        <w:t xml:space="preserve">│           ├── components/</w:t>
      </w:r>
      <w:r>
        <w:br/>
      </w:r>
      <w:r>
        <w:rPr>
          <w:rStyle w:val="VerbatimChar"/>
        </w:rPr>
        <w:t xml:space="preserve">│           ├── lib/        # router, http-клиент</w:t>
      </w:r>
      <w:r>
        <w:br/>
      </w:r>
      <w:r>
        <w:rPr>
          <w:rStyle w:val="VerbatimChar"/>
        </w:rPr>
        <w:t xml:space="preserve">│           └── stores/     # Zustand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shared-types/       # Zod-схемы и общие TS-типы</w:t>
      </w:r>
      <w:r>
        <w:br/>
      </w:r>
      <w:r>
        <w:rPr>
          <w:rStyle w:val="VerbatimChar"/>
        </w:rPr>
        <w:t xml:space="preserve">│   └── ui/                 # переиспользуемые UI-компоненты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└── postgres/init.sql   # схема БД, индексы, RLS</w:t>
      </w:r>
      <w:r>
        <w:br/>
      </w:r>
      <w:r>
        <w:rPr>
          <w:rStyle w:val="VerbatimChar"/>
        </w:rPr>
        <w:t xml:space="preserve">└── docker-compose.yml</w:t>
      </w:r>
    </w:p>
    <w:p>
      <w:pPr>
        <w:pStyle w:val="FirstParagraph"/>
      </w:pPr>
      <w:r>
        <w:t xml:space="preserve">Backend разделён на 10 модулей: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. Их структура наглядно показана на диаграмме пакетов (Приложение А, рисунок А.12).</w:t>
      </w:r>
    </w:p>
    <w:p>
      <w:pPr>
        <w:pStyle w:val="BodyText"/>
      </w:pPr>
      <w:r>
        <w:t xml:space="preserve">Frontend организован по принципу</w:t>
      </w:r>
      <w:r>
        <w:t xml:space="preserve"> </w:t>
      </w:r>
      <w:r>
        <w:rPr>
          <w:i/>
        </w:rPr>
        <w:t xml:space="preserve">feature-based folder structure</w:t>
      </w:r>
      <w:r>
        <w:t xml:space="preserve">: каждый каталог в</w:t>
      </w:r>
      <w:r>
        <w:t xml:space="preserve"> </w:t>
      </w:r>
      <w:r>
        <w:rPr>
          <w:rStyle w:val="VerbatimChar"/>
        </w:rPr>
        <w:t xml:space="preserve">apps/web/src/features/</w:t>
      </w:r>
      <w:r>
        <w:t xml:space="preserve"> </w:t>
      </w:r>
      <w:r>
        <w:t xml:space="preserve">представляет собой самодостаточный пользовательский сценарий —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,</w:t>
      </w:r>
      <w:r>
        <w:t xml:space="preserve"> </w:t>
      </w:r>
      <w:r>
        <w:rPr>
          <w:rStyle w:val="VerbatimChar"/>
        </w:rPr>
        <w:t xml:space="preserve">kanban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.</w:t>
      </w:r>
    </w:p>
    <w:p>
      <w:pPr>
        <w:pStyle w:val="Heading2"/>
      </w:pPr>
      <w:bookmarkStart w:id="36" w:name="конфигурация-корневого-модуля-nestjs"/>
      <w:r>
        <w:t xml:space="preserve">2.2 Конфигурация корневого модуля NestJS</w:t>
      </w:r>
      <w:bookmarkEnd w:id="36"/>
    </w:p>
    <w:p>
      <w:pPr>
        <w:pStyle w:val="FirstParagraph"/>
      </w:pPr>
      <w:r>
        <w:t xml:space="preserve">Корневой модуль</w:t>
      </w:r>
      <w:r>
        <w:t xml:space="preserve"> </w:t>
      </w:r>
      <w:r>
        <w:rPr>
          <w:rStyle w:val="VerbatimChar"/>
        </w:rPr>
        <w:t xml:space="preserve">AppModule</w:t>
      </w:r>
      <w:r>
        <w:t xml:space="preserve"> </w:t>
      </w:r>
      <w:r>
        <w:t xml:space="preserve">агрегирует все функциональные модули, конфигурирует подключения к БД, Redis и шине событий, регистрирует глобальные guards и middleware. Ключевой фрагмент представлен в листинге 1.</w:t>
      </w:r>
    </w:p>
    <w:p>
      <w:pPr>
        <w:pStyle w:val="BodyText"/>
      </w:pPr>
      <w:r>
        <w:rPr>
          <w:b/>
        </w:rPr>
        <w:t xml:space="preserve">Листинг 1 — Корневой модуль приложения (apps/api/src/app.module.ts)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ConfigModule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</w:t>
      </w:r>
      <w:r>
        <w:rPr>
          <w:rStyle w:val="NormalTok"/>
        </w:rPr>
        <w:t xml:space="preserve">({ isGlobal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validationSchema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TypeOrmModule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'POSTGRES_HOST'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11 сущностей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EventEmitterModule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JwtAuthGuard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RolesGuard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GlobalExceptionFilter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export class AppModule implements NestModule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(consumer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MiddlewareConsumer) {</w:t>
      </w:r>
      <w:r>
        <w:br/>
      </w:r>
      <w:r>
        <w:rPr>
          <w:rStyle w:val="NormalTok"/>
        </w:rPr>
        <w:t xml:space="preserve">   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(TenantMiddleware)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forRoutes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TenantMiddleware</w:t>
      </w:r>
      <w:r>
        <w:t xml:space="preserve"> </w:t>
      </w:r>
      <w:r>
        <w:t xml:space="preserve">извлекает поддомен из заголовка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разрешает его в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(с кэшированием в Redis) и помещает идентификатор в request-scoped контекст. Глобальные guards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декларативно отключаются для публичных маршрутов через декоратор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</w:t>
      </w:r>
    </w:p>
    <w:p>
      <w:pPr>
        <w:pStyle w:val="Heading2"/>
      </w:pPr>
      <w:bookmarkStart w:id="37" w:name="подсистема-аутентификации"/>
      <w:r>
        <w:t xml:space="preserve">2.3 Подсистема аутентификации</w:t>
      </w:r>
      <w:bookmarkEnd w:id="37"/>
    </w:p>
    <w:p>
      <w:pPr>
        <w:pStyle w:val="FirstParagraph"/>
      </w:pPr>
      <w:r>
        <w:t xml:space="preserve">Сценарий входа пользователя проиллюстрирован диаграммой последовательности (Приложение А, рисунок А.4). Алгоритм генерации пары токенов реализован в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(листинг 2).</w:t>
      </w:r>
    </w:p>
    <w:p>
      <w:pPr>
        <w:pStyle w:val="BodyText"/>
      </w:pPr>
      <w:r>
        <w:rPr>
          <w:b/>
        </w:rPr>
        <w:t xml:space="preserve">Листинг 2 — Выпуск пары токенов и хранение refresh-токена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(await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issueTokens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private async </w:t>
      </w:r>
      <w:r>
        <w:rPr>
          <w:rStyle w:val="FunctionTok"/>
        </w:rPr>
        <w:t xml:space="preserve">issueTokens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UserEntity) {</w:t>
      </w:r>
      <w:r>
        <w:br/>
      </w:r>
      <w:r>
        <w:rPr>
          <w:rStyle w:val="NormalTok"/>
        </w:rPr>
        <w:t xml:space="preserve">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accessToken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signAsync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ttlSec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refreshToken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await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ttlSec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 обновлении токенов сервис проверяет наличие записи</w:t>
      </w:r>
      <w:r>
        <w:t xml:space="preserve"> </w:t>
      </w:r>
      <w:r>
        <w:rPr>
          <w:rStyle w:val="VerbatimChar"/>
        </w:rPr>
        <w:t xml:space="preserve">rt:&lt;user&gt;:&lt;token&gt;</w:t>
      </w:r>
      <w:r>
        <w:t xml:space="preserve"> </w:t>
      </w:r>
      <w:r>
        <w:t xml:space="preserve">в Redis, сверяет хэш и удаляет старую запись, выпускает новую пару. Если запрос на обновление приходит с</w:t>
      </w:r>
      <w:r>
        <w:t xml:space="preserve"> </w:t>
      </w:r>
      <w:r>
        <w:rPr>
          <w:b/>
        </w:rPr>
        <w:t xml:space="preserve">уже использованным</w:t>
      </w:r>
      <w:r>
        <w:t xml:space="preserve"> </w:t>
      </w:r>
      <w:r>
        <w:t xml:space="preserve">refresh-токеном, это интерпретируется как компрометация: все ключи</w:t>
      </w:r>
      <w:r>
        <w:t xml:space="preserve"> </w:t>
      </w:r>
      <w:r>
        <w:rPr>
          <w:rStyle w:val="VerbatimChar"/>
        </w:rPr>
        <w:t xml:space="preserve">rt:&lt;user&gt;:*</w:t>
      </w:r>
      <w:r>
        <w:t xml:space="preserve"> </w:t>
      </w:r>
      <w:r>
        <w:t xml:space="preserve">удаляются, и пользователь принудительно выходит со всех устройств. Такая стратегия согласована с рекомендациями OWASP по защите OAuth/JWT.</w:t>
      </w:r>
    </w:p>
    <w:p>
      <w:pPr>
        <w:pStyle w:val="Heading2"/>
      </w:pPr>
      <w:bookmarkStart w:id="38" w:name="подсистема-управления-задачами"/>
      <w:r>
        <w:t xml:space="preserve">2.4 Подсистема управления задачами</w:t>
      </w:r>
      <w:bookmarkEnd w:id="38"/>
    </w:p>
    <w:p>
      <w:pPr>
        <w:pStyle w:val="Heading3"/>
      </w:pPr>
      <w:bookmarkStart w:id="39" w:name="rest-контроллер"/>
      <w:r>
        <w:t xml:space="preserve">2.4.1 REST-контроллер</w:t>
      </w:r>
      <w:bookmarkEnd w:id="39"/>
    </w:p>
    <w:p>
      <w:pPr>
        <w:pStyle w:val="FirstParagraph"/>
      </w:pPr>
      <w:r>
        <w:rPr>
          <w:rStyle w:val="VerbatimChar"/>
        </w:rPr>
        <w:t xml:space="preserve">IssuesController</w:t>
      </w:r>
      <w:r>
        <w:t xml:space="preserve"> </w:t>
      </w:r>
      <w:r>
        <w:t xml:space="preserve">экспонирует следующие маршруты (таблица 2).</w:t>
      </w:r>
    </w:p>
    <w:p>
      <w:pPr>
        <w:pStyle w:val="BodyText"/>
      </w:pPr>
      <w:r>
        <w:rPr>
          <w:b/>
        </w:rPr>
        <w:t xml:space="preserve">Таблица 2 — Эндпойнты подсистемы Issues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 задачи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left"/>
            </w:pPr>
            <w:r>
              <w:t xml:space="preserve">Список с курсорной пагинацией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</w:t>
            </w:r>
          </w:p>
        </w:tc>
        <w:tc>
          <w:p>
            <w:pPr>
              <w:pStyle w:val="Compact"/>
              <w:jc w:val="left"/>
            </w:pPr>
            <w:r>
              <w:t xml:space="preserve">Получение одной задачи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</w:t>
            </w:r>
          </w:p>
        </w:tc>
        <w:tc>
          <w:p>
            <w:pPr>
              <w:pStyle w:val="Compact"/>
              <w:jc w:val="left"/>
            </w:pPr>
            <w:r>
              <w:t xml:space="preserve">Обновление полей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/api/issues/:id/move</w:t>
            </w:r>
          </w:p>
        </w:tc>
        <w:tc>
          <w:p>
            <w:pPr>
              <w:pStyle w:val="Compact"/>
              <w:jc w:val="left"/>
            </w:pPr>
            <w:r>
              <w:t xml:space="preserve">Перенос на доске (статус + позиция)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</w:t>
            </w:r>
          </w:p>
        </w:tc>
        <w:tc>
          <w:p>
            <w:pPr>
              <w:pStyle w:val="Compact"/>
              <w:jc w:val="left"/>
            </w:pPr>
            <w:r>
              <w:t xml:space="preserve">Удаление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/api/issues/:id/comments</w:t>
            </w:r>
          </w:p>
        </w:tc>
        <w:tc>
          <w:p>
            <w:pPr>
              <w:pStyle w:val="Compact"/>
              <w:jc w:val="left"/>
            </w:pPr>
            <w:r>
              <w:t xml:space="preserve">Добавить комментарий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/api/issues/:id/comments</w:t>
            </w:r>
          </w:p>
        </w:tc>
        <w:tc>
          <w:p>
            <w:pPr>
              <w:pStyle w:val="Compact"/>
              <w:jc w:val="left"/>
            </w:pPr>
            <w:r>
              <w:t xml:space="preserve">Список комментариев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/api/issues/:id/attachments</w:t>
            </w:r>
          </w:p>
        </w:tc>
        <w:tc>
          <w:p>
            <w:pPr>
              <w:pStyle w:val="Compact"/>
              <w:jc w:val="left"/>
            </w:pPr>
            <w:r>
              <w:t xml:space="preserve">Получить presigned-URL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/api/issues/:id/attachments/:aid</w:t>
            </w:r>
          </w:p>
        </w:tc>
        <w:tc>
          <w:p>
            <w:pPr>
              <w:pStyle w:val="Compact"/>
              <w:jc w:val="left"/>
            </w:pPr>
            <w:r>
              <w:t xml:space="preserve">Подтвердить загрузку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/api/issues/:id/changelog</w:t>
            </w:r>
          </w:p>
        </w:tc>
        <w:tc>
          <w:p>
            <w:pPr>
              <w:pStyle w:val="Compact"/>
              <w:jc w:val="left"/>
            </w:pPr>
            <w:r>
              <w:t xml:space="preserve">История изменений</w:t>
            </w:r>
          </w:p>
        </w:tc>
      </w:tr>
    </w:tbl>
    <w:p>
      <w:pPr>
        <w:pStyle w:val="BodyText"/>
      </w:pPr>
      <w:r>
        <w:t xml:space="preserve">Контроллер защищён цепочкой guards</w:t>
      </w:r>
      <w:r>
        <w:t xml:space="preserve"> </w:t>
      </w:r>
      <w:r>
        <w:rPr>
          <w:rStyle w:val="VerbatimChar"/>
        </w:rPr>
        <w:t xml:space="preserve">JwtAuthGuard → RolesGuard → PlanGuard</w:t>
      </w:r>
      <w:r>
        <w:t xml:space="preserve">. Последний реализует контроль лимитов плана подписки: например, на тарифе FREE одновременно может существовать не более 100 задач.</w:t>
      </w:r>
    </w:p>
    <w:p>
      <w:pPr>
        <w:pStyle w:val="Heading3"/>
      </w:pPr>
      <w:bookmarkStart w:id="40" w:name="создание-задачи"/>
      <w:r>
        <w:t xml:space="preserve">2.4.2 Создание задачи</w:t>
      </w:r>
      <w:bookmarkEnd w:id="40"/>
    </w:p>
    <w:p>
      <w:pPr>
        <w:pStyle w:val="FirstParagraph"/>
      </w:pPr>
      <w:r>
        <w:t xml:space="preserve">Полный сценарий создания задачи отражён диаграммой последовательности (Приложение А, рисунок А.5) и диаграммой активности её жизненного цикла (Приложение А, рисунок А.7). Сервис открывает транзакцию TypeORM, проверяет лимиты плана, сохраняет сущность, формирует запись в</w:t>
      </w:r>
      <w:r>
        <w:t xml:space="preserve"> </w:t>
      </w:r>
      <w:r>
        <w:rPr>
          <w:rStyle w:val="VerbatimChar"/>
        </w:rPr>
        <w:t xml:space="preserve">issue_changelog</w:t>
      </w:r>
      <w:r>
        <w:t xml:space="preserve">, публикует событие</w:t>
      </w:r>
      <w:r>
        <w:t xml:space="preserve"> </w:t>
      </w:r>
      <w:r>
        <w:rPr>
          <w:rStyle w:val="VerbatimChar"/>
        </w:rPr>
        <w:t xml:space="preserve">issue.created</w:t>
      </w:r>
      <w:r>
        <w:t xml:space="preserve">. Слушатели события —</w:t>
      </w:r>
      <w:r>
        <w:t xml:space="preserve"> </w:t>
      </w:r>
      <w:r>
        <w:rPr>
          <w:rStyle w:val="VerbatimChar"/>
        </w:rPr>
        <w:t xml:space="preserve">NotificationsService</w:t>
      </w:r>
      <w:r>
        <w:t xml:space="preserve"> </w:t>
      </w:r>
      <w:r>
        <w:t xml:space="preserve">(создание уведомления и WebSocket-сообщения) и</w:t>
      </w:r>
      <w:r>
        <w:t xml:space="preserve"> </w:t>
      </w:r>
      <w:r>
        <w:rPr>
          <w:rStyle w:val="VerbatimChar"/>
        </w:rPr>
        <w:t xml:space="preserve">MailService</w:t>
      </w:r>
      <w:r>
        <w:t xml:space="preserve"> </w:t>
      </w:r>
      <w:r>
        <w:t xml:space="preserve">(письмо назначенному исполнителю).</w:t>
      </w:r>
    </w:p>
    <w:p>
      <w:pPr>
        <w:pStyle w:val="Heading3"/>
      </w:pPr>
      <w:bookmarkStart w:id="41" w:name="Xad7de44c8713c8cdb44b70ecdb567c53137042a"/>
      <w:r>
        <w:t xml:space="preserve">2.4.3 Перенос задачи на доске и алгоритм float-упорядочивания</w:t>
      </w:r>
      <w:bookmarkEnd w:id="41"/>
    </w:p>
    <w:p>
      <w:pPr>
        <w:pStyle w:val="FirstParagraph"/>
      </w:pPr>
      <w:r>
        <w:t xml:space="preserve">Эндпойнт</w:t>
      </w:r>
      <w:r>
        <w:t xml:space="preserve"> </w:t>
      </w:r>
      <w:r>
        <w:rPr>
          <w:rStyle w:val="VerbatimChar"/>
        </w:rPr>
        <w:t xml:space="preserve">PATCH /api/issues/:id/move</w:t>
      </w:r>
      <w:r>
        <w:t xml:space="preserve"> </w:t>
      </w:r>
      <w:r>
        <w:t xml:space="preserve">принимает тело вида: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"f3c4..."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"beforeId"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Алгоритм определения нового порядка приведён в листинге 3 в упрощённом виде.</w:t>
      </w:r>
    </w:p>
    <w:p>
      <w:pPr>
        <w:pStyle w:val="BodyText"/>
      </w:pPr>
      <w:r>
        <w:rPr>
          <w:b/>
        </w:rPr>
        <w:t xml:space="preserve">Листинг 3 — Float-упорядочивание задач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move</w:t>
      </w:r>
      <w:r>
        <w:rPr>
          <w:rStyle w:val="NormalTok"/>
        </w:rPr>
        <w:t xml:space="preserve">(issueId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MoveIssueDto) {</w:t>
      </w:r>
      <w:r>
        <w:br/>
      </w:r>
      <w:r>
        <w:rPr>
          <w:rStyle w:val="NormalTok"/>
        </w:rPr>
        <w:t xml:space="preserve">  const 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findOneOrFail</w:t>
      </w:r>
      <w:r>
        <w:rPr>
          <w:rStyle w:val="NormalTok"/>
        </w:rPr>
        <w:t xml:space="preserve">(issueId)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after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afterId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afterId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beforeId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beforeId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let nextOrder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(after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before)        nextOrder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(after)             nextOrder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(before)            nextOrder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else                        nextOrder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(nextOrder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(after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EPS) {</w:t>
      </w:r>
      <w:r>
        <w:br/>
      </w:r>
      <w:r>
        <w:rPr>
          <w:rStyle w:val="NormalTok"/>
        </w:rPr>
        <w:t xml:space="preserve">   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rebalanceColumn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NormalTok"/>
        </w:rPr>
        <w:t xml:space="preserve">(issueId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(issue)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'issue.moved'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issue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 срабатывании условия</w:t>
      </w:r>
      <w:r>
        <w:t xml:space="preserve"> </w:t>
      </w:r>
      <w:r>
        <w:rPr>
          <w:rStyle w:val="VerbatimChar"/>
        </w:rPr>
        <w:t xml:space="preserve">&lt; EPS</w:t>
      </w:r>
      <w:r>
        <w:t xml:space="preserve"> </w:t>
      </w:r>
      <w:r>
        <w:t xml:space="preserve">запускается ребалансировка: все задачи колонки сортируются по текущему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после чего им назначаются новые значения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2·STEP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3·STEP</w:t>
      </w:r>
      <w:r>
        <w:t xml:space="preserve">, … Это разделяет редкие, но дорогие операции пересохранения от частых операций перетаскивания, делая их O(1) в типичном случае. Соответствующий пользовательский сценарий проиллюстрирован диаграммой последовательности (Приложение А, рисунок А.6).</w:t>
      </w:r>
    </w:p>
    <w:p>
      <w:pPr>
        <w:pStyle w:val="Heading3"/>
      </w:pPr>
      <w:bookmarkStart w:id="42" w:name="жизненный-цикл-и-состояния-задачи"/>
      <w:r>
        <w:t xml:space="preserve">2.4.4 Жизненный цикл и состояния задачи</w:t>
      </w:r>
      <w:bookmarkEnd w:id="42"/>
    </w:p>
    <w:p>
      <w:pPr>
        <w:pStyle w:val="FirstParagraph"/>
      </w:pPr>
      <w:r>
        <w:t xml:space="preserve">Жизненный цикл задачи описывается диаграммой состояний (Приложение А, рисунок А.8). Поддерживаются следующие переходы:</w:t>
      </w:r>
      <w:r>
        <w:t xml:space="preserve"> </w:t>
      </w:r>
      <w:r>
        <w:rPr>
          <w:rStyle w:val="VerbatimChar"/>
        </w:rPr>
        <w:t xml:space="preserve">BACKLOG → TODO → IN_PROGRESS → IN_REVIEW → DONE</w:t>
      </w:r>
      <w:r>
        <w:t xml:space="preserve">, а также возврат</w:t>
      </w:r>
      <w:r>
        <w:t xml:space="preserve"> </w:t>
      </w:r>
      <w:r>
        <w:rPr>
          <w:rStyle w:val="VerbatimChar"/>
        </w:rPr>
        <w:t xml:space="preserve">IN_PROGRESS → TODO</w:t>
      </w:r>
      <w:r>
        <w:t xml:space="preserve">, отмена</w:t>
      </w:r>
      <w:r>
        <w:t xml:space="preserve"> </w:t>
      </w:r>
      <w:r>
        <w:rPr>
          <w:rStyle w:val="VerbatimChar"/>
        </w:rPr>
        <w:t xml:space="preserve">* → CANCELLED</w:t>
      </w:r>
      <w:r>
        <w:t xml:space="preserve">. Каждый переход фиксируется в таблице</w:t>
      </w:r>
      <w:r>
        <w:t xml:space="preserve"> </w:t>
      </w:r>
      <w:r>
        <w:rPr>
          <w:rStyle w:val="VerbatimChar"/>
        </w:rPr>
        <w:t xml:space="preserve">issue_changelog</w:t>
      </w:r>
      <w:r>
        <w:t xml:space="preserve">, что позволяет восстанавливать историю изменений и строить отчёты по времени нахождения задачи в каждом статусе (cycle-time, lead-time).</w:t>
      </w:r>
    </w:p>
    <w:p>
      <w:pPr>
        <w:pStyle w:val="Heading2"/>
      </w:pPr>
      <w:bookmarkStart w:id="43" w:name="real-time-подсистема-issuesgateway"/>
      <w:r>
        <w:t xml:space="preserve">2.5 Real-time подсистема: IssuesGateway</w:t>
      </w:r>
      <w:bookmarkEnd w:id="43"/>
    </w:p>
    <w:p>
      <w:pPr>
        <w:pStyle w:val="FirstParagraph"/>
      </w:pPr>
      <w:r>
        <w:t xml:space="preserve">Real-time доставка изменений реализована поверх Socket.IO в виде</w:t>
      </w:r>
      <w:r>
        <w:t xml:space="preserve"> </w:t>
      </w:r>
      <w:r>
        <w:rPr>
          <w:rStyle w:val="VerbatimChar"/>
        </w:rPr>
        <w:t xml:space="preserve">IssuesGateway</w:t>
      </w:r>
      <w:r>
        <w:t xml:space="preserve">. Шлюз использует namespace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и комнаты вида</w:t>
      </w:r>
      <w:r>
        <w:t xml:space="preserve"> </w:t>
      </w:r>
      <w:r>
        <w:rPr>
          <w:rStyle w:val="VerbatimChar"/>
        </w:rPr>
        <w:t xml:space="preserve">project:&lt;projectId&gt;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user:&lt;userId&gt;</w:t>
      </w:r>
      <w:r>
        <w:t xml:space="preserve">. При подключении клиент аутентифицируется тем же JWT, что и REST-API; недействительный токен приводит к обрыву соединения.</w:t>
      </w:r>
    </w:p>
    <w:p>
      <w:pPr>
        <w:pStyle w:val="BodyText"/>
      </w:pPr>
      <w:r>
        <w:t xml:space="preserve">Шлюз транслирует следующие события клиентам: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ISSUE_CREATED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ISSUE_COMMENTED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COLUMN_CREATED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COLUMN_DELETED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NOTIFICATION_CREATED</w:t>
      </w:r>
      <w:r>
        <w:t xml:space="preserve"> </w:t>
      </w:r>
      <w:r>
        <w:t xml:space="preserve">(отправляется только в комнату пользователя-получателя);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PRESENCE_UPDATE</w:t>
      </w:r>
      <w:r>
        <w:t xml:space="preserve"> </w:t>
      </w:r>
      <w:r>
        <w:t xml:space="preserve">— список пользователей, открывших данную задачу.</w:t>
      </w:r>
    </w:p>
    <w:p>
      <w:pPr>
        <w:pStyle w:val="FirstParagraph"/>
      </w:pPr>
      <w:r>
        <w:t xml:space="preserve">Поддержка presence реализована словарём</w:t>
      </w:r>
      <w:r>
        <w:t xml:space="preserve"> </w:t>
      </w:r>
      <w:r>
        <w:rPr>
          <w:rStyle w:val="VerbatimChar"/>
        </w:rPr>
        <w:t xml:space="preserve">viewers: Map&lt;issueId, Set&lt;userId&gt;&gt;</w:t>
      </w:r>
      <w:r>
        <w:t xml:space="preserve">. При входе/выходе клиента шлюз пересылает обновлённый список соавторов, что даёт UI-уведомление вида «Пользователь Иванов также просматривает эту задачу».</w:t>
      </w:r>
    </w:p>
    <w:p>
      <w:pPr>
        <w:pStyle w:val="Heading2"/>
      </w:pPr>
      <w:bookmarkStart w:id="44" w:name="подсистема-уведомлений"/>
      <w:r>
        <w:t xml:space="preserve">2.6 Подсистема уведомлений</w:t>
      </w:r>
      <w:bookmarkEnd w:id="44"/>
    </w:p>
    <w:p>
      <w:pPr>
        <w:pStyle w:val="FirstParagraph"/>
      </w:pPr>
      <w:r>
        <w:rPr>
          <w:rStyle w:val="VerbatimChar"/>
        </w:rPr>
        <w:t xml:space="preserve">NotificationsService</w:t>
      </w:r>
      <w:r>
        <w:t xml:space="preserve"> </w:t>
      </w:r>
      <w:r>
        <w:t xml:space="preserve">инкапсулирует семь типов уведомлений (</w:t>
      </w:r>
      <w:r>
        <w:rPr>
          <w:rStyle w:val="VerbatimChar"/>
        </w:rPr>
        <w:t xml:space="preserve">ISSUE_ASSIGNED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COMMENT_ADDED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ISSUE_DELETED</w:t>
      </w:r>
      <w:r>
        <w:t xml:space="preserve">). Подписка на события выполняется декоратором</w:t>
      </w:r>
      <w:r>
        <w:t xml:space="preserve"> </w:t>
      </w:r>
      <w:r>
        <w:rPr>
          <w:rStyle w:val="VerbatimChar"/>
        </w:rPr>
        <w:t xml:space="preserve">@OnEvent</w:t>
      </w:r>
      <w:r>
        <w:t xml:space="preserve"> </w:t>
      </w:r>
      <w:r>
        <w:t xml:space="preserve">(листинг 4).</w:t>
      </w:r>
    </w:p>
    <w:p>
      <w:pPr>
        <w:pStyle w:val="BodyText"/>
      </w:pPr>
      <w:r>
        <w:rPr>
          <w:b/>
        </w:rPr>
        <w:t xml:space="preserve">Листинг 4 — Обработчик события создания комментария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'comment.added'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onCommentAdded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CommentAddedEvent) {</w:t>
      </w:r>
      <w:r>
        <w:br/>
      </w:r>
      <w:r>
        <w:rPr>
          <w:rStyle w:val="NormalTok"/>
        </w:rPr>
        <w:t xml:space="preserve">  const recipients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computeRecipients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userId of recipients) {</w:t>
      </w:r>
      <w:r>
        <w:br/>
      </w:r>
      <w:r>
        <w:rPr>
          <w:rStyle w:val="NormalTok"/>
        </w:rPr>
        <w:t xml:space="preserve">    const notif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COMMENT_ADDED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issueId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wantsEmail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sendCommentEmail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Вычисление получателей зависит от типа события: для нового комментария это автор задачи (reporter), исполнитель (assignee) и предыдущие комментаторы; для назначения задачи — только новый исполнитель; для упоминания (mention) — упомянутые пользователи, которые парсятся регулярным выражением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из тела комментария.</w:t>
      </w:r>
    </w:p>
    <w:p>
      <w:pPr>
        <w:pStyle w:val="Heading2"/>
      </w:pPr>
      <w:bookmarkStart w:id="45" w:name="развёртывание"/>
      <w:r>
        <w:t xml:space="preserve">2.7 Развёртывание</w:t>
      </w:r>
      <w:bookmarkEnd w:id="45"/>
    </w:p>
    <w:p>
      <w:pPr>
        <w:pStyle w:val="FirstParagraph"/>
      </w:pPr>
      <w:r>
        <w:t xml:space="preserve">Прототип развёртывается одной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(предварительно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). Топология контейнеров изображена на диаграмме развёртывания (Приложение А, рисунок А.11).</w:t>
      </w:r>
    </w:p>
    <w:p>
      <w:pPr>
        <w:pStyle w:val="BodyText"/>
      </w:pPr>
      <w:r>
        <w:t xml:space="preserve">Контейнеры: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traefik</w:t>
      </w:r>
      <w:r>
        <w:t xml:space="preserve"> </w:t>
      </w:r>
      <w:r>
        <w:t xml:space="preserve">— обратный прокси, обслуживает домены</w:t>
      </w:r>
      <w:r>
        <w:t xml:space="preserve"> </w:t>
      </w:r>
      <w:r>
        <w:rPr>
          <w:rStyle w:val="VerbatimChar"/>
        </w:rPr>
        <w:t xml:space="preserve">app.localhost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api.app.localhost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&lt;tenant&gt;.app.localhost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adminer.app.localhost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minio.app.localhost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postgres</w:t>
      </w:r>
      <w:r>
        <w:t xml:space="preserve"> </w:t>
      </w:r>
      <w:r>
        <w:t xml:space="preserve">(PostgreSQL 16) — БД, схема инициализируется из</w:t>
      </w:r>
      <w:r>
        <w:t xml:space="preserve"> </w:t>
      </w:r>
      <w:r>
        <w:rPr>
          <w:rStyle w:val="VerbatimChar"/>
        </w:rPr>
        <w:t xml:space="preserve">infrastructure/postgres/init.sql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redis</w:t>
      </w:r>
      <w:r>
        <w:t xml:space="preserve"> </w:t>
      </w:r>
      <w:r>
        <w:t xml:space="preserve">— кэш и хранилище refresh-токенов;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minio</w:t>
      </w:r>
      <w:r>
        <w:t xml:space="preserve"> </w:t>
      </w:r>
      <w:r>
        <w:t xml:space="preserve">— S3-совместимое объектное хранилище для вложений;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adminer</w:t>
      </w:r>
      <w:r>
        <w:t xml:space="preserve"> </w:t>
      </w:r>
      <w:r>
        <w:t xml:space="preserve">— web-UI администрирования БД (только для dev-окружения);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api</w:t>
      </w:r>
      <w:r>
        <w:t xml:space="preserve"> </w:t>
      </w:r>
      <w:r>
        <w:t xml:space="preserve">— Node.js + NestJS;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web</w:t>
      </w:r>
      <w:r>
        <w:t xml:space="preserve"> </w:t>
      </w:r>
      <w:r>
        <w:t xml:space="preserve">— React + Vite (в production-конфигурации заменяется на nginx со статикой).</w:t>
      </w:r>
    </w:p>
    <w:p>
      <w:pPr>
        <w:pStyle w:val="FirstParagraph"/>
      </w:pPr>
      <w:r>
        <w:t xml:space="preserve">Демо-данные загружаются командой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: создаётся арендатор Acme Corp с пятью пользователями (</w:t>
      </w:r>
      <w:r>
        <w:rPr>
          <w:rStyle w:val="VerbatimChar"/>
        </w:rPr>
        <w:t xml:space="preserve">admin@acme.com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pm@acme.com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dev1@acme.com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dev2@acme.com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viewer@acme.com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), один проект и 20 типовых задач.</w:t>
      </w:r>
    </w:p>
    <w:p>
      <w:pPr>
        <w:pStyle w:val="Heading2"/>
      </w:pPr>
      <w:bookmarkStart w:id="46" w:name="Xc26b050d1682aa9b623e9d02e50766663a22388"/>
      <w:r>
        <w:t xml:space="preserve">2.8 Качество кода и автоматизированные проверки</w:t>
      </w:r>
      <w:bookmarkEnd w:id="46"/>
    </w:p>
    <w:p>
      <w:pPr>
        <w:pStyle w:val="FirstParagraph"/>
      </w:pPr>
      <w:r>
        <w:t xml:space="preserve">Проект использует: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TypeScript strict mode</w:t>
      </w:r>
      <w:r>
        <w:t xml:space="preserve"> </w:t>
      </w:r>
      <w:r>
        <w:t xml:space="preserve">для статической типизации;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ESLint + Prettier</w:t>
      </w:r>
      <w:r>
        <w:t xml:space="preserve"> </w:t>
      </w:r>
      <w:r>
        <w:t xml:space="preserve">для статического анализа и форматирования (</w:t>
      </w:r>
      <w:r>
        <w:rPr>
          <w:rStyle w:val="VerbatimChar"/>
        </w:rPr>
        <w:t xml:space="preserve">npm run lint</w:t>
      </w:r>
      <w:r>
        <w:t xml:space="preserve">);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npm run typecheck</w:t>
      </w:r>
      <w:r>
        <w:t xml:space="preserve"> </w:t>
      </w:r>
      <w:r>
        <w:t xml:space="preserve">— отдельный шаг проверки типов;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Jest</w:t>
      </w:r>
      <w:r>
        <w:t xml:space="preserve"> </w:t>
      </w:r>
      <w:r>
        <w:t xml:space="preserve">— модульные тесты сервисов, тестирование контроллеров через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Zod</w:t>
      </w:r>
      <w:r>
        <w:t xml:space="preserve"> </w:t>
      </w:r>
      <w:r>
        <w:t xml:space="preserve">— runtime-валидация полезной нагрузки HTTP-запросов и WebSocket-событий, при этом инференс типов гарантирует отсутствие расхождений между типами TypeScript и реальной валидацией.</w:t>
      </w:r>
    </w:p>
    <w:p>
      <w:pPr>
        <w:pStyle w:val="FirstParagraph"/>
      </w:pPr>
      <w:r>
        <w:t xml:space="preserve">Глобальный обработчик исключений</w:t>
      </w:r>
      <w:r>
        <w:t xml:space="preserve"> </w:t>
      </w:r>
      <w:r>
        <w:rPr>
          <w:rStyle w:val="VerbatimChar"/>
        </w:rPr>
        <w:t xml:space="preserve">GlobalExceptionFilter</w:t>
      </w:r>
      <w:r>
        <w:t xml:space="preserve"> </w:t>
      </w:r>
      <w:r>
        <w:t xml:space="preserve">приводит ошибки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TypeORM</w:t>
      </w:r>
      <w:r>
        <w:t xml:space="preserve">, бизнес-исключения (</w:t>
      </w:r>
      <w:r>
        <w:rPr>
          <w:rStyle w:val="VerbatimChar"/>
        </w:rPr>
        <w:t xml:space="preserve">ConflictException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) к единому JSON-ответу с полями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errors[]</w:t>
      </w:r>
      <w:r>
        <w:t xml:space="preserve">.</w:t>
      </w:r>
    </w:p>
    <w:p>
      <w:pPr>
        <w:pStyle w:val="Heading1"/>
      </w:pPr>
      <w:bookmarkStart w:id="47" w:name="заключение"/>
      <w:r>
        <w:t xml:space="preserve">ЗАКЛЮЧЕНИЕ</w:t>
      </w:r>
      <w:bookmarkEnd w:id="47"/>
    </w:p>
    <w:p>
      <w:pPr>
        <w:pStyle w:val="FirstParagraph"/>
      </w:pPr>
      <w:r>
        <w:t xml:space="preserve">В ходе курсовой работы поставленная цель — разработка прототипа многоарендной системы управления задачами TaskHub и подготовка для него полного комплекта UML-диаграмм — достигнута в полном объёме. Получены следующие основные результаты:</w:t>
      </w:r>
    </w:p>
    <w:p>
      <w:pPr>
        <w:numPr>
          <w:ilvl w:val="0"/>
          <w:numId w:val="1013"/>
        </w:numPr>
        <w:pStyle w:val="Compact"/>
      </w:pPr>
      <w:r>
        <w:t xml:space="preserve">Выполнен анализ предметной области: рассмотрены три обобщённые группы систем управления задачами, выделено ядро функций современных ITS, обоснована необходимость архитектуры multi-tenant SaaS с возможностью on-premise развёртывания.</w:t>
      </w:r>
    </w:p>
    <w:p>
      <w:pPr>
        <w:numPr>
          <w:ilvl w:val="0"/>
          <w:numId w:val="1013"/>
        </w:numPr>
        <w:pStyle w:val="Compact"/>
      </w:pPr>
      <w:r>
        <w:t xml:space="preserve">Сформированы требования: 24 функциональных и 6 ключевых нефункциональных, в том числе строгая изоляция данных арендаторов, производительность P95 ≤ 200 мс, поддержка русской морфологии полнотекстового поиска.</w:t>
      </w:r>
    </w:p>
    <w:p>
      <w:pPr>
        <w:numPr>
          <w:ilvl w:val="0"/>
          <w:numId w:val="1013"/>
        </w:numPr>
        <w:pStyle w:val="Compact"/>
      </w:pPr>
      <w:r>
        <w:t xml:space="preserve">Спроектирована и реализована архитектура модульного монолита на NestJS 10 с десятью функциональными модулями, фронтенд-SPA на React 18 + Vite 5, базой данных PostgreSQL 16 с Row-Level Security, кэшем Redis 7 и объектным хранилищем MinIO. Применены архитектурные шаблоны Layered Architecture, DI, Repository, Strategy, Guard/Chain of Responsibility, Observer/Pub-Sub, Decorator, Factory.</w:t>
      </w:r>
    </w:p>
    <w:p>
      <w:pPr>
        <w:numPr>
          <w:ilvl w:val="0"/>
          <w:numId w:val="1013"/>
        </w:numPr>
        <w:pStyle w:val="Compact"/>
      </w:pPr>
      <w:r>
        <w:t xml:space="preserve">Реализованы ключевые подсистемы: аутентификация на JWT с ротацией refresh-токенов и детектированием повторного использования; управление задачами с float-упорядочением и автоматической ребалансировкой; real-time-доставка обновлений по Socket.IO с поддержкой presence; событийная подсистема уведомлений с дублированием в e-mail; полнотекстовый поиск с двумя языковыми словарями.</w:t>
      </w:r>
    </w:p>
    <w:p>
      <w:pPr>
        <w:numPr>
          <w:ilvl w:val="0"/>
          <w:numId w:val="1013"/>
        </w:numPr>
        <w:pStyle w:val="Compact"/>
      </w:pPr>
      <w:r>
        <w:t xml:space="preserve">Подготовлен полный комплект UML-диаграмм согласно нотации UML 2.5: диаграмма вариантов использования, диаграмма классов, ER-диаграмма физической схемы БД, три диаграммы последовательности (вход в систему, создание задачи, перенос задачи на доске), диаграмма активности жизненного цикла задачи, две диаграммы состояний (задача и спринт), диаграмма компонентов, диаграмма развёртывания, диаграмма пакетов. Диаграммы выполнены в PlantUML и приведены в Приложении А.</w:t>
      </w:r>
    </w:p>
    <w:p>
      <w:pPr>
        <w:numPr>
          <w:ilvl w:val="0"/>
          <w:numId w:val="1013"/>
        </w:numPr>
        <w:pStyle w:val="Compact"/>
      </w:pPr>
      <w:r>
        <w:t xml:space="preserve">Описана инфраструктура развёртывания на Docker Compose с обратным прокси Traefik 3 и поддоменно-основанной маршрутизацией арендаторов.</w:t>
      </w:r>
    </w:p>
    <w:p>
      <w:pPr>
        <w:pStyle w:val="FirstParagraph"/>
      </w:pPr>
      <w:r>
        <w:rPr>
          <w:b/>
        </w:rPr>
        <w:t xml:space="preserve">Практическая значимость</w:t>
      </w:r>
      <w:r>
        <w:t xml:space="preserve"> </w:t>
      </w:r>
      <w:r>
        <w:t xml:space="preserve">работы заключается в том, что полученный прототип может выступать как основа для коммерческого продукта класса ITS в условиях импортозамещения, а также как методический материал по проектированию и разработке многоарендных SaaS-приложений на современном TypeScript-стеке.</w:t>
      </w:r>
    </w:p>
    <w:p>
      <w:pPr>
        <w:pStyle w:val="BodyText"/>
      </w:pPr>
      <w:r>
        <w:rPr>
          <w:b/>
        </w:rPr>
        <w:t xml:space="preserve">Направления развития прототипа.</w:t>
      </w:r>
      <w:r>
        <w:t xml:space="preserve"> </w:t>
      </w:r>
      <w:r>
        <w:t xml:space="preserve">К наиболее приоритетным направлениям относятся: (1) реализация модуля автоматизаций (no-code-правила вида «при изменении статуса на DONE назначить рецензента»); (2) интеграция с Git-провайдерами (GitHub, GitLab) для двусторонней связи между задачами и Pull Request; (3) подключение системы метрик Prometheus + Grafana и распределённой трассировки OpenTelemetry; (4) перенос подсистемы поиска из PostgreSQL в OpenSearch при росте объёма данных; (5) выделение модуля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в отдельный микросервис с очередью сообщений (RabbitMQ или Kafka); (6) поддержка SSO через OIDC/SAML.</w:t>
      </w:r>
    </w:p>
    <w:p>
      <w:pPr>
        <w:pStyle w:val="Heading1"/>
      </w:pPr>
      <w:bookmarkStart w:id="48" w:name="список-использованных-источников"/>
      <w:r>
        <w:t xml:space="preserve">СПИСОК ИСПОЛЬЗОВАННЫХ ИСТОЧНИКОВ</w:t>
      </w:r>
      <w:bookmarkEnd w:id="48"/>
    </w:p>
    <w:p>
      <w:pPr>
        <w:numPr>
          <w:ilvl w:val="0"/>
          <w:numId w:val="1014"/>
        </w:numPr>
        <w:pStyle w:val="Compact"/>
      </w:pPr>
      <w:r>
        <w:t xml:space="preserve">ГОСТ Р 7.0.97–2016.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— Москва : Стандартинформ, 2018. — 32 с.</w:t>
      </w:r>
    </w:p>
    <w:p>
      <w:pPr>
        <w:numPr>
          <w:ilvl w:val="0"/>
          <w:numId w:val="1014"/>
        </w:numPr>
        <w:pStyle w:val="Compact"/>
      </w:pPr>
      <w:r>
        <w:t xml:space="preserve">ГОСТ 19.701–90. Единая система программной документации. Схемы алгоритмов, программ, данных и систем. Условные обозначения и правила выполнения. — Москва : Стандартинформ, 2010. — 26 с.</w:t>
      </w:r>
    </w:p>
    <w:p>
      <w:pPr>
        <w:numPr>
          <w:ilvl w:val="0"/>
          <w:numId w:val="1014"/>
        </w:numPr>
        <w:pStyle w:val="Compact"/>
      </w:pPr>
      <w:r>
        <w:t xml:space="preserve">ISO/IEC 19505–2:2012. Information technology — Object Management Group Unified Modeling Language (OMG UML) — Part 2: Superstructure. — Geneva : ISO, 2012. — 748 p.</w:t>
      </w:r>
    </w:p>
    <w:p>
      <w:pPr>
        <w:numPr>
          <w:ilvl w:val="0"/>
          <w:numId w:val="1014"/>
        </w:numPr>
        <w:pStyle w:val="Compact"/>
      </w:pPr>
      <w:r>
        <w:t xml:space="preserve">Booch G., Rumbaugh J., Jacobson I. The Unified Modeling Language User Guide. 2nd ed. — Boston : Addison-Wesley, 2021. — 496 p.</w:t>
      </w:r>
    </w:p>
    <w:p>
      <w:pPr>
        <w:numPr>
          <w:ilvl w:val="0"/>
          <w:numId w:val="1014"/>
        </w:numPr>
        <w:pStyle w:val="Compact"/>
      </w:pPr>
      <w:r>
        <w:t xml:space="preserve">Эванс Э. Предметно-ориентированное проектирование (DDD): структуризация сложных программных систем / пер. с англ. — Москва : Вильямс, 2022. — 448 с.</w:t>
      </w:r>
    </w:p>
    <w:p>
      <w:pPr>
        <w:numPr>
          <w:ilvl w:val="0"/>
          <w:numId w:val="1014"/>
        </w:numPr>
        <w:pStyle w:val="Compact"/>
      </w:pPr>
      <w:r>
        <w:t xml:space="preserve">Фаулер М. Шаблоны корпоративных приложений / пер. с англ. — Москва : Диалектика, 2021. — 544 с.</w:t>
      </w:r>
    </w:p>
    <w:p>
      <w:pPr>
        <w:numPr>
          <w:ilvl w:val="0"/>
          <w:numId w:val="1014"/>
        </w:numPr>
        <w:pStyle w:val="Compact"/>
      </w:pPr>
      <w:r>
        <w:t xml:space="preserve">Ричардс М., Форд Н. Фундаментальный подход к программной архитектуре. — Санкт-Петербург : Питер, 2022. — 416 с.</w:t>
      </w:r>
    </w:p>
    <w:p>
      <w:pPr>
        <w:numPr>
          <w:ilvl w:val="0"/>
          <w:numId w:val="1014"/>
        </w:numPr>
        <w:pStyle w:val="Compact"/>
      </w:pPr>
      <w:r>
        <w:t xml:space="preserve">Ньюмен С. Создание микросервисов. 2-е изд. / пер. с англ. — Санкт-Петербург : Питер, 2022. — 624 с.</w:t>
      </w:r>
    </w:p>
    <w:p>
      <w:pPr>
        <w:numPr>
          <w:ilvl w:val="0"/>
          <w:numId w:val="1014"/>
        </w:numPr>
        <w:pStyle w:val="Compact"/>
      </w:pPr>
      <w:r>
        <w:t xml:space="preserve">Клеппман М. Высоконагруженные приложения: программирование, масштабирование, поддержка. 2-е изд. — Санкт-Петербург : Питер, 2023. — 640 с.</w:t>
      </w:r>
    </w:p>
    <w:p>
      <w:pPr>
        <w:numPr>
          <w:ilvl w:val="0"/>
          <w:numId w:val="1014"/>
        </w:numPr>
        <w:pStyle w:val="Compact"/>
      </w:pPr>
      <w:r>
        <w:t xml:space="preserve">Кречмер К. PostgreSQL 16. Полное руководство. — Санкт-Петербург : БХВ-Петербург, 2024. — 1024 с.</w:t>
      </w:r>
    </w:p>
    <w:p>
      <w:pPr>
        <w:numPr>
          <w:ilvl w:val="0"/>
          <w:numId w:val="1014"/>
        </w:numPr>
        <w:pStyle w:val="Compact"/>
      </w:pPr>
      <w:r>
        <w:t xml:space="preserve">Carlson J. Redis in Action. — Shelter Island : Manning, 2021. — 320 p.</w:t>
      </w:r>
    </w:p>
    <w:p>
      <w:pPr>
        <w:numPr>
          <w:ilvl w:val="0"/>
          <w:numId w:val="1014"/>
        </w:numPr>
        <w:pStyle w:val="Compact"/>
      </w:pPr>
      <w:r>
        <w:t xml:space="preserve">Mardan A. Practical Node.js. 2nd ed. — Berkeley : Apress, 2022. — 484 p.</w:t>
      </w:r>
    </w:p>
    <w:p>
      <w:pPr>
        <w:numPr>
          <w:ilvl w:val="0"/>
          <w:numId w:val="1014"/>
        </w:numPr>
        <w:pStyle w:val="Compact"/>
      </w:pPr>
      <w:r>
        <w:t xml:space="preserve">NestJS. Official Documentation [Электронный ресурс]. — URL: https://docs.nestjs.com (дата обращения: 15.04.2026).</w:t>
      </w:r>
    </w:p>
    <w:p>
      <w:pPr>
        <w:numPr>
          <w:ilvl w:val="0"/>
          <w:numId w:val="1014"/>
        </w:numPr>
        <w:pStyle w:val="Compact"/>
      </w:pPr>
      <w:r>
        <w:t xml:space="preserve">TypeORM. Official Documentation [Электронный ресурс]. — URL: https://typeorm.io (дата обращения: 15.04.2026).</w:t>
      </w:r>
    </w:p>
    <w:p>
      <w:pPr>
        <w:numPr>
          <w:ilvl w:val="0"/>
          <w:numId w:val="1014"/>
        </w:numPr>
        <w:pStyle w:val="Compact"/>
      </w:pPr>
      <w:r>
        <w:t xml:space="preserve">PostgreSQL Global Development Group. PostgreSQL 16 Documentation [Электронный ресурс]. — URL: https://www.postgresql.org/docs/16/ (дата обращения: 16.04.2026).</w:t>
      </w:r>
    </w:p>
    <w:p>
      <w:pPr>
        <w:numPr>
          <w:ilvl w:val="0"/>
          <w:numId w:val="1014"/>
        </w:numPr>
        <w:pStyle w:val="Compact"/>
      </w:pPr>
      <w:r>
        <w:t xml:space="preserve">Socket.IO. Official Documentation [Электронный ресурс]. — URL: https://socket.io/docs/v4/ (дата обращения: 17.04.2026).</w:t>
      </w:r>
    </w:p>
    <w:p>
      <w:pPr>
        <w:numPr>
          <w:ilvl w:val="0"/>
          <w:numId w:val="1014"/>
        </w:numPr>
        <w:pStyle w:val="Compact"/>
      </w:pPr>
      <w:r>
        <w:t xml:space="preserve">React Team. React 18 Documentation [Электронный ресурс]. — URL: https://react.dev (дата обращения: 18.04.2026).</w:t>
      </w:r>
    </w:p>
    <w:p>
      <w:pPr>
        <w:numPr>
          <w:ilvl w:val="0"/>
          <w:numId w:val="1014"/>
        </w:numPr>
        <w:pStyle w:val="Compact"/>
      </w:pPr>
      <w:r>
        <w:t xml:space="preserve">Atlassian. Jira Cloud REST API Reference [Электронный ресурс]. — URL: https://developer.atlassian.com/cloud/jira/platform/rest/v3/ (дата обращения: 19.04.2026).</w:t>
      </w:r>
    </w:p>
    <w:p>
      <w:pPr>
        <w:numPr>
          <w:ilvl w:val="0"/>
          <w:numId w:val="1014"/>
        </w:numPr>
        <w:pStyle w:val="Compact"/>
      </w:pPr>
      <w:r>
        <w:t xml:space="preserve">Lodge T., Jones P. Multi-Tenant SaaS Architectures. — O’Reilly Media, 2023. — 280 p.</w:t>
      </w:r>
    </w:p>
    <w:p>
      <w:pPr>
        <w:numPr>
          <w:ilvl w:val="0"/>
          <w:numId w:val="1014"/>
        </w:numPr>
        <w:pStyle w:val="Compact"/>
      </w:pPr>
      <w:r>
        <w:t xml:space="preserve">OWASP Foundation. OAuth 2.0 Cheat Sheet (Refresh Token Rotation) [Электронный ресурс]. — URL: https://cheatsheetseries.owasp.org/cheatsheets/OAuth_Cheat_Sheet.html (дата обращения: 20.04.2026).</w:t>
      </w:r>
    </w:p>
    <w:p>
      <w:pPr>
        <w:numPr>
          <w:ilvl w:val="0"/>
          <w:numId w:val="1014"/>
        </w:numPr>
        <w:pStyle w:val="Compact"/>
      </w:pPr>
      <w:r>
        <w:t xml:space="preserve">Hardt D., Lodderstedt T. RFC 6819: OAuth 2.0 Threat Model and Security Considerations. — IETF, 2013 (актуализировано 2022). — 71 p.</w:t>
      </w:r>
    </w:p>
    <w:p>
      <w:pPr>
        <w:numPr>
          <w:ilvl w:val="0"/>
          <w:numId w:val="1014"/>
        </w:numPr>
        <w:pStyle w:val="Compact"/>
      </w:pPr>
      <w:r>
        <w:t xml:space="preserve">State of Agile Report. 17th Annual State of Agile Survey [Электронный ресурс]. — Digital.ai, 2024. — URL: https://digital.ai/state-of-agile (дата обращения: 21.04.2026).</w:t>
      </w:r>
    </w:p>
    <w:p>
      <w:pPr>
        <w:numPr>
          <w:ilvl w:val="0"/>
          <w:numId w:val="1014"/>
        </w:numPr>
        <w:pStyle w:val="Compact"/>
      </w:pPr>
      <w:r>
        <w:t xml:space="preserve">ISO/IEC 25010:2023. Systems and software engineering — SQuaRE — System and software quality models. — Geneva : ISO, 2023. — 34 p.</w:t>
      </w:r>
    </w:p>
    <w:p>
      <w:pPr>
        <w:numPr>
          <w:ilvl w:val="0"/>
          <w:numId w:val="1014"/>
        </w:numPr>
        <w:pStyle w:val="Compact"/>
      </w:pPr>
      <w:r>
        <w:t xml:space="preserve">Sutherland J., Schwaber K. Scrum Guide 2020 [Электронный ресурс]. — URL: https://scrumguides.org (дата обращения: 22.04.2026).</w:t>
      </w:r>
    </w:p>
    <w:p>
      <w:pPr>
        <w:numPr>
          <w:ilvl w:val="0"/>
          <w:numId w:val="1014"/>
        </w:numPr>
        <w:pStyle w:val="Compact"/>
      </w:pPr>
      <w:r>
        <w:t xml:space="preserve">MinIO Inc. MinIO Server Documentation [Электронный ресурс]. — URL: https://min.io/docs/minio/linux/index.html (дата обращения: 23.04.2026).</w:t>
      </w:r>
    </w:p>
    <w:p>
      <w:pPr>
        <w:pStyle w:val="Heading1"/>
      </w:pPr>
      <w:bookmarkStart w:id="49" w:name="приложение-а.-uml-диаграммы"/>
      <w:r>
        <w:t xml:space="preserve">ПРИЛОЖЕНИЕ А. UML-ДИАГРАММЫ</w:t>
      </w:r>
      <w:bookmarkEnd w:id="49"/>
    </w:p>
    <w:p>
      <w:pPr>
        <w:pStyle w:val="FirstParagraph"/>
      </w:pPr>
      <w:r>
        <w:t xml:space="preserve">В настоящем приложении приведены 12 UML-диаграмм прототипа TaskHub. Исходные коды диаграмм на языке PlantUML размещены в каталоге</w:t>
      </w:r>
      <w:r>
        <w:t xml:space="preserve"> </w:t>
      </w:r>
      <w:r>
        <w:rPr>
          <w:rStyle w:val="VerbatimChar"/>
        </w:rPr>
        <w:t xml:space="preserve">docs/coursework/diagrams/</w:t>
      </w:r>
      <w:r>
        <w:t xml:space="preserve"> </w:t>
      </w:r>
      <w:r>
        <w:t xml:space="preserve">репозитория.</w:t>
      </w:r>
    </w:p>
    <w:p>
      <w:pPr>
        <w:pStyle w:val="Heading2"/>
      </w:pPr>
      <w:bookmarkStart w:id="50" w:name="а.1-диаграмма-вариантов-использования"/>
      <w:r>
        <w:t xml:space="preserve">А.1 Диаграмма вариантов использования</w:t>
      </w:r>
      <w:bookmarkEnd w:id="50"/>
    </w:p>
    <w:p>
      <w:pPr>
        <w:pStyle w:val="CaptionedFigure"/>
      </w:pPr>
      <w:r>
        <w:drawing>
          <wp:inline>
            <wp:extent cx="5334000" cy="7380530"/>
            <wp:effectExtent b="0" l="0" r="0" t="0"/>
            <wp:docPr descr="Рисунок А.1 — Диаграмма вариантов использования системы TaskHub" title="" id="1" name="Picture"/>
            <a:graphic>
              <a:graphicData uri="http://schemas.openxmlformats.org/drawingml/2006/picture">
                <pic:pic>
                  <pic:nvPicPr>
                    <pic:cNvPr descr="diagrams/png/use_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А.1 — Диаграмма вариантов использования системы TaskHub</w:t>
      </w:r>
    </w:p>
    <w:p>
      <w:pPr>
        <w:pStyle w:val="Heading2"/>
      </w:pPr>
      <w:bookmarkStart w:id="52" w:name="а.2-диаграмма-классов"/>
      <w:r>
        <w:t xml:space="preserve">А.2 Диаграмма классов</w:t>
      </w:r>
      <w:bookmarkEnd w:id="52"/>
    </w:p>
    <w:p>
      <w:pPr>
        <w:pStyle w:val="CaptionedFigure"/>
      </w:pPr>
      <w:r>
        <w:drawing>
          <wp:inline>
            <wp:extent cx="5334000" cy="3999608"/>
            <wp:effectExtent b="0" l="0" r="0" t="0"/>
            <wp:docPr descr="Рисунок А.2 — Диаграмма классов модели предметной области" title="" id="1" name="Picture"/>
            <a:graphic>
              <a:graphicData uri="http://schemas.openxmlformats.org/drawingml/2006/picture">
                <pic:pic>
                  <pic:nvPicPr>
                    <pic:cNvPr descr="diagrams/png/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А.2 — Диаграмма классов модели предметной области</w:t>
      </w:r>
    </w:p>
    <w:p>
      <w:pPr>
        <w:pStyle w:val="Heading2"/>
      </w:pPr>
      <w:bookmarkStart w:id="54" w:name="а.3-er-диаграмма-базы-данных"/>
      <w:r>
        <w:t xml:space="preserve">А.3 ER-диаграмма базы данных</w:t>
      </w:r>
      <w:bookmarkEnd w:id="54"/>
    </w:p>
    <w:p>
      <w:pPr>
        <w:pStyle w:val="CaptionedFigure"/>
      </w:pPr>
      <w:r>
        <w:drawing>
          <wp:inline>
            <wp:extent cx="5334000" cy="6834697"/>
            <wp:effectExtent b="0" l="0" r="0" t="0"/>
            <wp:docPr descr="Рисунок А.3 — ER-диаграмма базы данных PostgreSQL" title="" id="1" name="Picture"/>
            <a:graphic>
              <a:graphicData uri="http://schemas.openxmlformats.org/drawingml/2006/picture">
                <pic:pic>
                  <pic:nvPicPr>
                    <pic:cNvPr descr="diagrams/png/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А.3 — ER-диаграмма базы данных PostgreSQL</w:t>
      </w:r>
    </w:p>
    <w:p>
      <w:pPr>
        <w:pStyle w:val="Heading2"/>
      </w:pPr>
      <w:bookmarkStart w:id="56" w:name="X5da9feb1a5508936284700599961f45d1ca477b"/>
      <w:r>
        <w:t xml:space="preserve">А.4 Диаграмма последовательности: вход в систему</w:t>
      </w:r>
      <w:bookmarkEnd w:id="56"/>
    </w:p>
    <w:p>
      <w:pPr>
        <w:pStyle w:val="CaptionedFigure"/>
      </w:pPr>
      <w:r>
        <w:drawing>
          <wp:inline>
            <wp:extent cx="5334000" cy="2439000"/>
            <wp:effectExtent b="0" l="0" r="0" t="0"/>
            <wp:docPr descr="Рисунок А.4 — Диаграмма последовательности «Вход пользователя»" title="" id="1" name="Picture"/>
            <a:graphic>
              <a:graphicData uri="http://schemas.openxmlformats.org/drawingml/2006/picture">
                <pic:pic>
                  <pic:nvPicPr>
                    <pic:cNvPr descr="diagrams/png/sequence_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А.4 — Диаграмма последовательности «Вход пользователя»</w:t>
      </w:r>
    </w:p>
    <w:p>
      <w:pPr>
        <w:pStyle w:val="Heading2"/>
      </w:pPr>
      <w:bookmarkStart w:id="58" w:name="Xb0c82afac0bb9e9df0723f440adba47e39044ea"/>
      <w:r>
        <w:t xml:space="preserve">А.5 Диаграмма последовательности: создание задачи</w:t>
      </w:r>
      <w:bookmarkEnd w:id="58"/>
    </w:p>
    <w:p>
      <w:pPr>
        <w:pStyle w:val="CaptionedFigure"/>
      </w:pPr>
      <w:r>
        <w:drawing>
          <wp:inline>
            <wp:extent cx="5334000" cy="2129762"/>
            <wp:effectExtent b="0" l="0" r="0" t="0"/>
            <wp:docPr descr="Рисунок А.5 — Диаграмма последовательности «Создание задачи»" title="" id="1" name="Picture"/>
            <a:graphic>
              <a:graphicData uri="http://schemas.openxmlformats.org/drawingml/2006/picture">
                <pic:pic>
                  <pic:nvPicPr>
                    <pic:cNvPr descr="diagrams/png/sequence_create_iss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А.5 — Диаграмма последовательности «Создание задачи»</w:t>
      </w:r>
    </w:p>
    <w:p>
      <w:pPr>
        <w:pStyle w:val="Heading2"/>
      </w:pPr>
      <w:bookmarkStart w:id="60" w:name="Xaabe6a0327a647ca154f50bfc495f26def5ecff"/>
      <w:r>
        <w:t xml:space="preserve">А.6 Диаграмма последовательности: перенос задачи на доске</w:t>
      </w:r>
      <w:bookmarkEnd w:id="60"/>
    </w:p>
    <w:p>
      <w:pPr>
        <w:pStyle w:val="CaptionedFigure"/>
      </w:pPr>
      <w:r>
        <w:drawing>
          <wp:inline>
            <wp:extent cx="5334000" cy="2195200"/>
            <wp:effectExtent b="0" l="0" r="0" t="0"/>
            <wp:docPr descr="Рисунок А.6 — Диаграмма последовательности «Перенос задачи на доске»" title="" id="1" name="Picture"/>
            <a:graphic>
              <a:graphicData uri="http://schemas.openxmlformats.org/drawingml/2006/picture">
                <pic:pic>
                  <pic:nvPicPr>
                    <pic:cNvPr descr="diagrams/png/sequence_move_iss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А.6 — Диаграмма последовательности «Перенос задачи на доске»</w:t>
      </w:r>
    </w:p>
    <w:p>
      <w:pPr>
        <w:pStyle w:val="Heading2"/>
      </w:pPr>
      <w:bookmarkStart w:id="62" w:name="Xe38025fa6bc6d7fbc22246badb186833454fbb0"/>
      <w:r>
        <w:t xml:space="preserve">А.7 Диаграмма активности: жизненный цикл задачи</w:t>
      </w:r>
      <w:bookmarkEnd w:id="62"/>
    </w:p>
    <w:p>
      <w:pPr>
        <w:pStyle w:val="CaptionedFigure"/>
      </w:pPr>
      <w:r>
        <w:drawing>
          <wp:inline>
            <wp:extent cx="5334000" cy="3337438"/>
            <wp:effectExtent b="0" l="0" r="0" t="0"/>
            <wp:docPr descr="Рисунок А.7 — Диаграмма активности «Жизненный цикл задачи»" title="" id="1" name="Picture"/>
            <a:graphic>
              <a:graphicData uri="http://schemas.openxmlformats.org/drawingml/2006/picture">
                <pic:pic>
                  <pic:nvPicPr>
                    <pic:cNvPr descr="diagrams/png/activity_issue_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А.7 — Диаграмма активности «Жизненный цикл задачи»</w:t>
      </w:r>
    </w:p>
    <w:p>
      <w:pPr>
        <w:pStyle w:val="Heading2"/>
      </w:pPr>
      <w:bookmarkStart w:id="64" w:name="а.8-диаграмма-состояний-задачи"/>
      <w:r>
        <w:t xml:space="preserve">А.8 Диаграмма состояний задачи</w:t>
      </w:r>
      <w:bookmarkEnd w:id="64"/>
    </w:p>
    <w:p>
      <w:pPr>
        <w:pStyle w:val="CaptionedFigure"/>
      </w:pPr>
      <w:r>
        <w:drawing>
          <wp:inline>
            <wp:extent cx="5334000" cy="4083029"/>
            <wp:effectExtent b="0" l="0" r="0" t="0"/>
            <wp:docPr descr="Рисунок А.8 — Диаграмма состояний задачи (Issue)" title="" id="1" name="Picture"/>
            <a:graphic>
              <a:graphicData uri="http://schemas.openxmlformats.org/drawingml/2006/picture">
                <pic:pic>
                  <pic:nvPicPr>
                    <pic:cNvPr descr="diagrams/png/state_iss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А.8 — Диаграмма состояний задачи (Issue)</w:t>
      </w:r>
    </w:p>
    <w:p>
      <w:pPr>
        <w:pStyle w:val="Heading2"/>
      </w:pPr>
      <w:bookmarkStart w:id="66" w:name="а.9-диаграмма-состояний-спринта"/>
      <w:r>
        <w:t xml:space="preserve">А.9 Диаграмма состояний спринта</w:t>
      </w:r>
      <w:bookmarkEnd w:id="66"/>
    </w:p>
    <w:p>
      <w:pPr>
        <w:pStyle w:val="CaptionedFigure"/>
      </w:pPr>
      <w:r>
        <w:drawing>
          <wp:inline>
            <wp:extent cx="4495800" cy="6794500"/>
            <wp:effectExtent b="0" l="0" r="0" t="0"/>
            <wp:docPr descr="Рисунок А.9 — Диаграмма состояний спринта (Sprint)" title="" id="1" name="Picture"/>
            <a:graphic>
              <a:graphicData uri="http://schemas.openxmlformats.org/drawingml/2006/picture">
                <pic:pic>
                  <pic:nvPicPr>
                    <pic:cNvPr descr="diagrams/png/state_spri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79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А.9 — Диаграмма состояний спринта (Sprint)</w:t>
      </w:r>
    </w:p>
    <w:p>
      <w:pPr>
        <w:pStyle w:val="Heading2"/>
      </w:pPr>
      <w:bookmarkStart w:id="68" w:name="а.10-диаграмма-компонентов"/>
      <w:r>
        <w:t xml:space="preserve">А.10 Диаграмма компонентов</w:t>
      </w:r>
      <w:bookmarkEnd w:id="68"/>
    </w:p>
    <w:p>
      <w:pPr>
        <w:pStyle w:val="CaptionedFigure"/>
      </w:pPr>
      <w:r>
        <w:drawing>
          <wp:inline>
            <wp:extent cx="5334000" cy="1148938"/>
            <wp:effectExtent b="0" l="0" r="0" t="0"/>
            <wp:docPr descr="Рисунок А.10 — Диаграмма компонентов системы TaskHub" title="" id="1" name="Picture"/>
            <a:graphic>
              <a:graphicData uri="http://schemas.openxmlformats.org/drawingml/2006/picture">
                <pic:pic>
                  <pic:nvPicPr>
                    <pic:cNvPr descr="diagrams/png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А.10 — Диаграмма компонентов системы TaskHub</w:t>
      </w:r>
    </w:p>
    <w:p>
      <w:pPr>
        <w:pStyle w:val="Heading2"/>
      </w:pPr>
      <w:bookmarkStart w:id="70" w:name="а.11-диаграмма-развёртывания"/>
      <w:r>
        <w:t xml:space="preserve">А.11 Диаграмма развёртывания</w:t>
      </w:r>
      <w:bookmarkEnd w:id="70"/>
    </w:p>
    <w:p>
      <w:pPr>
        <w:pStyle w:val="CaptionedFigure"/>
      </w:pPr>
      <w:r>
        <w:drawing>
          <wp:inline>
            <wp:extent cx="5334000" cy="3646337"/>
            <wp:effectExtent b="0" l="0" r="0" t="0"/>
            <wp:docPr descr="Рисунок А.11 — Диаграмма развёртывания на Docker Compose" title="" id="1" name="Picture"/>
            <a:graphic>
              <a:graphicData uri="http://schemas.openxmlformats.org/drawingml/2006/picture">
                <pic:pic>
                  <pic:nvPicPr>
                    <pic:cNvPr descr="diagrams/png/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А.11 — Диаграмма развёртывания на Docker Compose</w:t>
      </w:r>
    </w:p>
    <w:p>
      <w:pPr>
        <w:pStyle w:val="Heading2"/>
      </w:pPr>
      <w:bookmarkStart w:id="72" w:name="а.12-диаграмма-пакетов"/>
      <w:r>
        <w:t xml:space="preserve">А.12 Диаграмма пакетов</w:t>
      </w:r>
      <w:bookmarkEnd w:id="72"/>
    </w:p>
    <w:p>
      <w:pPr>
        <w:pStyle w:val="CaptionedFigure"/>
      </w:pPr>
      <w:r>
        <w:drawing>
          <wp:inline>
            <wp:extent cx="5334000" cy="1770735"/>
            <wp:effectExtent b="0" l="0" r="0" t="0"/>
            <wp:docPr descr="Рисунок А.12 — Диаграмма пакетов NestJS-приложения" title="" id="1" name="Picture"/>
            <a:graphic>
              <a:graphicData uri="http://schemas.openxmlformats.org/drawingml/2006/picture">
                <pic:pic>
                  <pic:nvPicPr>
                    <pic:cNvPr descr="diagrams/png/pack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А.12 — Диаграмма пакетов NestJS-приложения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55" Target="media/rId55.png" /><Relationship Type="http://schemas.openxmlformats.org/officeDocument/2006/relationships/image" Id="rId73" Target="media/rId73.png" /><Relationship Type="http://schemas.openxmlformats.org/officeDocument/2006/relationships/image" Id="rId59" Target="media/rId5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7" Target="media/rId67.png" /><Relationship Type="http://schemas.openxmlformats.org/officeDocument/2006/relationships/image" Id="rId51" Target="media/rId5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прототипа системы управления задачами (наподобие Jira) с полным комплектом UML-диаграмм</dc:title>
  <dc:creator>Курсовая работа</dc:creator>
  <dc:language>ru-RU</dc:language>
  <cp:keywords/>
  <dcterms:created xsi:type="dcterms:W3CDTF">2026-04-29T20:46:26Z</dcterms:created>
  <dcterms:modified xsi:type="dcterms:W3CDTF">2026-04-29T20:46:26Z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14pt</vt:lpwstr>
  </property>
  <property fmtid="{D5CDD505-2E9C-101B-9397-08002B2CF9AE}" pid="4" name="geometry">
    <vt:lpwstr/>
  </property>
  <property fmtid="{D5CDD505-2E9C-101B-9397-08002B2CF9AE}" pid="5" name="linestretch">
    <vt:lpwstr>1.5</vt:lpwstr>
  </property>
  <property fmtid="{D5CDD505-2E9C-101B-9397-08002B2CF9AE}" pid="6" name="mainfont">
    <vt:lpwstr>Times New Roman</vt:lpwstr>
  </property>
  <property fmtid="{D5CDD505-2E9C-101B-9397-08002B2CF9AE}" pid="7" name="numbersections">
    <vt:lpwstr>True</vt:lpwstr>
  </property>
  <property fmtid="{D5CDD505-2E9C-101B-9397-08002B2CF9AE}" pid="8" name="secnumdepth">
    <vt:lpwstr>3</vt:lpwstr>
  </property>
  <property fmtid="{D5CDD505-2E9C-101B-9397-08002B2CF9AE}" pid="9" name="toc">
    <vt:lpwstr>True</vt:lpwstr>
  </property>
  <property fmtid="{D5CDD505-2E9C-101B-9397-08002B2CF9AE}" pid="10" name="toc-depth">
    <vt:lpwstr>3</vt:lpwstr>
  </property>
</Properties>
</file>