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720"/>
        <w:gridCol w:w="3000"/>
      </w:tblGrid>
      <w:tr>
        <w:tc>
          <w:tcPr>
            <w:tcW w:type="dxa" w:w="6720"/>
            <w:tcBorders>
              <w:top w:val="none" w:color="FFFFFF" w:sz="0"/>
              <w:left w:val="none" w:color="FFFFFF" w:sz="0"/>
              <w:bottom w:val="none" w:color="FFFFFF" w:sz="0"/>
              <w:right w:val="none" w:color="FFFFFF" w:sz="0"/>
            </w:tcBorders>
            <w:vAlign w:val="center"/>
          </w:tcPr>
          <w:p>
            <w:r>
              <w:rPr>
                <w:rFonts w:ascii="Arial" w:cs="Arial" w:eastAsia="Arial" w:hAnsi="Arial"/>
                <w:b/>
                <w:bCs/>
                <w:color w:val="0B9E8A"/>
                <w:sz w:val="52"/>
                <w:szCs w:val="52"/>
              </w:rPr>
              <w:t xml:space="preserve">Ùlẹ̀rà AI</w:t>
            </w:r>
          </w:p>
          <w:p>
            <w:pPr>
              <w:spacing w:before="60"/>
            </w:pPr>
            <w:r>
              <w:rPr>
                <w:rFonts w:ascii="Arial" w:cs="Arial" w:eastAsia="Arial" w:hAnsi="Arial"/>
                <w:i/>
                <w:iCs/>
                <w:color w:val="666666"/>
                <w:sz w:val="20"/>
                <w:szCs w:val="20"/>
              </w:rPr>
              <w:t xml:space="preserve">Ìtọ́jú fún àwọn olùtọ́jú àti ẹni tí wọn tọ́jú</w:t>
            </w:r>
          </w:p>
        </w:tc>
        <w:tc>
          <w:tcPr>
            <w:tcW w:type="dxa" w:w="3000"/>
            <w:tcBorders>
              <w:top w:val="none" w:color="FFFFFF" w:sz="0"/>
              <w:left w:val="none" w:color="FFFFFF" w:sz="0"/>
              <w:bottom w:val="none" w:color="FFFFFF" w:sz="0"/>
              <w:right w:val="none" w:color="FFFFFF" w:sz="0"/>
            </w:tcBorders>
            <w:vAlign w:val="center"/>
          </w:tcPr>
          <w:p>
            <w:pPr>
              <w:jc w:val="right"/>
            </w:pPr>
            <w:r>
              <w:rPr>
                <w:rFonts w:ascii="Arial" w:cs="Arial" w:eastAsia="Arial" w:hAnsi="Arial"/>
                <w:color w:val="666666"/>
                <w:sz w:val="20"/>
                <w:szCs w:val="20"/>
              </w:rPr>
              <w:t xml:space="preserve">Solution &amp; Problem Brief</w:t>
            </w:r>
          </w:p>
          <w:p>
            <w:pPr>
              <w:jc w:val="right"/>
            </w:pPr>
            <w:r>
              <w:rPr>
                <w:rFonts w:ascii="Arial" w:cs="Arial" w:eastAsia="Arial" w:hAnsi="Arial"/>
                <w:color w:val="666666"/>
                <w:sz w:val="18"/>
                <w:szCs w:val="18"/>
              </w:rPr>
              <w:t xml:space="preserve">Founder: Promise Yanmife Adeniyi</w:t>
            </w:r>
          </w:p>
          <w:p>
            <w:pPr>
              <w:jc w:val="right"/>
            </w:pPr>
            <w:r>
              <w:rPr>
                <w:rFonts w:ascii="Arial" w:cs="Arial" w:eastAsia="Arial" w:hAnsi="Arial"/>
                <w:color w:val="0B9E8A"/>
                <w:sz w:val="18"/>
                <w:szCs w:val="18"/>
              </w:rPr>
              <w:t xml:space="preserve">adeniyipromiseyanmife@gmail.com</w:t>
            </w:r>
          </w:p>
        </w:tc>
      </w:tr>
    </w:tbl>
    <w:p>
      <w:pPr>
        <w:spacing w:before="120" w:after="0"/>
      </w:pPr>
      <w:r>
        <w:t xml:space="preserve"/>
      </w:r>
    </w:p>
    <w:p>
      <w:pPr>
        <w:pBdr>
          <w:bottom w:val="single" w:color="0B9E8A" w:sz="4" w:space="4"/>
        </w:pBdr>
        <w:spacing w:before="360" w:after="160"/>
      </w:pPr>
      <w:r>
        <w:rPr>
          <w:rFonts w:ascii="Arial" w:cs="Arial" w:eastAsia="Arial" w:hAnsi="Arial"/>
          <w:b/>
          <w:bCs/>
          <w:color w:val="0B9E8A"/>
          <w:sz w:val="30"/>
          <w:szCs w:val="30"/>
        </w:rPr>
        <w:t xml:space="preserve">The Problem</w:t>
      </w:r>
    </w:p>
    <w:p>
      <w:pPr>
        <w:spacing w:before="60" w:after="60"/>
      </w:pPr>
      <w:r>
        <w:rPr>
          <w:rFonts w:ascii="Arial" w:cs="Arial" w:eastAsia="Arial" w:hAnsi="Arial"/>
          <w:b w:val="false"/>
          <w:bCs w:val="false"/>
          <w:i w:val="false"/>
          <w:iCs w:val="false"/>
          <w:color w:val="1A1A1A"/>
          <w:sz w:val="22"/>
          <w:szCs w:val="22"/>
        </w:rPr>
        <w:t xml:space="preserve">Nigeria faces a compounding healthcare crisis — one that affects those who need care and those who provide it. Without urgent digital intervention, both will continue to fall through the cracks of a system that was never built to support them at scale.</w:t>
      </w:r>
    </w:p>
    <w:p>
      <w:pPr>
        <w:spacing w:before="120" w:after="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0"/>
        <w:gridCol w:w="200"/>
        <w:gridCol w:w="2200"/>
        <w:gridCol w:w="200"/>
        <w:gridCol w:w="2200"/>
        <w:gridCol w:w="200"/>
        <w:gridCol w:w="2200"/>
        <w:gridCol w:w="320"/>
      </w:tblGrid>
      <w:tr>
        <w:tc>
          <w:tcPr>
            <w:tcW w:type="dxa" w:w="2200"/>
            <w:tcBorders>
              <w:top w:val="none" w:color="FFFFFF" w:sz="0"/>
              <w:left w:val="none" w:color="FFFFFF" w:sz="0"/>
              <w:bottom w:val="none" w:color="FFFFFF" w:sz="0"/>
              <w:right w:val="none" w:color="FFFFFF" w:sz="0"/>
            </w:tcBorders>
            <w:shd w:fill="E8F7F5" w:val="clear"/>
            <w:tcMar>
              <w:top w:type="dxa" w:w="160"/>
              <w:left w:type="dxa" w:w="160"/>
              <w:bottom w:type="dxa" w:w="160"/>
              <w:right w:type="dxa" w:w="160"/>
            </w:tcMar>
          </w:tcPr>
          <w:p>
            <w:pPr>
              <w:jc w:val="center"/>
            </w:pPr>
            <w:r>
              <w:rPr>
                <w:rFonts w:ascii="Arial" w:cs="Arial" w:eastAsia="Arial" w:hAnsi="Arial"/>
                <w:b/>
                <w:bCs/>
                <w:color w:val="0B9E8A"/>
                <w:sz w:val="40"/>
                <w:szCs w:val="40"/>
              </w:rPr>
              <w:t xml:space="preserve">190M+</w:t>
            </w:r>
          </w:p>
          <w:p>
            <w:pPr>
              <w:jc w:val="center"/>
            </w:pPr>
            <w:r>
              <w:rPr>
                <w:rFonts w:ascii="Arial" w:cs="Arial" w:eastAsia="Arial" w:hAnsi="Arial"/>
                <w:color w:val="666666"/>
                <w:sz w:val="18"/>
                <w:szCs w:val="18"/>
              </w:rPr>
              <w:t xml:space="preserve">Nigerians uninsured</w:t>
            </w:r>
          </w:p>
        </w:tc>
        <w:tc>
          <w:tcPr>
            <w:tcW w:type="dxa" w:w="200"/>
            <w:tcBorders>
              <w:top w:val="none" w:color="FFFFFF" w:sz="0"/>
              <w:left w:val="none" w:color="FFFFFF" w:sz="0"/>
              <w:bottom w:val="none" w:color="FFFFFF" w:sz="0"/>
              <w:right w:val="none" w:color="FFFFFF" w:sz="0"/>
            </w:tcBorders>
          </w:tcPr>
          <w:p>
            <w:r>
              <w:t xml:space="preserve"/>
            </w:r>
          </w:p>
        </w:tc>
        <w:tc>
          <w:tcPr>
            <w:tcW w:type="dxa" w:w="2200"/>
            <w:tcBorders>
              <w:top w:val="none" w:color="FFFFFF" w:sz="0"/>
              <w:left w:val="none" w:color="FFFFFF" w:sz="0"/>
              <w:bottom w:val="none" w:color="FFFFFF" w:sz="0"/>
              <w:right w:val="none" w:color="FFFFFF" w:sz="0"/>
            </w:tcBorders>
            <w:shd w:fill="E8F7F5" w:val="clear"/>
            <w:tcMar>
              <w:top w:type="dxa" w:w="160"/>
              <w:left w:type="dxa" w:w="160"/>
              <w:bottom w:type="dxa" w:w="160"/>
              <w:right w:type="dxa" w:w="160"/>
            </w:tcMar>
          </w:tcPr>
          <w:p>
            <w:pPr>
              <w:jc w:val="center"/>
            </w:pPr>
            <w:r>
              <w:rPr>
                <w:rFonts w:ascii="Arial" w:cs="Arial" w:eastAsia="Arial" w:hAnsi="Arial"/>
                <w:b/>
                <w:bCs/>
                <w:color w:val="0B9E8A"/>
                <w:sz w:val="40"/>
                <w:szCs w:val="40"/>
              </w:rPr>
              <w:t xml:space="preserve">87%</w:t>
            </w:r>
          </w:p>
          <w:p>
            <w:pPr>
              <w:jc w:val="center"/>
            </w:pPr>
            <w:r>
              <w:rPr>
                <w:rFonts w:ascii="Arial" w:cs="Arial" w:eastAsia="Arial" w:hAnsi="Arial"/>
                <w:color w:val="666666"/>
                <w:sz w:val="18"/>
                <w:szCs w:val="18"/>
              </w:rPr>
              <w:t xml:space="preserve">of population — no health cover</w:t>
            </w:r>
          </w:p>
        </w:tc>
        <w:tc>
          <w:tcPr>
            <w:tcW w:type="dxa" w:w="200"/>
            <w:tcBorders>
              <w:top w:val="none" w:color="FFFFFF" w:sz="0"/>
              <w:left w:val="none" w:color="FFFFFF" w:sz="0"/>
              <w:bottom w:val="none" w:color="FFFFFF" w:sz="0"/>
              <w:right w:val="none" w:color="FFFFFF" w:sz="0"/>
            </w:tcBorders>
          </w:tcPr>
          <w:p>
            <w:r>
              <w:t xml:space="preserve"/>
            </w:r>
          </w:p>
        </w:tc>
        <w:tc>
          <w:tcPr>
            <w:tcW w:type="dxa" w:w="2200"/>
            <w:tcBorders>
              <w:top w:val="none" w:color="FFFFFF" w:sz="0"/>
              <w:left w:val="none" w:color="FFFFFF" w:sz="0"/>
              <w:bottom w:val="none" w:color="FFFFFF" w:sz="0"/>
              <w:right w:val="none" w:color="FFFFFF" w:sz="0"/>
            </w:tcBorders>
            <w:shd w:fill="E8F7F5" w:val="clear"/>
            <w:tcMar>
              <w:top w:type="dxa" w:w="160"/>
              <w:left w:type="dxa" w:w="160"/>
              <w:bottom w:type="dxa" w:w="160"/>
              <w:right w:type="dxa" w:w="160"/>
            </w:tcMar>
          </w:tcPr>
          <w:p>
            <w:pPr>
              <w:jc w:val="center"/>
            </w:pPr>
            <w:r>
              <w:rPr>
                <w:rFonts w:ascii="Arial" w:cs="Arial" w:eastAsia="Arial" w:hAnsi="Arial"/>
                <w:b/>
                <w:bCs/>
                <w:color w:val="0B9E8A"/>
                <w:sz w:val="40"/>
                <w:szCs w:val="40"/>
              </w:rPr>
              <w:t xml:space="preserve">69%</w:t>
            </w:r>
          </w:p>
          <w:p>
            <w:pPr>
              <w:jc w:val="center"/>
            </w:pPr>
            <w:r>
              <w:rPr>
                <w:rFonts w:ascii="Arial" w:cs="Arial" w:eastAsia="Arial" w:hAnsi="Arial"/>
                <w:color w:val="666666"/>
                <w:sz w:val="18"/>
                <w:szCs w:val="18"/>
              </w:rPr>
              <w:t xml:space="preserve">healthcare worker burnout rate</w:t>
            </w:r>
          </w:p>
        </w:tc>
        <w:tc>
          <w:tcPr>
            <w:tcW w:type="dxa" w:w="200"/>
            <w:tcBorders>
              <w:top w:val="none" w:color="FFFFFF" w:sz="0"/>
              <w:left w:val="none" w:color="FFFFFF" w:sz="0"/>
              <w:bottom w:val="none" w:color="FFFFFF" w:sz="0"/>
              <w:right w:val="none" w:color="FFFFFF" w:sz="0"/>
            </w:tcBorders>
          </w:tcPr>
          <w:p>
            <w:r>
              <w:t xml:space="preserve"/>
            </w:r>
          </w:p>
        </w:tc>
        <w:tc>
          <w:tcPr>
            <w:tcW w:type="dxa" w:w="2200"/>
            <w:tcBorders>
              <w:top w:val="none" w:color="FFFFFF" w:sz="0"/>
              <w:left w:val="none" w:color="FFFFFF" w:sz="0"/>
              <w:bottom w:val="none" w:color="FFFFFF" w:sz="0"/>
              <w:right w:val="none" w:color="FFFFFF" w:sz="0"/>
            </w:tcBorders>
            <w:shd w:fill="E8F7F5" w:val="clear"/>
            <w:tcMar>
              <w:top w:type="dxa" w:w="160"/>
              <w:left w:type="dxa" w:w="160"/>
              <w:bottom w:type="dxa" w:w="160"/>
              <w:right w:type="dxa" w:w="160"/>
            </w:tcMar>
          </w:tcPr>
          <w:p>
            <w:pPr>
              <w:jc w:val="center"/>
            </w:pPr>
            <w:r>
              <w:rPr>
                <w:rFonts w:ascii="Arial" w:cs="Arial" w:eastAsia="Arial" w:hAnsi="Arial"/>
                <w:b/>
                <w:bCs/>
                <w:color w:val="0B9E8A"/>
                <w:sz w:val="40"/>
                <w:szCs w:val="40"/>
              </w:rPr>
              <w:t xml:space="preserve">79%</w:t>
            </w:r>
          </w:p>
          <w:p>
            <w:pPr>
              <w:jc w:val="center"/>
            </w:pPr>
            <w:r>
              <w:rPr>
                <w:rFonts w:ascii="Arial" w:cs="Arial" w:eastAsia="Arial" w:hAnsi="Arial"/>
                <w:color w:val="666666"/>
                <w:sz w:val="18"/>
                <w:szCs w:val="18"/>
              </w:rPr>
              <w:t xml:space="preserve">pay fully out-of-pocket</w:t>
            </w:r>
          </w:p>
        </w:tc>
        <w:tc>
          <w:tcPr>
            <w:tcW w:type="dxa" w:w="320"/>
            <w:tcBorders>
              <w:top w:val="none" w:color="FFFFFF" w:sz="0"/>
              <w:left w:val="none" w:color="FFFFFF" w:sz="0"/>
              <w:bottom w:val="none" w:color="FFFFFF" w:sz="0"/>
              <w:right w:val="none" w:color="FFFFFF" w:sz="0"/>
            </w:tcBorders>
          </w:tcPr>
          <w:p>
            <w:r>
              <w:t xml:space="preserve"/>
            </w:r>
          </w:p>
        </w:tc>
      </w:tr>
    </w:tbl>
    <w:p>
      <w:pPr>
        <w:spacing w:before="160" w:after="0"/>
      </w:pPr>
      <w:r>
        <w:t xml:space="preserve"/>
      </w:r>
    </w:p>
    <w:p>
      <w:pPr>
        <w:spacing w:before="280" w:after="100"/>
      </w:pPr>
      <w:r>
        <w:rPr>
          <w:rFonts w:ascii="Arial" w:cs="Arial" w:eastAsia="Arial" w:hAnsi="Arial"/>
          <w:b/>
          <w:bCs/>
          <w:color w:val="1A1A1A"/>
          <w:sz w:val="24"/>
          <w:szCs w:val="24"/>
        </w:rPr>
        <w:t xml:space="preserve">1.1 — The Insurance Gap</w:t>
      </w:r>
    </w:p>
    <w:p>
      <w:pPr>
        <w:spacing w:before="60" w:after="60"/>
      </w:pPr>
      <w:r>
        <w:rPr>
          <w:rFonts w:ascii="Arial" w:cs="Arial" w:eastAsia="Arial" w:hAnsi="Arial"/>
          <w:b w:val="false"/>
          <w:bCs w:val="false"/>
          <w:i w:val="false"/>
          <w:iCs w:val="false"/>
          <w:color w:val="1A1A1A"/>
          <w:sz w:val="22"/>
          <w:szCs w:val="22"/>
        </w:rPr>
        <w:t xml:space="preserve">Only 13% of Nigerians have any form of health insurance coverage. Over 190 million people — 87% of the population — are completely uninsured, and 79% pay entirely out of pocket each time they fall ill. Free government schemes like the Basic Health Care Provision Fund (BHCPF), the Oyo State Health Insurance Agency (OYSHIA), and other state-level programmes exist across all 36 states and the FCT — yet most Nigerians have never heard of them. The gap is not the absence of solutions; it is the absence of access to information about those solutions.</w:t>
      </w:r>
    </w:p>
    <w:p>
      <w:pPr>
        <w:spacing w:before="80" w:after="0"/>
      </w:pPr>
      <w:r>
        <w:t xml:space="preserve"/>
      </w:r>
    </w:p>
    <w:p>
      <w:pPr>
        <w:spacing w:before="280" w:after="100"/>
      </w:pPr>
      <w:r>
        <w:rPr>
          <w:rFonts w:ascii="Arial" w:cs="Arial" w:eastAsia="Arial" w:hAnsi="Arial"/>
          <w:b/>
          <w:bCs/>
          <w:color w:val="1A1A1A"/>
          <w:sz w:val="24"/>
          <w:szCs w:val="24"/>
        </w:rPr>
        <w:t xml:space="preserve">1.2 — The Burnout Crisis</w:t>
      </w:r>
    </w:p>
    <w:p>
      <w:pPr>
        <w:spacing w:before="60" w:after="60"/>
      </w:pPr>
      <w:r>
        <w:rPr>
          <w:rFonts w:ascii="Arial" w:cs="Arial" w:eastAsia="Arial" w:hAnsi="Arial"/>
          <w:b w:val="false"/>
          <w:bCs w:val="false"/>
          <w:i w:val="false"/>
          <w:iCs w:val="false"/>
          <w:color w:val="1A1A1A"/>
          <w:sz w:val="22"/>
          <w:szCs w:val="22"/>
        </w:rPr>
        <w:t xml:space="preserve">Nigeria's healthcare workers are at breaking point. 69% are experiencing burnout — a figure driven by impossible patient loads, absent digital support tools, and a doctor-to-population ratio of just 2.9 per 10,000 people, far below the WHO-recommended 17. Beyond the human cost, burnout accelerates the brain drain that further depletes the system. There is no app built specifically for the Nigerian healthcare worker — no tool that tracks their mental and physical load, supports their documentation, or alerts them before the situation escalates.</w:t>
      </w:r>
    </w:p>
    <w:p>
      <w:pPr>
        <w:spacing w:before="80" w:after="0"/>
      </w:pPr>
      <w:r>
        <w:t xml:space="preserve"/>
      </w:r>
    </w:p>
    <w:p>
      <w:pPr>
        <w:spacing w:before="280" w:after="100"/>
      </w:pPr>
      <w:r>
        <w:rPr>
          <w:rFonts w:ascii="Arial" w:cs="Arial" w:eastAsia="Arial" w:hAnsi="Arial"/>
          <w:b/>
          <w:bCs/>
          <w:color w:val="1A1A1A"/>
          <w:sz w:val="24"/>
          <w:szCs w:val="24"/>
        </w:rPr>
        <w:t xml:space="preserve">1.3 — The Access Gap</w:t>
      </w:r>
    </w:p>
    <w:p>
      <w:pPr>
        <w:spacing w:before="60" w:after="60"/>
      </w:pPr>
      <w:r>
        <w:rPr>
          <w:rFonts w:ascii="Arial" w:cs="Arial" w:eastAsia="Arial" w:hAnsi="Arial"/>
          <w:b w:val="false"/>
          <w:bCs w:val="false"/>
          <w:i w:val="false"/>
          <w:iCs w:val="false"/>
          <w:color w:val="1A1A1A"/>
          <w:sz w:val="22"/>
          <w:szCs w:val="22"/>
        </w:rPr>
        <w:t xml:space="preserve">For patients, finding a nearby Primary Healthcare Centre (PHC) before a condition worsens is genuinely difficult. Most Nigerians do not know where their nearest government health facility is. Many do not know what health plans their state offers, or how to register. Without timely access to care, minor ailments escalate into emergencies — adding further pressure to an already overwhelmed system.</w:t>
      </w:r>
    </w:p>
    <w:p>
      <w:pPr>
        <w:spacing w:before="80" w:after="0"/>
      </w:pPr>
      <w:r>
        <w:t xml:space="preserve"/>
      </w:r>
    </w:p>
    <w:p>
      <w:pPr>
        <w:spacing w:before="280" w:after="100"/>
      </w:pPr>
      <w:r>
        <w:rPr>
          <w:rFonts w:ascii="Arial" w:cs="Arial" w:eastAsia="Arial" w:hAnsi="Arial"/>
          <w:b/>
          <w:bCs/>
          <w:color w:val="1A1A1A"/>
          <w:sz w:val="24"/>
          <w:szCs w:val="24"/>
        </w:rPr>
        <w:t xml:space="preserve">1.4 — The Mental Health Dimension</w:t>
      </w:r>
    </w:p>
    <w:p>
      <w:pPr>
        <w:spacing w:before="60" w:after="60"/>
      </w:pPr>
      <w:r>
        <w:rPr>
          <w:rFonts w:ascii="Arial" w:cs="Arial" w:eastAsia="Arial" w:hAnsi="Arial"/>
          <w:b w:val="false"/>
          <w:bCs w:val="false"/>
          <w:i w:val="false"/>
          <w:iCs w:val="false"/>
          <w:color w:val="1A1A1A"/>
          <w:sz w:val="22"/>
          <w:szCs w:val="22"/>
        </w:rPr>
        <w:t xml:space="preserve">Research from the University of Ibadan and related institutions indicates that approximately 9% of healthcare workers in high-pressure environments such as Abuja and Lagos show markers consistent with clinical depression — a figure almost certainly underreported due to cultural stigma. Nigerian healthcare workers are not trained to identify burnout in themselves, and no digital tool has been designed to do it for them — indirectly, sensitively, and in real time.</w:t>
      </w:r>
    </w:p>
    <w:p>
      <w:r>
        <w:br w:type="page"/>
      </w:r>
    </w:p>
    <w:p>
      <w:pPr>
        <w:pBdr>
          <w:bottom w:val="single" w:color="0B9E8A" w:sz="4" w:space="4"/>
        </w:pBdr>
        <w:spacing w:before="360" w:after="160"/>
      </w:pPr>
      <w:r>
        <w:rPr>
          <w:rFonts w:ascii="Arial" w:cs="Arial" w:eastAsia="Arial" w:hAnsi="Arial"/>
          <w:b/>
          <w:bCs/>
          <w:color w:val="0B9E8A"/>
          <w:sz w:val="30"/>
          <w:szCs w:val="30"/>
        </w:rPr>
        <w:t xml:space="preserve">The Solution — Ùlẹ̀rà AI</w:t>
      </w:r>
    </w:p>
    <w:p>
      <w:pPr>
        <w:spacing w:before="60" w:after="60"/>
      </w:pPr>
      <w:r>
        <w:rPr>
          <w:rFonts w:ascii="Arial" w:cs="Arial" w:eastAsia="Arial" w:hAnsi="Arial"/>
          <w:b w:val="false"/>
          <w:bCs w:val="false"/>
          <w:i w:val="false"/>
          <w:iCs w:val="false"/>
          <w:color w:val="1A1A1A"/>
          <w:sz w:val="22"/>
          <w:szCs w:val="22"/>
        </w:rPr>
        <w:t xml:space="preserve">Ùlẹ̀rà AI is a mobile-first intelligent health platform built to address Nigeria's dual healthcare crisis simultaneously — protecting the people who need care, and the people who provide it. Built by a licensed Community Health Extension Worker (CHEW) with five years of frontline experience in Oyo State, the platform adapts to who you are: your profession, your location, and the health season you are living through.</w:t>
      </w:r>
    </w:p>
    <w:p>
      <w:pPr>
        <w:spacing w:before="100" w:after="0"/>
      </w:pPr>
      <w:r>
        <w:t xml:space="preserve"/>
      </w:r>
    </w:p>
    <w:p>
      <w:pPr>
        <w:spacing w:before="280" w:after="100"/>
      </w:pPr>
      <w:r>
        <w:rPr>
          <w:rFonts w:ascii="Arial" w:cs="Arial" w:eastAsia="Arial" w:hAnsi="Arial"/>
          <w:b/>
          <w:bCs/>
          <w:color w:val="1A1A1A"/>
          <w:sz w:val="24"/>
          <w:szCs w:val="24"/>
        </w:rPr>
        <w:t xml:space="preserve">2.1 — Mode 02: Healthcare Professional</w:t>
      </w:r>
    </w:p>
    <w:p>
      <w:pPr>
        <w:spacing w:before="60" w:after="60"/>
      </w:pPr>
      <w:r>
        <w:rPr>
          <w:rFonts w:ascii="Arial" w:cs="Arial" w:eastAsia="Arial" w:hAnsi="Arial"/>
          <w:b w:val="false"/>
          <w:bCs w:val="false"/>
          <w:i w:val="false"/>
          <w:iCs w:val="false"/>
          <w:color w:val="1A1A1A"/>
          <w:sz w:val="22"/>
          <w:szCs w:val="22"/>
        </w:rPr>
        <w:t xml:space="preserve">Designed for doctors, nurses, CHEWs, pharmacists and all frontline health workers:</w:t>
      </w:r>
    </w:p>
    <w:p>
      <w:pPr>
        <w:pStyle w:val="ListParagraph"/>
        <w:numPr>
          <w:ilvl w:val="0"/>
          <w:numId w:val="2"/>
        </w:numPr>
        <w:spacing w:before="40" w:after="40"/>
      </w:pPr>
      <w:r>
        <w:rPr>
          <w:rFonts w:ascii="Arial" w:cs="Arial" w:eastAsia="Arial" w:hAnsi="Arial"/>
          <w:color w:val="1A1A1A"/>
          <w:sz w:val="22"/>
          <w:szCs w:val="22"/>
        </w:rPr>
        <w:t xml:space="preserve">AI Burnout Risk Tracker — real-time burnout score (0–100) measuring exhaustion, depersonalisation, and fulfilment using indirect behavioural questioning, designed to account for the cultural stigma around burnout in Nigerian healthcare settings.</w:t>
      </w:r>
    </w:p>
    <w:p>
      <w:pPr>
        <w:pStyle w:val="ListParagraph"/>
        <w:numPr>
          <w:ilvl w:val="0"/>
          <w:numId w:val="2"/>
        </w:numPr>
        <w:spacing w:before="40" w:after="40"/>
      </w:pPr>
      <w:r>
        <w:rPr>
          <w:rFonts w:ascii="Arial" w:cs="Arial" w:eastAsia="Arial" w:hAnsi="Arial"/>
          <w:color w:val="1A1A1A"/>
          <w:sz w:val="22"/>
          <w:szCs w:val="22"/>
        </w:rPr>
        <w:t xml:space="preserve">Smart Documentation Assistant — AI-generated SOAP notes, referral letters, follow-up summaries, and discharge documentation, reducing the administrative burden that contributes to burnout.</w:t>
      </w:r>
    </w:p>
    <w:p>
      <w:pPr>
        <w:pStyle w:val="ListParagraph"/>
        <w:numPr>
          <w:ilvl w:val="0"/>
          <w:numId w:val="2"/>
        </w:numPr>
        <w:spacing w:before="40" w:after="40"/>
      </w:pPr>
      <w:r>
        <w:rPr>
          <w:rFonts w:ascii="Arial" w:cs="Arial" w:eastAsia="Arial" w:hAnsi="Arial"/>
          <w:color w:val="1A1A1A"/>
          <w:sz w:val="22"/>
          <w:szCs w:val="22"/>
        </w:rPr>
        <w:t xml:space="preserve">Shift Schedule Assistant — daily task planner with custom entries and completion tracking.</w:t>
      </w:r>
    </w:p>
    <w:p>
      <w:pPr>
        <w:pStyle w:val="ListParagraph"/>
        <w:numPr>
          <w:ilvl w:val="0"/>
          <w:numId w:val="2"/>
        </w:numPr>
        <w:spacing w:before="40" w:after="40"/>
      </w:pPr>
      <w:r>
        <w:rPr>
          <w:rFonts w:ascii="Arial" w:cs="Arial" w:eastAsia="Arial" w:hAnsi="Arial"/>
          <w:color w:val="1A1A1A"/>
          <w:sz w:val="22"/>
          <w:szCs w:val="22"/>
        </w:rPr>
        <w:t xml:space="preserve">Custom Wellness Reminders — hydration, medication, and self-care prompts built around shift patterns.</w:t>
      </w:r>
    </w:p>
    <w:p>
      <w:pPr>
        <w:pStyle w:val="ListParagraph"/>
        <w:numPr>
          <w:ilvl w:val="0"/>
          <w:numId w:val="2"/>
        </w:numPr>
        <w:spacing w:before="40" w:after="40"/>
      </w:pPr>
      <w:r>
        <w:rPr>
          <w:rFonts w:ascii="Arial" w:cs="Arial" w:eastAsia="Arial" w:hAnsi="Arial"/>
          <w:color w:val="1A1A1A"/>
          <w:sz w:val="22"/>
          <w:szCs w:val="22"/>
        </w:rPr>
        <w:t xml:space="preserve">Daily Wellness Check-in — mood-based input that dynamically updates the burnout risk score.</w:t>
      </w:r>
    </w:p>
    <w:p>
      <w:pPr>
        <w:pStyle w:val="ListParagraph"/>
        <w:numPr>
          <w:ilvl w:val="0"/>
          <w:numId w:val="2"/>
        </w:numPr>
        <w:spacing w:before="40" w:after="40"/>
      </w:pPr>
      <w:r>
        <w:rPr>
          <w:rFonts w:ascii="Arial" w:cs="Arial" w:eastAsia="Arial" w:hAnsi="Arial"/>
          <w:color w:val="1A1A1A"/>
          <w:sz w:val="22"/>
          <w:szCs w:val="22"/>
        </w:rPr>
        <w:t xml:space="preserve">HMO Awareness Module — all 36 states and FCT health insurance plans with direct registration links.</w:t>
      </w:r>
    </w:p>
    <w:p>
      <w:pPr>
        <w:pStyle w:val="ListParagraph"/>
        <w:numPr>
          <w:ilvl w:val="0"/>
          <w:numId w:val="2"/>
        </w:numPr>
        <w:spacing w:before="40" w:after="40"/>
      </w:pPr>
      <w:r>
        <w:rPr>
          <w:rFonts w:ascii="Arial" w:cs="Arial" w:eastAsia="Arial" w:hAnsi="Arial"/>
          <w:color w:val="1A1A1A"/>
          <w:sz w:val="22"/>
          <w:szCs w:val="22"/>
        </w:rPr>
        <w:t xml:space="preserve">Season-Aware Health Advisories — Harmattan and rainy season health tips tailored to profession and location.</w:t>
      </w:r>
    </w:p>
    <w:p>
      <w:pPr>
        <w:pStyle w:val="ListParagraph"/>
        <w:numPr>
          <w:ilvl w:val="0"/>
          <w:numId w:val="2"/>
        </w:numPr>
        <w:spacing w:before="40" w:after="40"/>
      </w:pPr>
      <w:r>
        <w:rPr>
          <w:rFonts w:ascii="Arial" w:cs="Arial" w:eastAsia="Arial" w:hAnsi="Arial"/>
          <w:color w:val="1A1A1A"/>
          <w:sz w:val="22"/>
          <w:szCs w:val="22"/>
        </w:rPr>
        <w:t xml:space="preserve">Scan-to-Connect (Coming Soon) — QR-based patient linking for real-time follow-up tracking.</w:t>
      </w:r>
    </w:p>
    <w:p>
      <w:pPr>
        <w:spacing w:before="100" w:after="0"/>
      </w:pPr>
      <w:r>
        <w:t xml:space="preserve"/>
      </w:r>
    </w:p>
    <w:p>
      <w:pPr>
        <w:spacing w:before="280" w:after="100"/>
      </w:pPr>
      <w:r>
        <w:rPr>
          <w:rFonts w:ascii="Arial" w:cs="Arial" w:eastAsia="Arial" w:hAnsi="Arial"/>
          <w:b/>
          <w:bCs/>
          <w:color w:val="1A1A1A"/>
          <w:sz w:val="24"/>
          <w:szCs w:val="24"/>
        </w:rPr>
        <w:t xml:space="preserve">2.2 — Mode 03: Patient / Client</w:t>
      </w:r>
    </w:p>
    <w:p>
      <w:pPr>
        <w:spacing w:before="60" w:after="60"/>
      </w:pPr>
      <w:r>
        <w:rPr>
          <w:rFonts w:ascii="Arial" w:cs="Arial" w:eastAsia="Arial" w:hAnsi="Arial"/>
          <w:b w:val="false"/>
          <w:bCs w:val="false"/>
          <w:i w:val="false"/>
          <w:iCs w:val="false"/>
          <w:color w:val="1A1A1A"/>
          <w:sz w:val="22"/>
          <w:szCs w:val="22"/>
        </w:rPr>
        <w:t xml:space="preserve">Designed for individuals, traders, students, drivers, farmers, and caregivers:</w:t>
      </w:r>
    </w:p>
    <w:p>
      <w:pPr>
        <w:pStyle w:val="ListParagraph"/>
        <w:numPr>
          <w:ilvl w:val="0"/>
          <w:numId w:val="2"/>
        </w:numPr>
        <w:spacing w:before="40" w:after="40"/>
      </w:pPr>
      <w:r>
        <w:rPr>
          <w:rFonts w:ascii="Arial" w:cs="Arial" w:eastAsia="Arial" w:hAnsi="Arial"/>
          <w:color w:val="1A1A1A"/>
          <w:sz w:val="22"/>
          <w:szCs w:val="22"/>
        </w:rPr>
        <w:t xml:space="preserve">Profession-Aware Health Tips — AI-tailored daily health advice based on occupation and weather season.</w:t>
      </w:r>
    </w:p>
    <w:p>
      <w:pPr>
        <w:pStyle w:val="ListParagraph"/>
        <w:numPr>
          <w:ilvl w:val="0"/>
          <w:numId w:val="2"/>
        </w:numPr>
        <w:spacing w:before="40" w:after="40"/>
      </w:pPr>
      <w:r>
        <w:rPr>
          <w:rFonts w:ascii="Arial" w:cs="Arial" w:eastAsia="Arial" w:hAnsi="Arial"/>
          <w:color w:val="1A1A1A"/>
          <w:sz w:val="22"/>
          <w:szCs w:val="22"/>
        </w:rPr>
        <w:t xml:space="preserve">PHC GPS Locator — real-time facility finder using OpenStreetMap and Overpass API.</w:t>
      </w:r>
    </w:p>
    <w:p>
      <w:pPr>
        <w:pStyle w:val="ListParagraph"/>
        <w:numPr>
          <w:ilvl w:val="0"/>
          <w:numId w:val="2"/>
        </w:numPr>
        <w:spacing w:before="40" w:after="40"/>
      </w:pPr>
      <w:r>
        <w:rPr>
          <w:rFonts w:ascii="Arial" w:cs="Arial" w:eastAsia="Arial" w:hAnsi="Arial"/>
          <w:color w:val="1A1A1A"/>
          <w:sz w:val="22"/>
          <w:szCs w:val="22"/>
        </w:rPr>
        <w:t xml:space="preserve">HMO Awareness Module — state-by-state health insurance discovery with registration links.</w:t>
      </w:r>
    </w:p>
    <w:p>
      <w:pPr>
        <w:pStyle w:val="ListParagraph"/>
        <w:numPr>
          <w:ilvl w:val="0"/>
          <w:numId w:val="2"/>
        </w:numPr>
        <w:spacing w:before="40" w:after="40"/>
      </w:pPr>
      <w:r>
        <w:rPr>
          <w:rFonts w:ascii="Arial" w:cs="Arial" w:eastAsia="Arial" w:hAnsi="Arial"/>
          <w:color w:val="1A1A1A"/>
          <w:sz w:val="22"/>
          <w:szCs w:val="22"/>
        </w:rPr>
        <w:t xml:space="preserve">Symptom Diary — timestamped log of daily symptoms to track health trends over time.</w:t>
      </w:r>
    </w:p>
    <w:p>
      <w:pPr>
        <w:pStyle w:val="ListParagraph"/>
        <w:numPr>
          <w:ilvl w:val="0"/>
          <w:numId w:val="2"/>
        </w:numPr>
        <w:spacing w:before="40" w:after="40"/>
      </w:pPr>
      <w:r>
        <w:rPr>
          <w:rFonts w:ascii="Arial" w:cs="Arial" w:eastAsia="Arial" w:hAnsi="Arial"/>
          <w:color w:val="1A1A1A"/>
          <w:sz w:val="22"/>
          <w:szCs w:val="22"/>
        </w:rPr>
        <w:t xml:space="preserve">Medication Reminders — configurable reminders for drugs, supplements, and water intake.</w:t>
      </w:r>
    </w:p>
    <w:p>
      <w:pPr>
        <w:pStyle w:val="ListParagraph"/>
        <w:numPr>
          <w:ilvl w:val="0"/>
          <w:numId w:val="2"/>
        </w:numPr>
        <w:spacing w:before="40" w:after="40"/>
      </w:pPr>
      <w:r>
        <w:rPr>
          <w:rFonts w:ascii="Arial" w:cs="Arial" w:eastAsia="Arial" w:hAnsi="Arial"/>
          <w:color w:val="1A1A1A"/>
          <w:sz w:val="22"/>
          <w:szCs w:val="22"/>
        </w:rPr>
        <w:t xml:space="preserve">Caregiver Mode — manage health tracking for a family member.</w:t>
      </w:r>
    </w:p>
    <w:p>
      <w:pPr>
        <w:pStyle w:val="ListParagraph"/>
        <w:numPr>
          <w:ilvl w:val="0"/>
          <w:numId w:val="2"/>
        </w:numPr>
        <w:spacing w:before="40" w:after="40"/>
      </w:pPr>
      <w:r>
        <w:rPr>
          <w:rFonts w:ascii="Arial" w:cs="Arial" w:eastAsia="Arial" w:hAnsi="Arial"/>
          <w:color w:val="1A1A1A"/>
          <w:sz w:val="22"/>
          <w:szCs w:val="22"/>
        </w:rPr>
        <w:t xml:space="preserve">AI Health Chatbot — multilingual health companion in Nigerian English, Yoruba, Igbo, Hausa, and Naija Pidgin.</w:t>
      </w:r>
    </w:p>
    <w:p>
      <w:pPr>
        <w:spacing w:before="100" w:after="0"/>
      </w:pPr>
      <w:r>
        <w:t xml:space="preserve"/>
      </w:r>
    </w:p>
    <w:p>
      <w:pPr>
        <w:spacing w:before="280" w:after="100"/>
      </w:pPr>
      <w:r>
        <w:rPr>
          <w:rFonts w:ascii="Arial" w:cs="Arial" w:eastAsia="Arial" w:hAnsi="Arial"/>
          <w:b/>
          <w:bCs/>
          <w:color w:val="1A1A1A"/>
          <w:sz w:val="24"/>
          <w:szCs w:val="24"/>
        </w:rPr>
        <w:t xml:space="preserve">2.3 — Mode 01: Health Facility (Coming Soon)</w:t>
      </w:r>
    </w:p>
    <w:p>
      <w:pPr>
        <w:spacing w:before="60" w:after="60"/>
      </w:pPr>
      <w:r>
        <w:rPr>
          <w:rFonts w:ascii="Arial" w:cs="Arial" w:eastAsia="Arial" w:hAnsi="Arial"/>
          <w:b w:val="false"/>
          <w:bCs w:val="false"/>
          <w:i w:val="false"/>
          <w:iCs w:val="false"/>
          <w:color w:val="1A1A1A"/>
          <w:sz w:val="22"/>
          <w:szCs w:val="22"/>
        </w:rPr>
        <w:t xml:space="preserve">A clinic and hospital-facing dashboard for staff burnout monitoring, roster management, workload distribution, and early alert systems. This is where Ùlẹ̀rà AI scales from individual care to institutional transformation.</w:t>
      </w:r>
    </w:p>
    <w:p>
      <w:pPr>
        <w:spacing w:before="100" w:after="0"/>
      </w:pPr>
      <w:r>
        <w:t xml:space="preserve"/>
      </w:r>
    </w:p>
    <w:p>
      <w:pPr>
        <w:spacing w:before="280" w:after="100"/>
      </w:pPr>
      <w:r>
        <w:rPr>
          <w:rFonts w:ascii="Arial" w:cs="Arial" w:eastAsia="Arial" w:hAnsi="Arial"/>
          <w:b/>
          <w:bCs/>
          <w:color w:val="1A1A1A"/>
          <w:sz w:val="24"/>
          <w:szCs w:val="24"/>
        </w:rPr>
        <w:t xml:space="preserve">2.4 — Live AI Features (Coming Soon)</w:t>
      </w:r>
    </w:p>
    <w:p>
      <w:pPr>
        <w:spacing w:before="60" w:after="60"/>
      </w:pPr>
      <w:r>
        <w:rPr>
          <w:rFonts w:ascii="Arial" w:cs="Arial" w:eastAsia="Arial" w:hAnsi="Arial"/>
          <w:b w:val="false"/>
          <w:bCs w:val="false"/>
          <w:i w:val="false"/>
          <w:iCs w:val="false"/>
          <w:color w:val="1A1A1A"/>
          <w:sz w:val="22"/>
          <w:szCs w:val="22"/>
        </w:rPr>
        <w:t xml:space="preserve">Real-time voice consultation in Yoruba, Igbo, Hausa, and Naija Pidgin. Visual First Aid — point camera at an injury for AI-guided emergency response. These features are designed and scoped; they require infrastructure funding to deploy.</w:t>
      </w:r>
    </w:p>
    <w:p>
      <w:pPr>
        <w:spacing w:before="100" w:after="0"/>
      </w:pPr>
      <w:r>
        <w:t xml:space="preserve"/>
      </w:r>
    </w:p>
    <w:p>
      <w:pPr>
        <w:spacing w:before="280" w:after="100"/>
      </w:pPr>
      <w:r>
        <w:rPr>
          <w:rFonts w:ascii="Arial" w:cs="Arial" w:eastAsia="Arial" w:hAnsi="Arial"/>
          <w:b/>
          <w:bCs/>
          <w:color w:val="1A1A1A"/>
          <w:sz w:val="24"/>
          <w:szCs w:val="24"/>
        </w:rPr>
        <w:t xml:space="preserve">2.5 — Technical Foundation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00"/>
        <w:gridCol w:w="6920"/>
      </w:tblGrid>
      <w:tr>
        <w:tc>
          <w:tcPr>
            <w:tcW w:type="dxa" w:w="2800"/>
            <w:tcBorders>
              <w:top w:val="single" w:color="CCCCCC" w:sz="1"/>
              <w:left w:val="single" w:color="CCCCCC" w:sz="1"/>
              <w:bottom w:val="single" w:color="CCCCCC" w:sz="1"/>
              <w:right w:val="single" w:color="CCCCCC" w:sz="1"/>
            </w:tcBorders>
            <w:shd w:fill="E8F7F5" w:val="clear"/>
            <w:tcMar>
              <w:top w:type="dxa" w:w="80"/>
              <w:left w:type="dxa" w:w="120"/>
              <w:bottom w:type="dxa" w:w="80"/>
              <w:right w:type="dxa" w:w="120"/>
            </w:tcMar>
          </w:tcPr>
          <w:p>
            <w:r>
              <w:rPr>
                <w:rFonts w:ascii="Arial" w:cs="Arial" w:eastAsia="Arial" w:hAnsi="Arial"/>
                <w:b/>
                <w:bCs/>
                <w:sz w:val="22"/>
                <w:szCs w:val="22"/>
              </w:rPr>
              <w:t xml:space="preserve">Platform</w:t>
            </w:r>
          </w:p>
        </w:tc>
        <w:tc>
          <w:tcPr>
            <w:tcW w:type="dxa" w:w="6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Mobile-first progressive web app — works on any smartphone, no app store required</w:t>
            </w:r>
          </w:p>
        </w:tc>
      </w:tr>
      <w:tr>
        <w:tc>
          <w:tcPr>
            <w:tcW w:type="dxa" w:w="2800"/>
            <w:tcBorders>
              <w:top w:val="single" w:color="CCCCCC" w:sz="1"/>
              <w:left w:val="single" w:color="CCCCCC" w:sz="1"/>
              <w:bottom w:val="single" w:color="CCCCCC" w:sz="1"/>
              <w:right w:val="single" w:color="CCCCCC" w:sz="1"/>
            </w:tcBorders>
            <w:shd w:fill="E8F7F5" w:val="clear"/>
            <w:tcMar>
              <w:top w:type="dxa" w:w="80"/>
              <w:left w:type="dxa" w:w="120"/>
              <w:bottom w:type="dxa" w:w="80"/>
              <w:right w:type="dxa" w:w="120"/>
            </w:tcMar>
          </w:tcPr>
          <w:p>
            <w:r>
              <w:rPr>
                <w:rFonts w:ascii="Arial" w:cs="Arial" w:eastAsia="Arial" w:hAnsi="Arial"/>
                <w:b/>
                <w:bCs/>
                <w:sz w:val="22"/>
                <w:szCs w:val="22"/>
              </w:rPr>
              <w:t xml:space="preserve">AI Engine</w:t>
            </w:r>
          </w:p>
        </w:tc>
        <w:tc>
          <w:tcPr>
            <w:tcW w:type="dxa" w:w="6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Claude AI (Anthropic) — chatbot, smart documentation, and health advisory logic</w:t>
            </w:r>
          </w:p>
        </w:tc>
      </w:tr>
      <w:tr>
        <w:tc>
          <w:tcPr>
            <w:tcW w:type="dxa" w:w="2800"/>
            <w:tcBorders>
              <w:top w:val="single" w:color="CCCCCC" w:sz="1"/>
              <w:left w:val="single" w:color="CCCCCC" w:sz="1"/>
              <w:bottom w:val="single" w:color="CCCCCC" w:sz="1"/>
              <w:right w:val="single" w:color="CCCCCC" w:sz="1"/>
            </w:tcBorders>
            <w:shd w:fill="E8F7F5" w:val="clear"/>
            <w:tcMar>
              <w:top w:type="dxa" w:w="80"/>
              <w:left w:type="dxa" w:w="120"/>
              <w:bottom w:type="dxa" w:w="80"/>
              <w:right w:type="dxa" w:w="120"/>
            </w:tcMar>
          </w:tcPr>
          <w:p>
            <w:r>
              <w:rPr>
                <w:rFonts w:ascii="Arial" w:cs="Arial" w:eastAsia="Arial" w:hAnsi="Arial"/>
                <w:b/>
                <w:bCs/>
                <w:sz w:val="22"/>
                <w:szCs w:val="22"/>
              </w:rPr>
              <w:t xml:space="preserve">Location</w:t>
            </w:r>
          </w:p>
        </w:tc>
        <w:tc>
          <w:tcPr>
            <w:tcW w:type="dxa" w:w="6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OpenStreetMap / Overpass API — real-time PHC facility locator</w:t>
            </w:r>
          </w:p>
        </w:tc>
      </w:tr>
      <w:tr>
        <w:tc>
          <w:tcPr>
            <w:tcW w:type="dxa" w:w="2800"/>
            <w:tcBorders>
              <w:top w:val="single" w:color="CCCCCC" w:sz="1"/>
              <w:left w:val="single" w:color="CCCCCC" w:sz="1"/>
              <w:bottom w:val="single" w:color="CCCCCC" w:sz="1"/>
              <w:right w:val="single" w:color="CCCCCC" w:sz="1"/>
            </w:tcBorders>
            <w:shd w:fill="E8F7F5" w:val="clear"/>
            <w:tcMar>
              <w:top w:type="dxa" w:w="80"/>
              <w:left w:type="dxa" w:w="120"/>
              <w:bottom w:type="dxa" w:w="80"/>
              <w:right w:type="dxa" w:w="120"/>
            </w:tcMar>
          </w:tcPr>
          <w:p>
            <w:r>
              <w:rPr>
                <w:rFonts w:ascii="Arial" w:cs="Arial" w:eastAsia="Arial" w:hAnsi="Arial"/>
                <w:b/>
                <w:bCs/>
                <w:sz w:val="22"/>
                <w:szCs w:val="22"/>
              </w:rPr>
              <w:t xml:space="preserve">Hosting</w:t>
            </w:r>
          </w:p>
        </w:tc>
        <w:tc>
          <w:tcPr>
            <w:tcW w:type="dxa" w:w="6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GitHub Pages (current MVP) — scalable cloud infrastructure planned</w:t>
            </w:r>
          </w:p>
        </w:tc>
      </w:tr>
    </w:tbl>
    <w:p>
      <w:r>
        <w:br w:type="page"/>
      </w:r>
    </w:p>
    <w:p>
      <w:pPr>
        <w:pBdr>
          <w:bottom w:val="single" w:color="0B9E8A" w:sz="4" w:space="4"/>
        </w:pBdr>
        <w:spacing w:before="360" w:after="160"/>
      </w:pPr>
      <w:r>
        <w:rPr>
          <w:rFonts w:ascii="Arial" w:cs="Arial" w:eastAsia="Arial" w:hAnsi="Arial"/>
          <w:b/>
          <w:bCs/>
          <w:color w:val="0B9E8A"/>
          <w:sz w:val="30"/>
          <w:szCs w:val="30"/>
        </w:rPr>
        <w:t xml:space="preserve">Impact, Roadmap &amp; Call to Action</w:t>
      </w:r>
    </w:p>
    <w:p>
      <w:pPr>
        <w:spacing w:before="280" w:after="100"/>
      </w:pPr>
      <w:r>
        <w:rPr>
          <w:rFonts w:ascii="Arial" w:cs="Arial" w:eastAsia="Arial" w:hAnsi="Arial"/>
          <w:b/>
          <w:bCs/>
          <w:color w:val="1A1A1A"/>
          <w:sz w:val="24"/>
          <w:szCs w:val="24"/>
        </w:rPr>
        <w:t xml:space="preserve">3.1 — Impact in the First 6 Months</w:t>
      </w:r>
    </w:p>
    <w:p>
      <w:pPr>
        <w:spacing w:before="60" w:after="60"/>
      </w:pPr>
      <w:r>
        <w:rPr>
          <w:rFonts w:ascii="Arial" w:cs="Arial" w:eastAsia="Arial" w:hAnsi="Arial"/>
          <w:b w:val="false"/>
          <w:bCs w:val="false"/>
          <w:i w:val="false"/>
          <w:iCs w:val="false"/>
          <w:color w:val="1A1A1A"/>
          <w:sz w:val="22"/>
          <w:szCs w:val="22"/>
        </w:rPr>
        <w:t xml:space="preserve">With initial funding and deployment support, Ùlẹ̀rà AI targets the following outcomes within the first six months of full launch:</w:t>
      </w:r>
    </w:p>
    <w:p>
      <w:pPr>
        <w:pStyle w:val="ListParagraph"/>
        <w:numPr>
          <w:ilvl w:val="0"/>
          <w:numId w:val="2"/>
        </w:numPr>
        <w:spacing w:before="40" w:after="40"/>
      </w:pPr>
      <w:r>
        <w:rPr>
          <w:rFonts w:ascii="Arial" w:cs="Arial" w:eastAsia="Arial" w:hAnsi="Arial"/>
          <w:b/>
          <w:bCs/>
          <w:color w:val="1A1A1A"/>
          <w:sz w:val="22"/>
          <w:szCs w:val="22"/>
        </w:rPr>
        <w:t xml:space="preserve">50,000 active users</w:t>
      </w:r>
      <w:r>
        <w:rPr>
          <w:rFonts w:ascii="Arial" w:cs="Arial" w:eastAsia="Arial" w:hAnsi="Arial"/>
          <w:color w:val="1A1A1A"/>
          <w:sz w:val="22"/>
          <w:szCs w:val="22"/>
        </w:rPr>
        <w:t xml:space="preserve"> — healthcare workers and patients across Oyo, Lagos, and Abuja as priority states.</w:t>
      </w:r>
    </w:p>
    <w:p>
      <w:pPr>
        <w:pStyle w:val="ListParagraph"/>
        <w:numPr>
          <w:ilvl w:val="0"/>
          <w:numId w:val="2"/>
        </w:numPr>
        <w:spacing w:before="40" w:after="40"/>
      </w:pPr>
      <w:r>
        <w:rPr>
          <w:rFonts w:ascii="Arial" w:cs="Arial" w:eastAsia="Arial" w:hAnsi="Arial"/>
          <w:b/>
          <w:bCs/>
          <w:color w:val="1A1A1A"/>
          <w:sz w:val="22"/>
          <w:szCs w:val="22"/>
        </w:rPr>
        <w:t xml:space="preserve">10,000 healthcare workers</w:t>
      </w:r>
      <w:r>
        <w:rPr>
          <w:rFonts w:ascii="Arial" w:cs="Arial" w:eastAsia="Arial" w:hAnsi="Arial"/>
          <w:color w:val="1A1A1A"/>
          <w:sz w:val="22"/>
          <w:szCs w:val="22"/>
        </w:rPr>
        <w:t xml:space="preserve"> onboarded to Mode 02, with burnout risk scores actively tracked and documented.</w:t>
      </w:r>
    </w:p>
    <w:p>
      <w:pPr>
        <w:pStyle w:val="ListParagraph"/>
        <w:numPr>
          <w:ilvl w:val="0"/>
          <w:numId w:val="2"/>
        </w:numPr>
        <w:spacing w:before="40" w:after="40"/>
      </w:pPr>
      <w:r>
        <w:rPr>
          <w:rFonts w:ascii="Arial" w:cs="Arial" w:eastAsia="Arial" w:hAnsi="Arial"/>
          <w:b/>
          <w:bCs/>
          <w:color w:val="1A1A1A"/>
          <w:sz w:val="22"/>
          <w:szCs w:val="22"/>
        </w:rPr>
        <w:t xml:space="preserve">25,000 patients</w:t>
      </w:r>
      <w:r>
        <w:rPr>
          <w:rFonts w:ascii="Arial" w:cs="Arial" w:eastAsia="Arial" w:hAnsi="Arial"/>
          <w:color w:val="1A1A1A"/>
          <w:sz w:val="22"/>
          <w:szCs w:val="22"/>
        </w:rPr>
        <w:t xml:space="preserve"> introduced to their state HMO plans for the first time through the in-app awareness module.</w:t>
      </w:r>
    </w:p>
    <w:p>
      <w:pPr>
        <w:pStyle w:val="ListParagraph"/>
        <w:numPr>
          <w:ilvl w:val="0"/>
          <w:numId w:val="2"/>
        </w:numPr>
        <w:spacing w:before="40" w:after="40"/>
      </w:pPr>
      <w:r>
        <w:rPr>
          <w:rFonts w:ascii="Arial" w:cs="Arial" w:eastAsia="Arial" w:hAnsi="Arial"/>
          <w:b/>
          <w:bCs/>
          <w:color w:val="1A1A1A"/>
          <w:sz w:val="22"/>
          <w:szCs w:val="22"/>
        </w:rPr>
        <w:t xml:space="preserve">5,000 PHC locator searches</w:t>
      </w:r>
      <w:r>
        <w:rPr>
          <w:rFonts w:ascii="Arial" w:cs="Arial" w:eastAsia="Arial" w:hAnsi="Arial"/>
          <w:color w:val="1A1A1A"/>
          <w:sz w:val="22"/>
          <w:szCs w:val="22"/>
        </w:rPr>
        <w:t xml:space="preserve"> completed, connecting uninsured Nigerians to government health facilities before conditions escalate.</w:t>
      </w:r>
    </w:p>
    <w:p>
      <w:pPr>
        <w:pStyle w:val="ListParagraph"/>
        <w:numPr>
          <w:ilvl w:val="0"/>
          <w:numId w:val="2"/>
        </w:numPr>
        <w:spacing w:before="40" w:after="40"/>
      </w:pPr>
      <w:r>
        <w:rPr>
          <w:rFonts w:ascii="Arial" w:cs="Arial" w:eastAsia="Arial" w:hAnsi="Arial"/>
          <w:b/>
          <w:bCs/>
          <w:color w:val="1A1A1A"/>
          <w:sz w:val="22"/>
          <w:szCs w:val="22"/>
        </w:rPr>
        <w:t xml:space="preserve">30% reduction</w:t>
      </w:r>
      <w:r>
        <w:rPr>
          <w:rFonts w:ascii="Arial" w:cs="Arial" w:eastAsia="Arial" w:hAnsi="Arial"/>
          <w:color w:val="1A1A1A"/>
          <w:sz w:val="22"/>
          <w:szCs w:val="22"/>
        </w:rPr>
        <w:t xml:space="preserve"> in documentation time reported by healthcare workers using the Smart Documentation Assistant.</w:t>
      </w:r>
    </w:p>
    <w:p>
      <w:pPr>
        <w:pStyle w:val="ListParagraph"/>
        <w:numPr>
          <w:ilvl w:val="0"/>
          <w:numId w:val="2"/>
        </w:numPr>
        <w:spacing w:before="40" w:after="40"/>
      </w:pPr>
      <w:r>
        <w:rPr>
          <w:rFonts w:ascii="Arial" w:cs="Arial" w:eastAsia="Arial" w:hAnsi="Arial"/>
          <w:b/>
          <w:bCs/>
          <w:color w:val="1A1A1A"/>
          <w:sz w:val="22"/>
          <w:szCs w:val="22"/>
        </w:rPr>
        <w:t xml:space="preserve">Baseline data</w:t>
      </w:r>
      <w:r>
        <w:rPr>
          <w:rFonts w:ascii="Arial" w:cs="Arial" w:eastAsia="Arial" w:hAnsi="Arial"/>
          <w:color w:val="1A1A1A"/>
          <w:sz w:val="22"/>
          <w:szCs w:val="22"/>
        </w:rPr>
        <w:t xml:space="preserve"> collected on burnout patterns across professions and geographies — feeding into Nigeria's first AI-generated healthcare worker wellness dataset.</w:t>
      </w:r>
    </w:p>
    <w:p>
      <w:pPr>
        <w:spacing w:before="100" w:after="0"/>
      </w:pPr>
      <w:r>
        <w:t xml:space="preserve"/>
      </w:r>
    </w:p>
    <w:p>
      <w:pPr>
        <w:spacing w:before="280" w:after="100"/>
      </w:pPr>
      <w:r>
        <w:rPr>
          <w:rFonts w:ascii="Arial" w:cs="Arial" w:eastAsia="Arial" w:hAnsi="Arial"/>
          <w:b/>
          <w:bCs/>
          <w:color w:val="1A1A1A"/>
          <w:sz w:val="24"/>
          <w:szCs w:val="24"/>
        </w:rPr>
        <w:t xml:space="preserve">3.2 — Five-Year Roadmap</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800"/>
        <w:gridCol w:w="7920"/>
      </w:tblGrid>
      <w:tr>
        <w:tc>
          <w:tcPr>
            <w:tcW w:type="dxa" w:w="1800"/>
            <w:tcBorders>
              <w:top w:val="single" w:color="CCCCCC" w:sz="1"/>
              <w:left w:val="single" w:color="CCCCCC" w:sz="1"/>
              <w:bottom w:val="single" w:color="CCCCCC" w:sz="1"/>
              <w:right w:val="single" w:color="CCCCCC" w:sz="1"/>
            </w:tcBorders>
            <w:shd w:fill="E8F7F5" w:val="clear"/>
            <w:tcMar>
              <w:top w:type="dxa" w:w="80"/>
              <w:left w:type="dxa" w:w="120"/>
              <w:bottom w:type="dxa" w:w="80"/>
              <w:right w:type="dxa" w:w="120"/>
            </w:tcMar>
          </w:tcPr>
          <w:p>
            <w:r>
              <w:rPr>
                <w:rFonts w:ascii="Arial" w:cs="Arial" w:eastAsia="Arial" w:hAnsi="Arial"/>
                <w:b/>
                <w:bCs/>
                <w:color w:val="0B9E8A"/>
                <w:sz w:val="22"/>
                <w:szCs w:val="22"/>
              </w:rPr>
              <w:t xml:space="preserve">2026</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2"/>
                <w:szCs w:val="22"/>
              </w:rPr>
              <w:t xml:space="preserve">MVP launch — Mode 02 and Mode 03 fully live. 50,000 users. Oyo, Lagos, Abuja. Mode 01 (Health Facility Dashboard) in beta.</w:t>
            </w:r>
          </w:p>
        </w:tc>
      </w:tr>
      <w:tr>
        <w:tc>
          <w:tcPr>
            <w:tcW w:type="dxa" w:w="1800"/>
            <w:tcBorders>
              <w:top w:val="single" w:color="CCCCCC" w:sz="1"/>
              <w:left w:val="single" w:color="CCCCCC" w:sz="1"/>
              <w:bottom w:val="single" w:color="CCCCCC" w:sz="1"/>
              <w:right w:val="single" w:color="CCCCCC" w:sz="1"/>
            </w:tcBorders>
            <w:shd w:fill="E8F7F5" w:val="clear"/>
            <w:tcMar>
              <w:top w:type="dxa" w:w="80"/>
              <w:left w:type="dxa" w:w="120"/>
              <w:bottom w:type="dxa" w:w="80"/>
              <w:right w:type="dxa" w:w="120"/>
            </w:tcMar>
          </w:tcPr>
          <w:p>
            <w:r>
              <w:rPr>
                <w:rFonts w:ascii="Arial" w:cs="Arial" w:eastAsia="Arial" w:hAnsi="Arial"/>
                <w:b/>
                <w:bCs/>
                <w:color w:val="0B9E8A"/>
                <w:sz w:val="22"/>
                <w:szCs w:val="22"/>
              </w:rPr>
              <w:t xml:space="preserve">2027</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2"/>
                <w:szCs w:val="22"/>
              </w:rPr>
              <w:t xml:space="preserve">National rollout — all 36 states active. 500,000 users. Live AI voice features launched in Yoruba, Igbo, Hausa, and Naija Pidgin. First partnerships with state health ministries.</w:t>
            </w:r>
          </w:p>
        </w:tc>
      </w:tr>
      <w:tr>
        <w:tc>
          <w:tcPr>
            <w:tcW w:type="dxa" w:w="1800"/>
            <w:tcBorders>
              <w:top w:val="single" w:color="CCCCCC" w:sz="1"/>
              <w:left w:val="single" w:color="CCCCCC" w:sz="1"/>
              <w:bottom w:val="single" w:color="CCCCCC" w:sz="1"/>
              <w:right w:val="single" w:color="CCCCCC" w:sz="1"/>
            </w:tcBorders>
            <w:shd w:fill="E8F7F5" w:val="clear"/>
            <w:tcMar>
              <w:top w:type="dxa" w:w="80"/>
              <w:left w:type="dxa" w:w="120"/>
              <w:bottom w:type="dxa" w:w="80"/>
              <w:right w:type="dxa" w:w="120"/>
            </w:tcMar>
          </w:tcPr>
          <w:p>
            <w:r>
              <w:rPr>
                <w:rFonts w:ascii="Arial" w:cs="Arial" w:eastAsia="Arial" w:hAnsi="Arial"/>
                <w:b/>
                <w:bCs/>
                <w:color w:val="0B9E8A"/>
                <w:sz w:val="22"/>
                <w:szCs w:val="22"/>
              </w:rPr>
              <w:t xml:space="preserve">2028</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2"/>
                <w:szCs w:val="22"/>
              </w:rPr>
              <w:t xml:space="preserve">Institutional integration — Mode 01 fully deployed in 500+ PHCs and hospitals. 2 million users. NHIA data partnership for real-time insurance enrollment tracking.</w:t>
            </w:r>
          </w:p>
        </w:tc>
      </w:tr>
      <w:tr>
        <w:tc>
          <w:tcPr>
            <w:tcW w:type="dxa" w:w="1800"/>
            <w:tcBorders>
              <w:top w:val="single" w:color="CCCCCC" w:sz="1"/>
              <w:left w:val="single" w:color="CCCCCC" w:sz="1"/>
              <w:bottom w:val="single" w:color="CCCCCC" w:sz="1"/>
              <w:right w:val="single" w:color="CCCCCC" w:sz="1"/>
            </w:tcBorders>
            <w:shd w:fill="E8F7F5" w:val="clear"/>
            <w:tcMar>
              <w:top w:type="dxa" w:w="80"/>
              <w:left w:type="dxa" w:w="120"/>
              <w:bottom w:type="dxa" w:w="80"/>
              <w:right w:type="dxa" w:w="120"/>
            </w:tcMar>
          </w:tcPr>
          <w:p>
            <w:r>
              <w:rPr>
                <w:rFonts w:ascii="Arial" w:cs="Arial" w:eastAsia="Arial" w:hAnsi="Arial"/>
                <w:b/>
                <w:bCs/>
                <w:color w:val="0B9E8A"/>
                <w:sz w:val="22"/>
                <w:szCs w:val="22"/>
              </w:rPr>
              <w:t xml:space="preserve">2029</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2"/>
                <w:szCs w:val="22"/>
              </w:rPr>
              <w:t xml:space="preserve">Pan-African expansion — Ghana, Kenya, Rwanda pilot programmes. 5 million users. 30% of target population in Nigeria with active health insurance awareness.</w:t>
            </w:r>
          </w:p>
        </w:tc>
      </w:tr>
      <w:tr>
        <w:tc>
          <w:tcPr>
            <w:tcW w:type="dxa" w:w="1800"/>
            <w:tcBorders>
              <w:top w:val="single" w:color="CCCCCC" w:sz="1"/>
              <w:left w:val="single" w:color="CCCCCC" w:sz="1"/>
              <w:bottom w:val="single" w:color="CCCCCC" w:sz="1"/>
              <w:right w:val="single" w:color="CCCCCC" w:sz="1"/>
            </w:tcBorders>
            <w:shd w:fill="E8F7F5" w:val="clear"/>
            <w:tcMar>
              <w:top w:type="dxa" w:w="80"/>
              <w:left w:type="dxa" w:w="120"/>
              <w:bottom w:type="dxa" w:w="80"/>
              <w:right w:type="dxa" w:w="120"/>
            </w:tcMar>
          </w:tcPr>
          <w:p>
            <w:r>
              <w:rPr>
                <w:rFonts w:ascii="Arial" w:cs="Arial" w:eastAsia="Arial" w:hAnsi="Arial"/>
                <w:b/>
                <w:bCs/>
                <w:color w:val="0B9E8A"/>
                <w:sz w:val="22"/>
                <w:szCs w:val="22"/>
              </w:rPr>
              <w:t xml:space="preserve">2030</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2"/>
                <w:szCs w:val="22"/>
              </w:rPr>
              <w:t xml:space="preserve">50% of adult Nigerians with knowledge of and access to their state health insurance plan. 10 million users. Ùlẹ̀rà AI positioned as the digital infrastructure layer for community health in West Africa.</w:t>
            </w:r>
          </w:p>
        </w:tc>
      </w:tr>
    </w:tbl>
    <w:p>
      <w:pPr>
        <w:spacing w:before="120" w:after="0"/>
      </w:pPr>
      <w:r>
        <w:t xml:space="preserve"/>
      </w:r>
    </w:p>
    <w:p>
      <w:pPr>
        <w:spacing w:before="280" w:after="100"/>
      </w:pPr>
      <w:r>
        <w:rPr>
          <w:rFonts w:ascii="Arial" w:cs="Arial" w:eastAsia="Arial" w:hAnsi="Arial"/>
          <w:b/>
          <w:bCs/>
          <w:color w:val="1A1A1A"/>
          <w:sz w:val="24"/>
          <w:szCs w:val="24"/>
        </w:rPr>
        <w:t xml:space="preserve">3.3 — The Vision</w:t>
      </w:r>
    </w:p>
    <w:p>
      <w:pPr>
        <w:spacing w:before="60" w:after="60"/>
      </w:pPr>
      <w:r>
        <w:rPr>
          <w:rFonts w:ascii="Arial" w:cs="Arial" w:eastAsia="Arial" w:hAnsi="Arial"/>
          <w:b w:val="false"/>
          <w:bCs w:val="false"/>
          <w:i w:val="false"/>
          <w:iCs w:val="false"/>
          <w:color w:val="1A1A1A"/>
          <w:sz w:val="22"/>
          <w:szCs w:val="22"/>
        </w:rPr>
        <w:t xml:space="preserve">By 2030, we are not just building an app. We are building the digital nervous system of community healthcare in Nigeria — and beyond. A future where no Nigerian asks "where is the nearest clinic?" without getting an instant answer. A future where no healthcare worker burns out in silence. A future where 50% of Nigerians are insured, informed, and connected to the care they deserve.</w:t>
      </w:r>
    </w:p>
    <w:p>
      <w:pPr>
        <w:spacing w:before="100" w:after="0"/>
      </w:pPr>
      <w:r>
        <w:t xml:space="preserve"/>
      </w:r>
    </w:p>
    <w:p>
      <w:pPr>
        <w:spacing w:before="280" w:after="100"/>
      </w:pPr>
      <w:r>
        <w:rPr>
          <w:rFonts w:ascii="Arial" w:cs="Arial" w:eastAsia="Arial" w:hAnsi="Arial"/>
          <w:b/>
          <w:bCs/>
          <w:color w:val="1A1A1A"/>
          <w:sz w:val="24"/>
          <w:szCs w:val="24"/>
        </w:rPr>
        <w:t xml:space="preserve">3.4 — Call to Action</w:t>
      </w:r>
    </w:p>
    <w:p>
      <w:pPr>
        <w:spacing w:before="60" w:after="60"/>
      </w:pPr>
      <w:r>
        <w:rPr>
          <w:rFonts w:ascii="Arial" w:cs="Arial" w:eastAsia="Arial" w:hAnsi="Arial"/>
          <w:b w:val="false"/>
          <w:bCs w:val="false"/>
          <w:i w:val="false"/>
          <w:iCs w:val="false"/>
          <w:color w:val="1A1A1A"/>
          <w:sz w:val="22"/>
          <w:szCs w:val="22"/>
        </w:rPr>
        <w:t xml:space="preserve">The idea is proven. The platform exists. The data is real. What Ùlẹ̀rà AI needs now is a catalyst.</w:t>
      </w:r>
    </w:p>
    <w:p>
      <w:pPr>
        <w:spacing w:before="60" w:after="0"/>
      </w:pPr>
      <w:r>
        <w:t xml:space="preserve"/>
      </w:r>
    </w:p>
    <w:p>
      <w:pPr>
        <w:spacing w:before="60" w:after="60"/>
      </w:pPr>
      <w:r>
        <w:rPr>
          <w:rFonts w:ascii="Arial" w:cs="Arial" w:eastAsia="Arial" w:hAnsi="Arial"/>
          <w:b/>
          <w:bCs/>
          <w:i w:val="false"/>
          <w:iCs w:val="false"/>
          <w:color w:val="1A1A1A"/>
          <w:sz w:val="22"/>
          <w:szCs w:val="22"/>
        </w:rPr>
        <w:t xml:space="preserve">We are seeking partners who can provide:</w:t>
      </w:r>
    </w:p>
    <w:p>
      <w:pPr>
        <w:pStyle w:val="ListParagraph"/>
        <w:numPr>
          <w:ilvl w:val="0"/>
          <w:numId w:val="2"/>
        </w:numPr>
        <w:spacing w:before="40" w:after="40"/>
      </w:pPr>
      <w:r>
        <w:rPr>
          <w:rFonts w:ascii="Arial" w:cs="Arial" w:eastAsia="Arial" w:hAnsi="Arial"/>
          <w:b/>
          <w:bCs/>
          <w:color w:val="1A1A1A"/>
          <w:sz w:val="22"/>
          <w:szCs w:val="22"/>
        </w:rPr>
        <w:t xml:space="preserve">Funding</w:t>
      </w:r>
      <w:r>
        <w:rPr>
          <w:rFonts w:ascii="Arial" w:cs="Arial" w:eastAsia="Arial" w:hAnsi="Arial"/>
          <w:color w:val="1A1A1A"/>
          <w:sz w:val="22"/>
          <w:szCs w:val="22"/>
        </w:rPr>
        <w:t xml:space="preserve"> — to scale infrastructure, deploy live AI features, and execute a national rollout.</w:t>
      </w:r>
    </w:p>
    <w:p>
      <w:pPr>
        <w:pStyle w:val="ListParagraph"/>
        <w:numPr>
          <w:ilvl w:val="0"/>
          <w:numId w:val="2"/>
        </w:numPr>
        <w:spacing w:before="40" w:after="40"/>
      </w:pPr>
      <w:r>
        <w:rPr>
          <w:rFonts w:ascii="Arial" w:cs="Arial" w:eastAsia="Arial" w:hAnsi="Arial"/>
          <w:b/>
          <w:bCs/>
          <w:color w:val="1A1A1A"/>
          <w:sz w:val="22"/>
          <w:szCs w:val="22"/>
        </w:rPr>
        <w:t xml:space="preserve">Technical acceleration</w:t>
      </w:r>
      <w:r>
        <w:rPr>
          <w:rFonts w:ascii="Arial" w:cs="Arial" w:eastAsia="Arial" w:hAnsi="Arial"/>
          <w:color w:val="1A1A1A"/>
          <w:sz w:val="22"/>
          <w:szCs w:val="22"/>
        </w:rPr>
        <w:t xml:space="preserve"> — cloud infrastructure, API partnerships, and engineering capacity.</w:t>
      </w:r>
    </w:p>
    <w:p>
      <w:pPr>
        <w:pStyle w:val="ListParagraph"/>
        <w:numPr>
          <w:ilvl w:val="0"/>
          <w:numId w:val="2"/>
        </w:numPr>
        <w:spacing w:before="40" w:after="40"/>
      </w:pPr>
      <w:r>
        <w:rPr>
          <w:rFonts w:ascii="Arial" w:cs="Arial" w:eastAsia="Arial" w:hAnsi="Arial"/>
          <w:b/>
          <w:bCs/>
          <w:color w:val="1A1A1A"/>
          <w:sz w:val="22"/>
          <w:szCs w:val="22"/>
        </w:rPr>
        <w:t xml:space="preserve">Institutional linkages</w:t>
      </w:r>
      <w:r>
        <w:rPr>
          <w:rFonts w:ascii="Arial" w:cs="Arial" w:eastAsia="Arial" w:hAnsi="Arial"/>
          <w:color w:val="1A1A1A"/>
          <w:sz w:val="22"/>
          <w:szCs w:val="22"/>
        </w:rPr>
        <w:t xml:space="preserve"> — connections to state health ministries, NHIA, PHC networks, and hospital systems.</w:t>
      </w:r>
    </w:p>
    <w:p>
      <w:pPr>
        <w:pStyle w:val="ListParagraph"/>
        <w:numPr>
          <w:ilvl w:val="0"/>
          <w:numId w:val="2"/>
        </w:numPr>
        <w:spacing w:before="40" w:after="40"/>
      </w:pPr>
      <w:r>
        <w:rPr>
          <w:rFonts w:ascii="Arial" w:cs="Arial" w:eastAsia="Arial" w:hAnsi="Arial"/>
          <w:b/>
          <w:bCs/>
          <w:color w:val="1A1A1A"/>
          <w:sz w:val="22"/>
          <w:szCs w:val="22"/>
        </w:rPr>
        <w:t xml:space="preserve">Market access</w:t>
      </w:r>
      <w:r>
        <w:rPr>
          <w:rFonts w:ascii="Arial" w:cs="Arial" w:eastAsia="Arial" w:hAnsi="Arial"/>
          <w:color w:val="1A1A1A"/>
          <w:sz w:val="22"/>
          <w:szCs w:val="22"/>
        </w:rPr>
        <w:t xml:space="preserve"> — distribution partnerships to reach healthcare workers and uninsured Nigerians at scale.</w:t>
      </w:r>
    </w:p>
    <w:p>
      <w:pPr>
        <w:spacing w:before="100" w:after="0"/>
      </w:pPr>
      <w:r>
        <w:t xml:space="preserve"/>
      </w:r>
    </w:p>
    <w:p>
      <w:pPr>
        <w:spacing w:before="60" w:after="60"/>
      </w:pPr>
      <w:r>
        <w:rPr>
          <w:rFonts w:ascii="Arial" w:cs="Arial" w:eastAsia="Arial" w:hAnsi="Arial"/>
          <w:b w:val="false"/>
          <w:bCs w:val="false"/>
          <w:i/>
          <w:iCs/>
          <w:color w:val="1A1A1A"/>
          <w:sz w:val="22"/>
          <w:szCs w:val="22"/>
        </w:rPr>
        <w:t xml:space="preserve">This is not a concept. It is a working product, built by someone who has lived the problem. We are not asking you to fund a hypothesis — we are asking you to help us scale a solution that is already in motion.</w:t>
      </w:r>
    </w:p>
    <w:p>
      <w:pPr>
        <w:spacing w:before="120" w:after="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E8F7F5" w:val="clear"/>
            <w:tcMar>
              <w:top w:type="dxa" w:w="160"/>
              <w:left w:type="dxa" w:w="200"/>
              <w:bottom w:type="dxa" w:w="160"/>
              <w:right w:type="dxa" w:w="200"/>
            </w:tcMar>
          </w:tcPr>
          <w:p>
            <w:pPr>
              <w:jc w:val="center"/>
            </w:pPr>
            <w:r>
              <w:rPr>
                <w:rFonts w:ascii="Arial" w:cs="Arial" w:eastAsia="Arial" w:hAnsi="Arial"/>
                <w:b/>
                <w:bCs/>
                <w:color w:val="0B9E8A"/>
                <w:sz w:val="22"/>
                <w:szCs w:val="22"/>
              </w:rPr>
              <w:t xml:space="preserve">Ùlẹ̀rà AI  —  Ìtọ́jú fún àwọn olùtọ́jú àti ẹni tí wọn tọ́jú</w:t>
            </w:r>
          </w:p>
          <w:p>
            <w:pPr>
              <w:spacing w:before="60"/>
              <w:jc w:val="center"/>
            </w:pPr>
            <w:r>
              <w:rPr>
                <w:rFonts w:ascii="Arial" w:cs="Arial" w:eastAsia="Arial" w:hAnsi="Arial"/>
                <w:color w:val="666666"/>
                <w:sz w:val="20"/>
                <w:szCs w:val="20"/>
              </w:rPr>
              <w:t xml:space="preserve">Promise Yanmife Adeniyi  |  adeniyipromiseyanmife@gmail.com  |  Ibadan, Oyo State, Nigeria</w:t>
            </w:r>
          </w:p>
          <w:p>
            <w:pPr>
              <w:spacing w:before="40"/>
              <w:jc w:val="center"/>
            </w:pPr>
            <w:r>
              <w:rPr>
                <w:rFonts w:ascii="Arial" w:cs="Arial" w:eastAsia="Arial" w:hAnsi="Arial"/>
                <w:color w:val="0B9E8A"/>
                <w:sz w:val="20"/>
                <w:szCs w:val="20"/>
              </w:rPr>
              <w:t xml:space="preserve">Live Demo: adeniyipromiseyanmife-commits.github.io/HEALTHGUARD-AI-</w:t>
            </w:r>
          </w:p>
        </w:tc>
      </w:tr>
    </w:tbl>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2026-03-28T09:17:34.064Z</dcterms:created>
  <dcterms:modified xsi:type="dcterms:W3CDTF">2026-03-28T09:17:34.064Z</dcterms:modified>
</cp:coreProperties>
</file>

<file path=docProps/custom.xml><?xml version="1.0" encoding="utf-8"?>
<Properties xmlns="http://schemas.openxmlformats.org/officeDocument/2006/custom-properties" xmlns:vt="http://schemas.openxmlformats.org/officeDocument/2006/docPropsVTypes"/>
</file>