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0ADAA" w14:textId="77777777" w:rsidR="000A262A" w:rsidRDefault="000A262A" w:rsidP="000A262A">
      <w:pPr>
        <w:pStyle w:val="Title"/>
        <w:spacing w:after="60"/>
      </w:pPr>
      <w:r>
        <w:t>TIER-Plus Validation Feedback</w:t>
      </w:r>
    </w:p>
    <w:p w14:paraId="29D34B8B" w14:textId="77777777" w:rsidR="000A262A" w:rsidRDefault="000A262A" w:rsidP="000A262A">
      <w:pPr>
        <w:spacing w:after="120"/>
      </w:pPr>
      <w:r>
        <w:rPr>
          <w:b/>
          <w:bCs/>
          <w:color w:val="2E5395"/>
          <w:sz w:val="26"/>
          <w:szCs w:val="26"/>
        </w:rPr>
        <w:t>Consolidated Points for the Next Iteration of Work</w:t>
      </w:r>
    </w:p>
    <w:p w14:paraId="2A05E5D8" w14:textId="77777777" w:rsidR="000A262A" w:rsidRDefault="000A262A" w:rsidP="000A262A">
      <w:pPr>
        <w:pStyle w:val="Heading1"/>
        <w:spacing w:before="320" w:after="140"/>
      </w:pPr>
      <w:r>
        <w:t>Sources combined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400"/>
        <w:gridCol w:w="5920"/>
      </w:tblGrid>
      <w:tr w:rsidR="004861A6" w14:paraId="20948B03" w14:textId="77777777" w:rsidTr="00EF6110">
        <w:trPr>
          <w:tblHeader/>
        </w:trPr>
        <w:tc>
          <w:tcPr>
            <w:tcW w:w="14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4F5AD9" w14:textId="77777777" w:rsidR="000A262A" w:rsidRDefault="000A262A" w:rsidP="00E166DE">
            <w:r>
              <w:rPr>
                <w:b/>
                <w:bCs/>
                <w:color w:val="FFFFFF"/>
                <w:sz w:val="19"/>
                <w:szCs w:val="19"/>
              </w:rPr>
              <w:t>Tag</w:t>
            </w:r>
          </w:p>
        </w:tc>
        <w:tc>
          <w:tcPr>
            <w:tcW w:w="240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5D0654" w14:textId="77777777" w:rsidR="000A262A" w:rsidRDefault="000A262A" w:rsidP="00E166DE">
            <w:r>
              <w:rPr>
                <w:b/>
                <w:bCs/>
                <w:color w:val="FFFFFF"/>
                <w:sz w:val="19"/>
                <w:szCs w:val="19"/>
              </w:rPr>
              <w:t>Source</w:t>
            </w:r>
          </w:p>
        </w:tc>
        <w:tc>
          <w:tcPr>
            <w:tcW w:w="5920" w:type="dxa"/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C8BA01" w14:textId="77777777" w:rsidR="000A262A" w:rsidRDefault="000A262A" w:rsidP="00E166DE">
            <w:r>
              <w:rPr>
                <w:b/>
                <w:bCs/>
                <w:color w:val="FFFFFF"/>
                <w:sz w:val="19"/>
                <w:szCs w:val="19"/>
              </w:rPr>
              <w:t>Contents</w:t>
            </w:r>
          </w:p>
        </w:tc>
      </w:tr>
      <w:tr w:rsidR="004861A6" w14:paraId="44A4B399" w14:textId="77777777" w:rsidTr="00EF6110">
        <w:tc>
          <w:tcPr>
            <w:tcW w:w="14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A5B2F9" w14:textId="77777777" w:rsidR="000A262A" w:rsidRDefault="000A262A" w:rsidP="00E166DE">
            <w:r>
              <w:rPr>
                <w:color w:val="000000"/>
                <w:sz w:val="19"/>
                <w:szCs w:val="19"/>
              </w:rPr>
              <w:t>R1–R8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D00632" w14:textId="77777777" w:rsidR="000A262A" w:rsidRDefault="000A262A" w:rsidP="00E166DE">
            <w:r>
              <w:rPr>
                <w:color w:val="000000"/>
                <w:sz w:val="19"/>
                <w:szCs w:val="19"/>
              </w:rPr>
              <w:t>Validation questionnaire (Excel, n=8)</w:t>
            </w:r>
          </w:p>
        </w:tc>
        <w:tc>
          <w:tcPr>
            <w:tcW w:w="59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8AA33A" w14:textId="77777777" w:rsidR="000A262A" w:rsidRDefault="000A262A" w:rsidP="00E166DE">
            <w:r>
              <w:rPr>
                <w:color w:val="000000"/>
                <w:sz w:val="19"/>
                <w:szCs w:val="19"/>
              </w:rPr>
              <w:t>Malawi NGO (R1), Mozambique MoH (R2), South Africa DSD consultant (R3), Zimbabwe community org (R4), Mozambique MoH (R5), Zimbabwe NGO (R6), Kenya NGO (R7), South Africa implementing partner (R8)</w:t>
            </w:r>
          </w:p>
        </w:tc>
      </w:tr>
      <w:tr w:rsidR="004861A6" w14:paraId="0C7AAD72" w14:textId="77777777" w:rsidTr="00EF6110">
        <w:tc>
          <w:tcPr>
            <w:tcW w:w="14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8AD204" w14:textId="77777777" w:rsidR="000A262A" w:rsidRDefault="000A262A" w:rsidP="00E166DE">
            <w:r>
              <w:rPr>
                <w:color w:val="000000"/>
                <w:sz w:val="19"/>
                <w:szCs w:val="19"/>
              </w:rPr>
              <w:t>Jeff</w:t>
            </w:r>
          </w:p>
        </w:tc>
        <w:tc>
          <w:tcPr>
            <w:tcW w:w="24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A7D0B3" w14:textId="77777777" w:rsidR="000A262A" w:rsidRDefault="000A262A" w:rsidP="00E166DE">
            <w:r>
              <w:rPr>
                <w:color w:val="000000"/>
                <w:sz w:val="19"/>
                <w:szCs w:val="19"/>
              </w:rPr>
              <w:t>Validation_Feedback_-_TIER_-_Jeff.docx</w:t>
            </w:r>
          </w:p>
        </w:tc>
        <w:tc>
          <w:tcPr>
            <w:tcW w:w="592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FE366D" w14:textId="77777777" w:rsidR="000A262A" w:rsidRDefault="000A262A" w:rsidP="00E166DE">
            <w:r>
              <w:rPr>
                <w:color w:val="000000"/>
                <w:sz w:val="19"/>
                <w:szCs w:val="19"/>
              </w:rPr>
              <w:t>4 structured comments on layout, interactivity and PrEP coverage</w:t>
            </w:r>
          </w:p>
        </w:tc>
      </w:tr>
      <w:tr w:rsidR="004861A6" w14:paraId="10F6DC94" w14:textId="77777777" w:rsidTr="00EF6110">
        <w:tc>
          <w:tcPr>
            <w:tcW w:w="14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5CAA95" w14:textId="77777777" w:rsidR="000A262A" w:rsidRDefault="000A262A" w:rsidP="00E166DE">
            <w:r>
              <w:rPr>
                <w:color w:val="000000"/>
                <w:sz w:val="19"/>
                <w:szCs w:val="19"/>
              </w:rPr>
              <w:t>GDoc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08EA7F" w14:textId="77777777" w:rsidR="000A262A" w:rsidRDefault="000A262A" w:rsidP="00E166DE">
            <w:r>
              <w:rPr>
                <w:color w:val="000000"/>
                <w:sz w:val="19"/>
                <w:szCs w:val="19"/>
              </w:rPr>
              <w:t>Feedback_-_google_docs.docx</w:t>
            </w:r>
          </w:p>
        </w:tc>
        <w:tc>
          <w:tcPr>
            <w:tcW w:w="59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18F836" w14:textId="77777777" w:rsidR="000A262A" w:rsidRDefault="000A262A" w:rsidP="00E166DE">
            <w:r>
              <w:rPr>
                <w:color w:val="000000"/>
                <w:sz w:val="19"/>
                <w:szCs w:val="19"/>
              </w:rPr>
              <w:t>Formatting/labelling, added-functionality and “other” comments (reviewer unnamed in file)</w:t>
            </w:r>
          </w:p>
        </w:tc>
      </w:tr>
      <w:tr w:rsidR="004861A6" w14:paraId="3D992C30" w14:textId="77777777" w:rsidTr="00EF6110">
        <w:tc>
          <w:tcPr>
            <w:tcW w:w="14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78CCA4" w14:textId="77777777" w:rsidR="000A262A" w:rsidRDefault="000A262A" w:rsidP="00E166DE">
            <w:r>
              <w:rPr>
                <w:color w:val="000000"/>
                <w:sz w:val="19"/>
                <w:szCs w:val="19"/>
              </w:rPr>
              <w:t>DSD</w:t>
            </w:r>
          </w:p>
        </w:tc>
        <w:tc>
          <w:tcPr>
            <w:tcW w:w="24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4F963B" w14:textId="77777777" w:rsidR="000A262A" w:rsidRDefault="000A262A" w:rsidP="00E166DE">
            <w:r>
              <w:rPr>
                <w:color w:val="000000"/>
                <w:sz w:val="19"/>
                <w:szCs w:val="19"/>
              </w:rPr>
              <w:t>DSD team request (relayed)</w:t>
            </w:r>
          </w:p>
        </w:tc>
        <w:tc>
          <w:tcPr>
            <w:tcW w:w="592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43296E" w14:textId="77777777" w:rsidR="000A262A" w:rsidRDefault="000A262A" w:rsidP="00E166DE">
            <w:r>
              <w:rPr>
                <w:color w:val="000000"/>
                <w:sz w:val="19"/>
                <w:szCs w:val="19"/>
              </w:rPr>
              <w:t>Request to model VL timing/frequency and annual vs 6-monthly clinical visits for stable ART patients; references the Q2 2026 DSD newsletter policy brief on annual clinical visits</w:t>
            </w:r>
          </w:p>
        </w:tc>
      </w:tr>
      <w:tr w:rsidR="004861A6" w14:paraId="7CB1BE1B" w14:textId="77777777" w:rsidTr="00EF6110">
        <w:tc>
          <w:tcPr>
            <w:tcW w:w="14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41155D" w14:textId="77777777" w:rsidR="000A262A" w:rsidRDefault="000A262A" w:rsidP="00E166DE">
            <w:r>
              <w:rPr>
                <w:color w:val="000000"/>
                <w:sz w:val="19"/>
                <w:szCs w:val="19"/>
              </w:rPr>
              <w:t>GDoc2</w:t>
            </w:r>
          </w:p>
        </w:tc>
        <w:tc>
          <w:tcPr>
            <w:tcW w:w="24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DD6827" w14:textId="77777777" w:rsidR="000A262A" w:rsidRDefault="000A262A" w:rsidP="00E166DE">
            <w:r>
              <w:rPr>
                <w:color w:val="000000"/>
                <w:sz w:val="19"/>
                <w:szCs w:val="19"/>
              </w:rPr>
              <w:t>Feedback — google docs (2nd reviewer)</w:t>
            </w:r>
          </w:p>
        </w:tc>
        <w:tc>
          <w:tcPr>
            <w:tcW w:w="592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F17210" w14:textId="77777777" w:rsidR="000A262A" w:rsidRDefault="000A262A" w:rsidP="00E166DE">
            <w:r>
              <w:rPr>
                <w:color w:val="000000"/>
                <w:sz w:val="19"/>
                <w:szCs w:val="19"/>
              </w:rPr>
              <w:t>Results-tab cascade chart; downloadable-report presentation (units, glossary, redundant figures); added-functionality asks (impact attribution; cost breakdown by intervention)</w:t>
            </w:r>
          </w:p>
        </w:tc>
      </w:tr>
    </w:tbl>
    <w:p w14:paraId="49D6FA09" w14:textId="77777777" w:rsidR="000A262A" w:rsidRDefault="000A262A" w:rsidP="000A262A">
      <w:pPr>
        <w:spacing w:after="60"/>
      </w:pPr>
    </w:p>
    <w:p w14:paraId="5742F838" w14:textId="77777777" w:rsidR="000A262A" w:rsidRDefault="000A262A" w:rsidP="000A262A">
      <w:pPr>
        <w:spacing w:after="180"/>
      </w:pPr>
      <w:r>
        <w:rPr>
          <w:i/>
          <w:iCs/>
          <w:color w:val="555555"/>
        </w:rPr>
        <w:t>R3's tag also covers the full expanded set of R3 comments received separately (efficiency/targeting framing, testing definitions, DSD terminology and the baseline-data examples in §12).</w:t>
      </w:r>
    </w:p>
    <w:p w14:paraId="3F396B17" w14:textId="77777777" w:rsidR="000A262A" w:rsidRDefault="000A262A" w:rsidP="000A262A">
      <w:pPr>
        <w:spacing w:after="120"/>
      </w:pPr>
    </w:p>
    <w:p w14:paraId="18CE16AB" w14:textId="77777777" w:rsidR="000A262A" w:rsidRDefault="000A262A" w:rsidP="000A262A">
      <w:pPr>
        <w:spacing w:after="180"/>
      </w:pPr>
      <w:r>
        <w:rPr>
          <w:i/>
          <w:iCs/>
          <w:color w:val="555555"/>
        </w:rPr>
        <w:t>Each bullet below carries the source tag(s) that raised it. Where a point was raised independently by more than one reviewer, all tags are shown. Reviewer-supplied figures (e.g. South African testing numbers, Thembisa PrEP numbers) are reported as stated and have not been independently verified against the model. “UI” / “Logic” flags indicate, where unambiguous, whether an item is an interface change or would touch model calculations (and therefore the test suite).</w:t>
      </w:r>
    </w:p>
    <w:p>
      <w:pPr>
        <w:spacing w:after="180" w:line="276" w:lineRule="auto"/>
      </w:pPr>
      <w:r>
        <w:rPr>
          <w:i/>
          <w:iCs/>
          <w:color w:val="555555"/>
          <w:sz w:val="21"/>
          <w:szCs w:val="21"/>
        </w:rPr>
        <w:t xml:space="preserve">Round 2 update: the questionnaire sample is now n=8, adding R6 (Zimbabwe, NGO), R7 (Kenya, NGO) and R8 (South Africa, implementing partner). R1–R5 responses are unchanged from the previous round. Mean overall satisfaction is 8.1/10 (range 6–10) and mean likelihood of recommending is 8.9/10 (range 6–10). These remain descriptive of eight self-selected pilot users only and are not generalisable.</w:t>
      </w:r>
    </w:p>
    <w:p>
      <w:pPr>
        <w:spacing w:after="180" w:line="276" w:lineRule="auto"/>
      </w:pPr>
      <w:r>
        <w:rPr>
          <w:i/>
          <w:iCs/>
          <w:color w:val="555555"/>
          <w:sz w:val="21"/>
          <w:szCs w:val="21"/>
        </w:rPr>
        <w:t xml:space="preserve">Two rating patterns are worth carrying into prioritisation. First, “The evidence presented was credible” is the only item in the whole questionnaire that no respondent rated “Strongly agree” (6 Agree, 2 Neutral, n=8) — a consistent ceiling rather than a single dissenter. Second, “TIER-Plus helped identify priorities that might otherwise have been overlooked” remains the lowest-scoring item (mean 3.43, n=7) and is the only item to attract a “Disagree”. Both speak to the tool’s core claim rather than to peripheral features.</w:t>
      </w:r>
    </w:p>
    <w:p>
      <w:pPr>
        <w:spacing w:after="180" w:line="276" w:lineRule="auto"/>
      </w:pPr>
      <w:r>
        <w:rPr>
          <w:i/>
          <w:iCs/>
          <w:color w:val="555555"/>
          <w:sz w:val="21"/>
          <w:szCs w:val="21"/>
        </w:rPr>
        <w:t xml:space="preserve">Two caveats on the new responses. R7 (Kenya) records the lowest satisfaction in the sample (6/10) but attributes this to needing more practice with the tool rather than to any specific defect, and reported no missing interventions or implausible results — better read as an onboarding signal than a verdict on the model. R8 (South Africa) selected “Not applicable or unsure” on all four local-relevance items because they were explicitly not representing a country, so those are structural non-responses, not dissatisfaction.</w:t>
      </w:r>
    </w:p>
    <w:p w14:paraId="35485246" w14:textId="77777777" w:rsidR="000A262A" w:rsidRDefault="000A262A" w:rsidP="000A262A">
      <w:pPr>
        <w:pStyle w:val="Heading1"/>
        <w:spacing w:before="320" w:after="140"/>
      </w:pPr>
      <w:r>
        <w:t>Raised independently by more than one reviewer</w:t>
      </w:r>
    </w:p>
    <w:p w14:paraId="32890B17" w14:textId="77777777" w:rsidR="000A262A" w:rsidRDefault="000A262A" w:rsidP="000A262A">
      <w:pPr>
        <w:spacing w:after="140" w:line="276" w:lineRule="auto"/>
      </w:pPr>
      <w:r>
        <w:t>These converged across sources and are the strongest prioritisation signals: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DF1A06" w14:paraId="020F8553" w14:textId="77777777" w:rsidTr="00EF6110">
        <w:tc>
          <w:tcPr>
            <w:tcW w:w="9720" w:type="dxa"/>
            <w:shd w:val="clear" w:color="auto" w:fill="E8EE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E7B4C05" w14:textId="77777777" w:rsidR="000A262A" w:rsidRPr="00B83B9A" w:rsidRDefault="000A262A" w:rsidP="00E166DE">
            <w:pPr>
              <w:pStyle w:val="ListParagraph"/>
              <w:numPr>
                <w:ilvl w:val="0"/>
                <w:numId w:val="3"/>
              </w:numPr>
              <w:spacing w:after="90" w:line="268" w:lineRule="auto"/>
              <w:rPr>
                <w:color w:val="196B24" w:themeColor="accent3"/>
              </w:rPr>
            </w:pPr>
            <w:r>
              <w:rPr>
                <w:color w:val="196B24" w:themeColor="accent3"/>
                <w:sz w:val="21"/>
                <w:szCs w:val="21"/>
              </w:rPr>
              <w:t>Thousands separators on displayed numbers (and, ideally, on inputs)</w:t>
            </w:r>
            <w:r>
              <w:rPr>
                <w:b/>
                <w:bCs/>
                <w:color w:val="196B24" w:themeColor="accent3"/>
                <w:sz w:val="18"/>
                <w:szCs w:val="18"/>
              </w:rPr>
              <w:t xml:space="preserve">  [R2, R5, GDoc — UI]</w:t>
            </w:r>
          </w:p>
          <w:p w14:paraId="6B202D69" w14:textId="77777777" w:rsidR="000A262A" w:rsidRDefault="000A262A" w:rsidP="00E166DE">
            <w:pPr>
              <w:pStyle w:val="ListParagraph"/>
              <w:numPr>
                <w:ilvl w:val="0"/>
                <w:numId w:val="3"/>
              </w:numPr>
              <w:spacing w:after="90" w:line="268" w:lineRule="auto"/>
            </w:pPr>
            <w:r>
              <w:rPr>
                <w:sz w:val="21"/>
                <w:szCs w:val="21"/>
              </w:rPr>
              <w:t>Disaggregate condoms by sex (male/female)</w:t>
            </w:r>
            <w:r>
              <w:rPr>
                <w:b/>
                <w:bCs/>
                <w:color w:val="2E5395"/>
                <w:sz w:val="18"/>
                <w:szCs w:val="18"/>
              </w:rPr>
              <w:t xml:space="preserve">  [R1, R4 — Logic + UI]</w:t>
            </w:r>
          </w:p>
          <w:p w14:paraId="4C7B0DEE" w14:textId="77777777" w:rsidR="000A262A" w:rsidRDefault="000A262A" w:rsidP="00E166DE">
            <w:pPr>
              <w:pStyle w:val="ListParagraph"/>
              <w:numPr>
                <w:ilvl w:val="0"/>
                <w:numId w:val="3"/>
              </w:numPr>
              <w:spacing w:after="90" w:line="268" w:lineRule="auto"/>
            </w:pPr>
            <w:r>
              <w:rPr>
                <w:sz w:val="21"/>
                <w:szCs w:val="21"/>
              </w:rPr>
              <w:t>More interactive input→result experience, ideally slider-based rather than text boxes</w:t>
            </w:r>
            <w:r>
              <w:rPr>
                <w:b/>
                <w:bCs/>
                <w:color w:val="2E5395"/>
                <w:sz w:val="18"/>
                <w:szCs w:val="18"/>
              </w:rPr>
              <w:t xml:space="preserve">  [Jeff, R2 — UI]</w:t>
            </w:r>
          </w:p>
          <w:p w14:paraId="27D235CF" w14:textId="77777777" w:rsidR="000A262A" w:rsidRDefault="000A262A" w:rsidP="00E166DE">
            <w:pPr>
              <w:pStyle w:val="ListParagraph"/>
              <w:numPr>
                <w:ilvl w:val="0"/>
                <w:numId w:val="3"/>
              </w:numPr>
              <w:spacing w:after="90" w:line="268" w:lineRule="auto"/>
            </w:pPr>
            <w:r>
              <w:rPr>
                <w:sz w:val="21"/>
                <w:szCs w:val="21"/>
              </w:rPr>
              <w:t xml:space="preserve">PrEP coverage should reflect delivery among target populations, </w:t>
            </w:r>
            <w:commentRangeStart w:id="0"/>
            <w:r>
              <w:rPr>
                <w:color w:val="196B24" w:themeColor="accent3"/>
                <w:sz w:val="21"/>
                <w:szCs w:val="21"/>
              </w:rPr>
              <w:t>not total adult population</w:t>
            </w:r>
            <w:r>
              <w:rPr>
                <w:b/>
                <w:bCs/>
                <w:color w:val="196B24" w:themeColor="accent3"/>
                <w:sz w:val="18"/>
                <w:szCs w:val="18"/>
              </w:rPr>
              <w:t xml:space="preserve">  </w:t>
            </w:r>
            <w:commentRangeEnd w:id="0"/>
            <w:r>
              <w:rPr>
                <w:rStyle w:val="CommentReference"/>
                <w:b/>
                <w:bCs/>
                <w:color w:val="2E5395"/>
                <w:sz w:val="18"/>
                <w:szCs w:val="18"/>
              </w:rPr>
              <w:commentReference w:id="0"/>
            </w:r>
            <w:r>
              <w:rPr>
                <w:b/>
                <w:bCs/>
                <w:color w:val="2E5395"/>
                <w:sz w:val="18"/>
                <w:szCs w:val="18"/>
              </w:rPr>
              <w:t>[Jeff, R1, GDoc — Logic + UI]</w:t>
            </w:r>
          </w:p>
          <w:p w14:paraId="46671194" w14:textId="77777777" w:rsidR="000A262A" w:rsidRDefault="000A262A" w:rsidP="00E166DE">
            <w:pPr>
              <w:pStyle w:val="ListParagraph"/>
              <w:numPr>
                <w:ilvl w:val="0"/>
                <w:numId w:val="3"/>
              </w:numPr>
              <w:spacing w:after="90" w:line="268" w:lineRule="auto"/>
            </w:pPr>
            <w:r>
              <w:rPr>
                <w:sz w:val="21"/>
                <w:szCs w:val="21"/>
              </w:rPr>
              <w:t>Clarify what the PrEP number represents (initiated vs. currently using; oral vs. long-acting) and its continuation assumptions</w:t>
            </w:r>
            <w:r>
              <w:rPr>
                <w:b/>
                <w:bCs/>
                <w:color w:val="2E5395"/>
                <w:sz w:val="18"/>
                <w:szCs w:val="18"/>
              </w:rPr>
              <w:t xml:space="preserve">  [R3, GDoc, Jeff, R8 — Logic]</w:t>
            </w:r>
          </w:p>
          <w:p w14:paraId="7B1A2A43" w14:textId="77777777" w:rsidR="000A262A" w:rsidRDefault="000A262A" w:rsidP="00E166DE">
            <w:pPr>
              <w:pStyle w:val="ListParagraph"/>
              <w:numPr>
                <w:ilvl w:val="0"/>
                <w:numId w:val="3"/>
              </w:numPr>
              <w:spacing w:after="90" w:line="268" w:lineRule="auto"/>
            </w:pPr>
            <w:r>
              <w:rPr>
                <w:sz w:val="21"/>
                <w:szCs w:val="21"/>
              </w:rPr>
              <w:t xml:space="preserve">Model service frequency / intensity (testing, VL, </w:t>
            </w:r>
            <w:r>
              <w:rPr>
                <w:color w:val="196B24" w:themeColor="accent3"/>
                <w:sz w:val="21"/>
                <w:szCs w:val="21"/>
              </w:rPr>
              <w:t>clinical visits</w:t>
            </w:r>
            <w:r>
              <w:rPr>
                <w:sz w:val="21"/>
                <w:szCs w:val="21"/>
              </w:rPr>
              <w:t>), not only coverage — the policy question is often “how often”, not “whether”</w:t>
            </w:r>
            <w:r>
              <w:rPr>
                <w:b/>
                <w:bCs/>
                <w:color w:val="2E5395"/>
                <w:sz w:val="18"/>
                <w:szCs w:val="18"/>
              </w:rPr>
              <w:t xml:space="preserve">  [R3, DSD — Logic]</w:t>
            </w:r>
          </w:p>
          <w:p w14:paraId="35D441D4" w14:textId="77777777" w:rsidR="000A262A" w:rsidRDefault="000A262A" w:rsidP="00E166DE">
            <w:pPr>
              <w:pStyle w:val="ListParagraph"/>
              <w:numPr>
                <w:ilvl w:val="0"/>
                <w:numId w:val="3"/>
              </w:numPr>
              <w:spacing w:after="90" w:line="268" w:lineRule="auto"/>
            </w:pPr>
            <w:r>
              <w:rPr>
                <w:sz w:val="21"/>
                <w:szCs w:val="21"/>
              </w:rPr>
              <w:t>A visible, documented statement of model assumptions and embedded linkages</w:t>
            </w:r>
            <w:r>
              <w:rPr>
                <w:b/>
                <w:bCs/>
                <w:color w:val="2E5395"/>
                <w:sz w:val="18"/>
                <w:szCs w:val="18"/>
              </w:rPr>
              <w:t xml:space="preserve">  [R5, Jeff, GDoc, R8 — Docs/UI]</w:t>
            </w:r>
          </w:p>
          <w:p w14:paraId="2AEE34AA" w14:textId="77777777" w:rsidR="000A262A" w:rsidRDefault="000A262A" w:rsidP="00E166DE">
            <w:pPr>
              <w:pStyle w:val="ListParagraph"/>
              <w:numPr>
                <w:ilvl w:val="0"/>
                <w:numId w:val="3"/>
              </w:numPr>
              <w:spacing w:after="90" w:line="268" w:lineRule="auto"/>
            </w:pPr>
            <w:r>
              <w:rPr>
                <w:sz w:val="21"/>
                <w:szCs w:val="21"/>
              </w:rPr>
              <w:t>Break cost results down by intervention area (e.g. testing, PrEP, MMC), not only ART</w:t>
            </w:r>
            <w:r>
              <w:rPr>
                <w:b/>
                <w:bCs/>
                <w:color w:val="2E5395"/>
                <w:sz w:val="18"/>
                <w:szCs w:val="18"/>
              </w:rPr>
              <w:t xml:space="preserve">  [R5, GDoc2 — UI]</w:t>
            </w:r>
          </w:p>
          <w:p w14:paraId="0F671EA6" w14:textId="77777777" w:rsidR="000A262A" w:rsidRDefault="000A262A" w:rsidP="00E166DE">
            <w:pPr>
              <w:pStyle w:val="ListParagraph"/>
              <w:numPr>
                <w:ilvl w:val="0"/>
                <w:numId w:val="3"/>
              </w:numPr>
              <w:spacing w:after="90" w:line="268" w:lineRule="auto"/>
            </w:pPr>
            <w:r>
              <w:rPr>
                <w:sz w:val="21"/>
                <w:szCs w:val="21"/>
              </w:rPr>
              <w:t>Scenario name/description must flow through to the downloadable report</w:t>
            </w:r>
            <w:r>
              <w:rPr>
                <w:b/>
                <w:bCs/>
                <w:color w:val="2E5395"/>
                <w:sz w:val="18"/>
                <w:szCs w:val="18"/>
              </w:rPr>
              <w:t xml:space="preserve">  [GDoc, GDoc2 — UI]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90" w:line="268" w:lineRule="auto"/>
            </w:pPr>
            <w:r>
              <w:rPr>
                <w:sz w:val="21"/>
                <w:szCs w:val="21"/>
              </w:rPr>
              <w:t xml:space="preserve">Repeat maternal HIV testing in late pregnancy / at delivery is not captured, and is being scaled up in some countries</w:t>
            </w:r>
            <w:r>
              <w:rPr>
                <w:b/>
                <w:bCs/>
                <w:color w:val="2E5395"/>
                <w:sz w:val="18"/>
                <w:szCs w:val="18"/>
              </w:rPr>
              <w:t xml:space="preserve">  [R3, R8 — Logic]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268" w:lineRule="auto"/>
            </w:pPr>
            <w:r>
              <w:rPr>
                <w:sz w:val="21"/>
                <w:szCs w:val="21"/>
              </w:rPr>
              <w:t xml:space="preserve">Community-led delivery and structural/rights barriers are not represented at all (see §16)</w:t>
            </w:r>
            <w:r>
              <w:rPr>
                <w:b/>
                <w:bCs/>
                <w:color w:val="2E5395"/>
                <w:sz w:val="18"/>
                <w:szCs w:val="18"/>
              </w:rPr>
              <w:t xml:space="preserve">  [R6, R7 — Logic + UI]</w:t>
            </w:r>
          </w:p>
        </w:tc>
      </w:tr>
    </w:tbl>
    <w:p w14:paraId="287A6B6A" w14:textId="77777777" w:rsidR="000A262A" w:rsidRDefault="000A262A" w:rsidP="000A262A">
      <w:pPr>
        <w:pStyle w:val="Heading1"/>
        <w:spacing w:before="320" w:after="140"/>
      </w:pPr>
      <w:r>
        <w:t>1. Interactivity, layout &amp; navigation</w:t>
      </w:r>
    </w:p>
    <w:p w14:paraId="7B778611" w14:textId="77777777" w:rsidR="000A262A" w:rsidRDefault="000A262A" w:rsidP="000A262A">
      <w:pPr>
        <w:pStyle w:val="ListParagraph"/>
        <w:numPr>
          <w:ilvl w:val="0"/>
          <w:numId w:val="3"/>
        </w:numPr>
        <w:spacing w:after="90" w:line="268" w:lineRule="auto"/>
      </w:pPr>
      <w:r>
        <w:rPr>
          <w:color w:val="FFC000"/>
          <w:sz w:val="21"/>
          <w:szCs w:val="21"/>
        </w:rPr>
        <w:t>Restructure so inputs and results sit as different panels on the same page, enabling change-and-see interactivity; flipping between tabs impedes the intuition a simple model is meant to give</w:t>
      </w:r>
      <w:r>
        <w:rPr>
          <w:sz w:val="21"/>
          <w:szCs w:val="21"/>
        </w:rPr>
        <w:t>.</w:t>
      </w:r>
      <w:r>
        <w:rPr>
          <w:b/>
          <w:bCs/>
          <w:color w:val="2E5395"/>
          <w:sz w:val="18"/>
          <w:szCs w:val="18"/>
        </w:rPr>
        <w:t xml:space="preserve">  [Jeff — UI]</w:t>
      </w:r>
    </w:p>
    <w:p w14:paraId="335F32BD" w14:textId="77777777" w:rsidR="000A262A" w:rsidRPr="004B4177" w:rsidRDefault="000A262A" w:rsidP="000A262A">
      <w:pPr>
        <w:pStyle w:val="ListParagraph"/>
        <w:numPr>
          <w:ilvl w:val="0"/>
          <w:numId w:val="3"/>
        </w:numPr>
        <w:spacing w:after="90" w:line="268" w:lineRule="auto"/>
        <w:rPr>
          <w:color w:val="EE0000"/>
        </w:rPr>
      </w:pPr>
      <w:commentRangeStart w:id="1"/>
      <w:r>
        <w:rPr>
          <w:color w:val="EE0000"/>
          <w:sz w:val="21"/>
          <w:szCs w:val="21"/>
        </w:rPr>
        <w:lastRenderedPageBreak/>
        <w:t>Prefer sliders over text-box inputs.</w:t>
      </w:r>
      <w:r>
        <w:rPr>
          <w:b/>
          <w:bCs/>
          <w:color w:val="EE0000"/>
          <w:sz w:val="18"/>
          <w:szCs w:val="18"/>
        </w:rPr>
        <w:t xml:space="preserve">  [Jeff — UI]</w:t>
      </w:r>
      <w:commentRangeEnd w:id="1"/>
      <w:r>
        <w:rPr>
          <w:rStyle w:val="CommentReference"/>
          <w:color w:val="EE0000"/>
          <w:sz w:val="20"/>
          <w:szCs w:val="20"/>
        </w:rPr>
        <w:commentReference w:id="1"/>
      </w:r>
    </w:p>
    <w:p w14:paraId="662A3A2D" w14:textId="77777777" w:rsidR="000A262A" w:rsidRDefault="000A262A" w:rsidP="000A262A">
      <w:pPr>
        <w:pStyle w:val="ListParagraph"/>
        <w:numPr>
          <w:ilvl w:val="0"/>
          <w:numId w:val="3"/>
        </w:numPr>
        <w:spacing w:after="90" w:line="268" w:lineRule="auto"/>
      </w:pPr>
      <w:commentRangeStart w:id="2"/>
      <w:commentRangeStart w:id="3"/>
      <w:commentRangeStart w:id="4"/>
      <w:r>
        <w:rPr>
          <w:sz w:val="21"/>
          <w:szCs w:val="21"/>
        </w:rPr>
        <w:t>Add a section-level slider to apply a uniform % change across an entire section (e.g. “what would a 15% cut to prevention do?”).</w:t>
      </w:r>
      <w:r>
        <w:rPr>
          <w:b/>
          <w:bCs/>
          <w:color w:val="2E5395"/>
          <w:sz w:val="18"/>
          <w:szCs w:val="18"/>
        </w:rPr>
        <w:t xml:space="preserve">  [R2 — UI]</w:t>
      </w:r>
      <w:commentRangeEnd w:id="2"/>
      <w:r>
        <w:rPr>
          <w:rStyle w:val="CommentReference"/>
          <w:sz w:val="20"/>
          <w:szCs w:val="20"/>
        </w:rPr>
        <w:commentReference w:id="2"/>
      </w:r>
      <w:commentRangeEnd w:id="3"/>
      <w:r>
        <w:rPr>
          <w:rStyle w:val="CommentReference"/>
          <w:sz w:val="20"/>
          <w:szCs w:val="20"/>
        </w:rPr>
        <w:commentReference w:id="3"/>
      </w:r>
      <w:commentRangeEnd w:id="4"/>
      <w:r>
        <w:rPr>
          <w:rStyle w:val="CommentReference"/>
          <w:sz w:val="20"/>
          <w:szCs w:val="20"/>
        </w:rPr>
        <w:commentReference w:id="4"/>
      </w:r>
    </w:p>
    <w:p w14:paraId="7D06AF0E" w14:textId="77777777" w:rsidR="000A262A" w:rsidRDefault="000A262A" w:rsidP="000A262A">
      <w:pPr>
        <w:pStyle w:val="ListParagraph"/>
        <w:numPr>
          <w:ilvl w:val="0"/>
          <w:numId w:val="3"/>
        </w:numPr>
        <w:spacing w:after="90" w:line="268" w:lineRule="auto"/>
      </w:pPr>
      <w:commentRangeStart w:id="5"/>
      <w:commentRangeStart w:id="6"/>
      <w:r>
        <w:rPr>
          <w:sz w:val="21"/>
          <w:szCs w:val="21"/>
        </w:rPr>
        <w:t>Reorder the baseline coverage panel to place ‘Prevention’ below ‘Testing, diagnosis &amp; treatment’ — higher-impact programmes first aids conceptualisation.</w:t>
      </w:r>
      <w:r>
        <w:rPr>
          <w:b/>
          <w:bCs/>
          <w:color w:val="2E5395"/>
          <w:sz w:val="18"/>
          <w:szCs w:val="18"/>
        </w:rPr>
        <w:t xml:space="preserve">  [Jeff — UI]</w:t>
      </w:r>
      <w:commentRangeEnd w:id="5"/>
      <w:r>
        <w:rPr>
          <w:rStyle w:val="CommentReference"/>
          <w:sz w:val="20"/>
          <w:szCs w:val="20"/>
        </w:rPr>
        <w:commentReference w:id="5"/>
      </w:r>
      <w:commentRangeEnd w:id="6"/>
      <w:r>
        <w:rPr>
          <w:rStyle w:val="CommentReference"/>
          <w:sz w:val="20"/>
          <w:szCs w:val="20"/>
        </w:rPr>
        <w:commentReference w:id="6"/>
      </w:r>
    </w:p>
    <w:p w14:paraId="04769CB5" w14:textId="77777777" w:rsidR="000A262A" w:rsidRDefault="000A262A" w:rsidP="000A262A">
      <w:pPr>
        <w:pStyle w:val="ListParagraph"/>
        <w:numPr>
          <w:ilvl w:val="0"/>
          <w:numId w:val="3"/>
        </w:numPr>
        <w:spacing w:after="90" w:line="268" w:lineRule="auto"/>
        <w:rPr>
          <w:b/>
          <w:color w:val="2E5395"/>
          <w:sz w:val="18"/>
          <w:szCs w:val="18"/>
        </w:rPr>
      </w:pPr>
      <w:commentRangeStart w:id="7"/>
      <w:r>
        <w:rPr>
          <w:sz w:val="21"/>
          <w:szCs w:val="21"/>
        </w:rPr>
        <w:t>Group ANC/postnatal PMTCT and EID (infant) interventions together; infant prophylaxis sitting separately from ANC testing and PMTCT feels counterintuitive.</w:t>
      </w:r>
      <w:r>
        <w:rPr>
          <w:b/>
          <w:bCs/>
          <w:color w:val="2E5395"/>
          <w:sz w:val="18"/>
          <w:szCs w:val="18"/>
        </w:rPr>
        <w:t xml:space="preserve">  [Jeff — UI]</w:t>
      </w:r>
      <w:commentRangeEnd w:id="7"/>
      <w:r>
        <w:rPr>
          <w:rStyle w:val="CommentReference"/>
          <w:b/>
          <w:color w:val="2E5395"/>
          <w:sz w:val="18"/>
          <w:szCs w:val="18"/>
        </w:rPr>
        <w:commentReference w:id="7"/>
      </w:r>
    </w:p>
    <w:p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 xml:space="preserve">Make clear that users focusing on one programme area (e.g. treatment vs prevention) may leave other sections at their existing values; the current layout implies every field must be completed, which R8 expects to confuse departmental users.</w:t>
      </w:r>
      <w:r>
        <w:rPr>
          <w:b/>
          <w:bCs/>
          <w:color w:val="2E5395"/>
          <w:sz w:val="18"/>
          <w:szCs w:val="18"/>
        </w:rPr>
        <w:t xml:space="preserve">  [R8 — UI]</w:t>
      </w:r>
    </w:p>
    <w:p w14:paraId="55667F87" w14:textId="77777777" w:rsidR="000A262A" w:rsidRDefault="000A262A" w:rsidP="000A262A">
      <w:pPr>
        <w:pStyle w:val="Heading1"/>
        <w:spacing w:before="320" w:after="140"/>
      </w:pPr>
      <w:r>
        <w:t>2. Display, number formatting &amp; labelling</w:t>
      </w:r>
    </w:p>
    <w:p w14:paraId="58374B96" w14:textId="77777777" w:rsidR="000A262A" w:rsidRPr="00B83B9A" w:rsidRDefault="000A262A" w:rsidP="000A262A">
      <w:pPr>
        <w:pStyle w:val="ListParagraph"/>
        <w:numPr>
          <w:ilvl w:val="0"/>
          <w:numId w:val="3"/>
        </w:numPr>
        <w:spacing w:after="90" w:line="268" w:lineRule="auto"/>
        <w:rPr>
          <w:color w:val="196B24" w:themeColor="accent3"/>
        </w:rPr>
      </w:pPr>
      <w:r>
        <w:rPr>
          <w:color w:val="196B24" w:themeColor="accent3"/>
          <w:sz w:val="21"/>
          <w:szCs w:val="21"/>
        </w:rPr>
        <w:t>Add thousands separators so large numbers are legible (e.g. 25,693,203 vs 25693203).</w:t>
      </w:r>
      <w:r>
        <w:rPr>
          <w:b/>
          <w:bCs/>
          <w:color w:val="196B24" w:themeColor="accent3"/>
          <w:sz w:val="18"/>
          <w:szCs w:val="18"/>
        </w:rPr>
        <w:t xml:space="preserve">  [R2, R5, GDoc — UI]</w:t>
      </w:r>
    </w:p>
    <w:p w14:paraId="5C5BA8C2" w14:textId="77777777" w:rsidR="000A262A" w:rsidRPr="00B83B9A" w:rsidRDefault="000A262A" w:rsidP="000A262A">
      <w:pPr>
        <w:pStyle w:val="ListParagraph"/>
        <w:numPr>
          <w:ilvl w:val="0"/>
          <w:numId w:val="3"/>
        </w:numPr>
        <w:spacing w:after="90" w:line="268" w:lineRule="auto"/>
        <w:rPr>
          <w:color w:val="196B24" w:themeColor="accent3"/>
        </w:rPr>
      </w:pPr>
      <w:r>
        <w:rPr>
          <w:color w:val="196B24" w:themeColor="accent3"/>
          <w:sz w:val="21"/>
          <w:szCs w:val="21"/>
        </w:rPr>
        <w:t>For inputs, a 1000s separator would also reduce typos; standard Shiny may not support it — GDoc suggests shinyWidgets::autonumericInput().</w:t>
      </w:r>
      <w:r>
        <w:rPr>
          <w:b/>
          <w:bCs/>
          <w:color w:val="196B24" w:themeColor="accent3"/>
          <w:sz w:val="18"/>
          <w:szCs w:val="18"/>
        </w:rPr>
        <w:t xml:space="preserve">  [GDoc — UI]</w:t>
      </w:r>
    </w:p>
    <w:p w14:paraId="43661090" w14:textId="77777777" w:rsidR="000A262A" w:rsidRPr="00B83B9A" w:rsidRDefault="000A262A" w:rsidP="000A262A">
      <w:pPr>
        <w:pStyle w:val="ListParagraph"/>
        <w:numPr>
          <w:ilvl w:val="0"/>
          <w:numId w:val="3"/>
        </w:numPr>
        <w:spacing w:after="90" w:line="268" w:lineRule="auto"/>
        <w:rPr>
          <w:color w:val="196B24" w:themeColor="accent3"/>
        </w:rPr>
      </w:pPr>
      <w:r>
        <w:rPr>
          <w:color w:val="196B24" w:themeColor="accent3"/>
          <w:sz w:val="21"/>
          <w:szCs w:val="21"/>
        </w:rPr>
        <w:t>Impact labels: a “+0pp” on the 1st 95 in the tutorial is really a sub-0.1% change; either show decimals or only highlight changes greater than |0.1%|.</w:t>
      </w:r>
      <w:r>
        <w:rPr>
          <w:b/>
          <w:bCs/>
          <w:color w:val="196B24" w:themeColor="accent3"/>
          <w:sz w:val="18"/>
          <w:szCs w:val="18"/>
        </w:rPr>
        <w:t xml:space="preserve">  [GDoc — UI]</w:t>
      </w:r>
    </w:p>
    <w:p w14:paraId="3D964858" w14:textId="77777777" w:rsidR="000A262A" w:rsidRDefault="000A262A" w:rsidP="000A262A">
      <w:pPr>
        <w:pStyle w:val="ListParagraph"/>
        <w:numPr>
          <w:ilvl w:val="0"/>
          <w:numId w:val="3"/>
        </w:numPr>
        <w:spacing w:after="90" w:line="268" w:lineRule="auto"/>
      </w:pPr>
      <w:commentRangeStart w:id="8"/>
      <w:r>
        <w:rPr>
          <w:sz w:val="21"/>
          <w:szCs w:val="21"/>
        </w:rPr>
        <w:t>Clarify the year for “Start of Year” / “baseline” on the left panel; “most recent year” currently only appears under Baseline Coverage.</w:t>
      </w:r>
      <w:r>
        <w:rPr>
          <w:b/>
          <w:bCs/>
          <w:color w:val="2E5395"/>
          <w:sz w:val="18"/>
          <w:szCs w:val="18"/>
        </w:rPr>
        <w:t xml:space="preserve">  [GDoc — UI]</w:t>
      </w:r>
      <w:commentRangeEnd w:id="8"/>
      <w:r>
        <w:rPr>
          <w:rStyle w:val="CommentReference"/>
          <w:sz w:val="20"/>
          <w:szCs w:val="20"/>
        </w:rPr>
        <w:commentReference w:id="8"/>
      </w:r>
    </w:p>
    <w:p w14:paraId="49621E40" w14:textId="77777777" w:rsidR="000A262A" w:rsidRPr="00B83B9A" w:rsidRDefault="000A262A" w:rsidP="000A262A">
      <w:pPr>
        <w:pStyle w:val="ListParagraph"/>
        <w:numPr>
          <w:ilvl w:val="0"/>
          <w:numId w:val="3"/>
        </w:numPr>
        <w:spacing w:after="90" w:line="268" w:lineRule="auto"/>
        <w:rPr>
          <w:color w:val="196B24" w:themeColor="accent3"/>
        </w:rPr>
      </w:pPr>
      <w:r>
        <w:rPr>
          <w:color w:val="196B24" w:themeColor="accent3"/>
          <w:sz w:val="21"/>
          <w:szCs w:val="21"/>
        </w:rPr>
        <w:t>Rename “New Acquisitions/Year” to “New HIV Acquisitions/Year”.</w:t>
      </w:r>
      <w:r>
        <w:rPr>
          <w:b/>
          <w:bCs/>
          <w:color w:val="196B24" w:themeColor="accent3"/>
          <w:sz w:val="18"/>
          <w:szCs w:val="18"/>
        </w:rPr>
        <w:t xml:space="preserve">  [GDoc — UI]</w:t>
      </w:r>
    </w:p>
    <w:p w14:paraId="542F65A0" w14:textId="77777777" w:rsidR="000A262A" w:rsidRDefault="000A262A" w:rsidP="000A262A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>Add a “Baseline” label to the top of the left-hand panel so users understand these values also carry through to the final comparison page as a scenario.</w:t>
      </w:r>
      <w:r>
        <w:rPr>
          <w:b/>
          <w:bCs/>
          <w:color w:val="2E5395"/>
          <w:sz w:val="18"/>
          <w:szCs w:val="18"/>
        </w:rPr>
        <w:t xml:space="preserve">  [R2 — UI]</w:t>
      </w:r>
    </w:p>
    <w:p w14:paraId="395A85F0" w14:textId="77777777" w:rsidR="000A262A" w:rsidRDefault="000A262A" w:rsidP="000A262A">
      <w:pPr>
        <w:pStyle w:val="ListParagraph"/>
        <w:numPr>
          <w:ilvl w:val="0"/>
          <w:numId w:val="3"/>
        </w:numPr>
        <w:spacing w:after="90" w:line="268" w:lineRule="auto"/>
      </w:pPr>
      <w:r>
        <w:rPr>
          <w:color w:val="C00000"/>
          <w:sz w:val="21"/>
          <w:szCs w:val="21"/>
        </w:rPr>
        <w:t xml:space="preserve">Standardise whether an indicator is expressed as a % or a count rather than mixing both; </w:t>
      </w:r>
      <w:commentRangeStart w:id="9"/>
      <w:commentRangeStart w:id="10"/>
      <w:r>
        <w:rPr>
          <w:sz w:val="21"/>
          <w:szCs w:val="21"/>
        </w:rPr>
        <w:t>add (%) to indicator names where applicable.</w:t>
      </w:r>
      <w:r>
        <w:rPr>
          <w:b/>
          <w:bCs/>
          <w:color w:val="2E5395"/>
          <w:sz w:val="18"/>
          <w:szCs w:val="18"/>
        </w:rPr>
        <w:t xml:space="preserve">  [R1, R2 — UI]</w:t>
      </w:r>
      <w:commentRangeEnd w:id="9"/>
      <w:r>
        <w:rPr>
          <w:rStyle w:val="CommentReference"/>
          <w:sz w:val="20"/>
          <w:szCs w:val="20"/>
        </w:rPr>
        <w:commentReference w:id="9"/>
      </w:r>
      <w:commentRangeEnd w:id="10"/>
      <w:r>
        <w:rPr>
          <w:rStyle w:val="CommentReference"/>
          <w:sz w:val="20"/>
          <w:szCs w:val="20"/>
        </w:rPr>
        <w:commentReference w:id="10"/>
      </w:r>
    </w:p>
    <w:p w14:paraId="60D127B8" w14:textId="77777777" w:rsidR="000A262A" w:rsidRDefault="000A262A" w:rsidP="000A262A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>Indicator descriptions sometimes require cross-referencing to interpret; make them self-contained.</w:t>
      </w:r>
      <w:r>
        <w:rPr>
          <w:b/>
          <w:bCs/>
          <w:color w:val="2E5395"/>
          <w:sz w:val="18"/>
          <w:szCs w:val="18"/>
        </w:rPr>
        <w:t xml:space="preserve">  [R1 — UI]</w:t>
      </w:r>
    </w:p>
    <w:p w14:paraId="52EDAE63" w14:textId="77777777" w:rsidR="000A262A" w:rsidRDefault="000A262A" w:rsidP="000A262A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>Provide guidance on the expected data source for each indicator.</w:t>
      </w:r>
      <w:r>
        <w:rPr>
          <w:b/>
          <w:bCs/>
          <w:color w:val="2E5395"/>
          <w:sz w:val="18"/>
          <w:szCs w:val="18"/>
        </w:rPr>
        <w:t xml:space="preserve">  [R1 — UI/Docs]</w:t>
      </w:r>
    </w:p>
    <w:p w14:paraId="0347DF10" w14:textId="77777777" w:rsidR="000A262A" w:rsidRDefault="000A262A" w:rsidP="000A262A">
      <w:pPr>
        <w:pStyle w:val="Heading1"/>
        <w:spacing w:before="320" w:after="140"/>
      </w:pPr>
      <w:r>
        <w:t>3. PrEP modelling &amp; coverage denominator</w:t>
      </w:r>
    </w:p>
    <w:p w14:paraId="77452D25" w14:textId="77777777" w:rsidR="000A262A" w:rsidRDefault="000A262A" w:rsidP="000A262A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>Reporting PrEP coverage out of the total adult population is not very informative and risks misguiding decisions (a low % reads as “bad”); consider coverage among target populations. As a short-term option, use the Global Prevention Strategy PrEP targets as the denominator.</w:t>
      </w:r>
      <w:r>
        <w:rPr>
          <w:b/>
          <w:bCs/>
          <w:color w:val="2E5395"/>
          <w:sz w:val="18"/>
          <w:szCs w:val="18"/>
        </w:rPr>
        <w:t xml:space="preserve">  [Jeff — Logic + UI]</w:t>
      </w:r>
    </w:p>
    <w:p w14:paraId="33E1D776" w14:textId="77777777" w:rsidR="000A262A" w:rsidRDefault="000A262A" w:rsidP="000A262A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>Clarify whether the PrEP number is newly initiated or currently receiving — for oral PrEP these differ greatly due to drop-out. GDoc cites Thembisa figures (reviewer-stated, unverified): ~548,000 started oral PrEP in 2026 vs ~346,000 currently using at mid-June 2026.</w:t>
      </w:r>
      <w:r>
        <w:rPr>
          <w:b/>
          <w:bCs/>
          <w:color w:val="2E5395"/>
          <w:sz w:val="18"/>
          <w:szCs w:val="18"/>
        </w:rPr>
        <w:t xml:space="preserve">  [GDoc — Logic]</w:t>
      </w:r>
    </w:p>
    <w:p w14:paraId="7A138D60" w14:textId="77777777" w:rsidR="000A262A" w:rsidRDefault="000A262A" w:rsidP="000A262A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>Note that many regions are more certain about initiations than current users (tracking is harder than counting initiations); the model should be explicit about which it assumes.</w:t>
      </w:r>
      <w:r>
        <w:rPr>
          <w:b/>
          <w:bCs/>
          <w:color w:val="2E5395"/>
          <w:sz w:val="18"/>
          <w:szCs w:val="18"/>
        </w:rPr>
        <w:t xml:space="preserve">  [GDoc — Logic/Docs]</w:t>
      </w:r>
    </w:p>
    <w:p w14:paraId="5B238EF7" w14:textId="77777777" w:rsidR="000A262A" w:rsidRPr="00B83B9A" w:rsidRDefault="000A262A" w:rsidP="000A262A">
      <w:pPr>
        <w:pStyle w:val="ListParagraph"/>
        <w:numPr>
          <w:ilvl w:val="0"/>
          <w:numId w:val="3"/>
        </w:numPr>
        <w:spacing w:after="90" w:line="268" w:lineRule="auto"/>
        <w:rPr>
          <w:color w:val="C00000"/>
        </w:rPr>
      </w:pPr>
      <w:commentRangeStart w:id="11"/>
      <w:r>
        <w:rPr>
          <w:color w:val="C00000"/>
          <w:sz w:val="21"/>
          <w:szCs w:val="21"/>
        </w:rPr>
        <w:t>Oral PrEP and long-acting (LEN) currently appear to produce identical impact for the same volume; without a continuation-rate parameter they cannot be differentiated (reviewer-observed, unverified).</w:t>
      </w:r>
      <w:r>
        <w:rPr>
          <w:b/>
          <w:bCs/>
          <w:color w:val="C00000"/>
          <w:sz w:val="18"/>
          <w:szCs w:val="18"/>
        </w:rPr>
        <w:t xml:space="preserve">  [R3 — Logic]</w:t>
      </w:r>
      <w:commentRangeEnd w:id="11"/>
      <w:r>
        <w:rPr>
          <w:rStyle w:val="CommentReference"/>
          <w:color w:val="C00000"/>
          <w:sz w:val="20"/>
          <w:szCs w:val="20"/>
        </w:rPr>
        <w:commentReference w:id="11"/>
      </w:r>
    </w:p>
    <w:p w14:paraId="7E307391" w14:textId="77777777" w:rsidR="000A262A" w:rsidRDefault="000A262A" w:rsidP="000A262A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>PrEP duration varies by setting, population and product (oral vs lenacapavir); make the model's duration assumption explicit.</w:t>
      </w:r>
      <w:r>
        <w:rPr>
          <w:b/>
          <w:bCs/>
          <w:color w:val="2E5395"/>
          <w:sz w:val="18"/>
          <w:szCs w:val="18"/>
        </w:rPr>
        <w:t xml:space="preserve">  [GDoc — Logic/Docs]</w:t>
      </w:r>
    </w:p>
    <w:p w14:paraId="23CE79B7" w14:textId="77777777" w:rsidR="000A262A" w:rsidRDefault="000A262A" w:rsidP="000A262A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>Ability to target interventions to specific populations (e.g. PrEP for AGYW vs FSW) — implementers face exactly this with LEN; if infeasible, explain the limitation because policymakers will expect it.</w:t>
      </w:r>
      <w:r>
        <w:rPr>
          <w:b/>
          <w:bCs/>
          <w:color w:val="2E5395"/>
          <w:sz w:val="18"/>
          <w:szCs w:val="18"/>
        </w:rPr>
        <w:t xml:space="preserve">  [GDoc, R1 — Logic + UI]</w:t>
      </w:r>
    </w:p>
    <w:p w14:paraId="43201482" w14:textId="77777777" w:rsidR="000A262A" w:rsidRDefault="000A262A" w:rsidP="000A262A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 xml:space="preserve">Add long-acting/event-driven options: </w:t>
      </w:r>
      <w:commentRangeStart w:id="12"/>
      <w:r>
        <w:rPr>
          <w:sz w:val="21"/>
          <w:szCs w:val="21"/>
        </w:rPr>
        <w:t>CAB-LA PrEP,</w:t>
      </w:r>
      <w:commentRangeEnd w:id="12"/>
      <w:r>
        <w:rPr>
          <w:rStyle w:val="CommentReference"/>
          <w:sz w:val="21"/>
          <w:szCs w:val="21"/>
        </w:rPr>
        <w:commentReference w:id="12"/>
      </w:r>
      <w:r>
        <w:rPr>
          <w:sz w:val="21"/>
          <w:szCs w:val="21"/>
        </w:rPr>
        <w:t xml:space="preserve"> event-driven PrEP and PEP are not included.</w:t>
      </w:r>
      <w:r>
        <w:rPr>
          <w:b/>
          <w:bCs/>
          <w:color w:val="2E5395"/>
          <w:sz w:val="18"/>
          <w:szCs w:val="18"/>
        </w:rPr>
        <w:t xml:space="preserve">  [R1 — Logic + UI]</w:t>
      </w:r>
    </w:p>
    <w:p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 xml:space="preserve">PrEP continuity/continuation is not captured. R8 notes this would affect both incidence and the choice of long-acting method, while acknowledging continuation data can be scarce — independently converging with R3’s continuation-parameter point above.</w:t>
      </w:r>
      <w:r>
        <w:rPr>
          <w:b/>
          <w:bCs/>
          <w:color w:val="2E5395"/>
          <w:sz w:val="18"/>
          <w:szCs w:val="18"/>
        </w:rPr>
        <w:t xml:space="preserve">  [R8 — Logic]</w:t>
      </w:r>
    </w:p>
    <w:p w14:paraId="40BF8D74" w14:textId="77777777" w:rsidR="000A262A" w:rsidRDefault="000A262A" w:rsidP="000A262A">
      <w:pPr>
        <w:pStyle w:val="Heading1"/>
        <w:spacing w:before="320" w:after="140"/>
      </w:pPr>
      <w:r>
        <w:t>4. HIV testing parameters &amp; result plausibility</w:t>
      </w:r>
    </w:p>
    <w:p w14:paraId="0FA266E5" w14:textId="77777777" w:rsidR="000A262A" w:rsidRDefault="000A262A" w:rsidP="000A262A">
      <w:pPr>
        <w:spacing w:after="140" w:line="276" w:lineRule="auto"/>
      </w:pPr>
      <w:r>
        <w:rPr>
          <w:i/>
          <w:iCs/>
          <w:sz w:val="21"/>
          <w:szCs w:val="21"/>
        </w:rPr>
        <w:lastRenderedPageBreak/>
        <w:t>All figures in this section are R3's own single-parameter test observations for South Africa, reported as stated and not independently verified. They warrant a targeted review of the testing/initiation logic before wider rollout.</w:t>
      </w:r>
    </w:p>
    <w:p w14:paraId="64522B2B" w14:textId="77777777" w:rsidR="000A262A" w:rsidRDefault="000A262A" w:rsidP="000A262A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 xml:space="preserve">Removing </w:t>
      </w:r>
      <w:commentRangeStart w:id="13"/>
      <w:r>
        <w:rPr>
          <w:sz w:val="21"/>
          <w:szCs w:val="21"/>
        </w:rPr>
        <w:t xml:space="preserve">index testing entirely reduced initiations </w:t>
      </w:r>
      <w:commentRangeEnd w:id="13"/>
      <w:r>
        <w:rPr>
          <w:rStyle w:val="CommentReference"/>
          <w:sz w:val="21"/>
          <w:szCs w:val="21"/>
        </w:rPr>
        <w:commentReference w:id="13"/>
      </w:r>
      <w:r>
        <w:rPr>
          <w:sz w:val="21"/>
          <w:szCs w:val="21"/>
        </w:rPr>
        <w:t>by only ~10% — felt low.</w:t>
      </w:r>
      <w:r>
        <w:rPr>
          <w:b/>
          <w:bCs/>
          <w:color w:val="2E5395"/>
          <w:sz w:val="18"/>
          <w:szCs w:val="18"/>
        </w:rPr>
        <w:t xml:space="preserve">  [R3 — Logic]</w:t>
      </w:r>
    </w:p>
    <w:p w14:paraId="3F4EF181" w14:textId="77777777" w:rsidR="000A262A" w:rsidRDefault="000A262A" w:rsidP="000A262A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>Removing 50,000 KP tests reduced initiations by ~35,000 — felt disproportionately high.</w:t>
      </w:r>
      <w:r>
        <w:rPr>
          <w:b/>
          <w:bCs/>
          <w:color w:val="2E5395"/>
          <w:sz w:val="18"/>
          <w:szCs w:val="18"/>
        </w:rPr>
        <w:t xml:space="preserve">  [R3 — Logic]</w:t>
      </w:r>
    </w:p>
    <w:p w14:paraId="5293B662" w14:textId="77777777" w:rsidR="000A262A" w:rsidRDefault="000A262A" w:rsidP="000A262A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>Reducing ANC testing coverage from 95% to 50% reduced initiations by only ~2,500 — felt low against R3's cited context of ~1M public-sector pregnancies/yr, ~275,000 pregnant WLHIV, ~215,000 known-positive pre-pregnancy, ~60,000 newly diagnosed via ANC/pregnancy testing.</w:t>
      </w:r>
      <w:r>
        <w:rPr>
          <w:b/>
          <w:bCs/>
          <w:color w:val="2E5395"/>
          <w:sz w:val="18"/>
          <w:szCs w:val="18"/>
        </w:rPr>
        <w:t xml:space="preserve">  [R3 — Logic]</w:t>
      </w:r>
    </w:p>
    <w:p w14:paraId="07C8A340" w14:textId="77777777" w:rsidR="000A262A" w:rsidRDefault="000A262A" w:rsidP="000A262A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>Verify that ANC testing is genuinely excluded from general facility testing; R3 flags ~14M general-facility tests in SA as implausibly high if ANC is properly excluded.</w:t>
      </w:r>
      <w:r>
        <w:rPr>
          <w:b/>
          <w:bCs/>
          <w:color w:val="2E5395"/>
          <w:sz w:val="18"/>
          <w:szCs w:val="18"/>
        </w:rPr>
        <w:t xml:space="preserve">  [R3 — Logic]</w:t>
      </w:r>
    </w:p>
    <w:p w14:paraId="372B72F7" w14:textId="77777777" w:rsidR="000A262A" w:rsidRPr="00643C61" w:rsidRDefault="000A262A" w:rsidP="000A262A">
      <w:pPr>
        <w:pStyle w:val="ListParagraph"/>
        <w:numPr>
          <w:ilvl w:val="0"/>
          <w:numId w:val="3"/>
        </w:numPr>
        <w:spacing w:after="90" w:line="268" w:lineRule="auto"/>
        <w:rPr>
          <w:color w:val="EE0000"/>
        </w:rPr>
      </w:pPr>
      <w:r>
        <w:rPr>
          <w:color w:val="EE0000"/>
          <w:sz w:val="21"/>
          <w:szCs w:val="21"/>
        </w:rPr>
        <w:t>Enable modelling of reduced testing frequency (not only modality) — e.g. general pop every 3 years, KP every 12 months, PrEP users less than every 3 months — as countries approach 95-95-95.</w:t>
      </w:r>
      <w:r>
        <w:rPr>
          <w:b/>
          <w:bCs/>
          <w:color w:val="EE0000"/>
          <w:sz w:val="18"/>
          <w:szCs w:val="18"/>
        </w:rPr>
        <w:t xml:space="preserve">  [R3 — Logic]</w:t>
      </w:r>
    </w:p>
    <w:p w14:paraId="18E647B9" w14:textId="77777777" w:rsidR="000A262A" w:rsidRDefault="000A262A" w:rsidP="000A262A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>Reflect the narrowed WHO position on window-period testing — show tests saved vs infections potentially missed.</w:t>
      </w:r>
      <w:r>
        <w:rPr>
          <w:b/>
          <w:bCs/>
          <w:color w:val="2E5395"/>
          <w:sz w:val="18"/>
          <w:szCs w:val="18"/>
        </w:rPr>
        <w:t xml:space="preserve">  [R3 — Logic]</w:t>
      </w:r>
    </w:p>
    <w:p w14:paraId="555A3D74" w14:textId="77777777" w:rsidR="000A262A" w:rsidRDefault="000A262A" w:rsidP="000A262A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>Clarify targeted vs untargeted community-based testing.</w:t>
      </w:r>
      <w:r>
        <w:rPr>
          <w:b/>
          <w:bCs/>
          <w:color w:val="2E5395"/>
          <w:sz w:val="18"/>
          <w:szCs w:val="18"/>
        </w:rPr>
        <w:t xml:space="preserve">  [R3 — UI/Logic]</w:t>
      </w:r>
    </w:p>
    <w:p w14:paraId="01F45C4B" w14:textId="77777777" w:rsidR="000A262A" w:rsidRDefault="000A262A" w:rsidP="000A262A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>Consider distinguishing first-time vs repeat testers (or average tests per individual/episode) since yield, impact and cost differ.</w:t>
      </w:r>
      <w:r>
        <w:rPr>
          <w:b/>
          <w:bCs/>
          <w:color w:val="2E5395"/>
          <w:sz w:val="18"/>
          <w:szCs w:val="18"/>
        </w:rPr>
        <w:t xml:space="preserve">  [R3 — Logic]</w:t>
      </w:r>
    </w:p>
    <w:p w14:paraId="168551DC" w14:textId="77777777" w:rsidR="000A262A" w:rsidRDefault="000A262A" w:rsidP="000A262A">
      <w:pPr>
        <w:pStyle w:val="Heading1"/>
        <w:spacing w:before="320" w:after="140"/>
      </w:pPr>
      <w:r>
        <w:t>5. PMTCT / ANC / infant cascade</w:t>
      </w:r>
    </w:p>
    <w:p w14:paraId="13A229A3" w14:textId="77777777" w:rsidR="000A262A" w:rsidRDefault="000A262A" w:rsidP="000A262A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>Group ANC + postnatal PMTCT + EID interventions together (see also §1).</w:t>
      </w:r>
      <w:r>
        <w:rPr>
          <w:b/>
          <w:bCs/>
          <w:color w:val="2E5395"/>
          <w:sz w:val="18"/>
          <w:szCs w:val="18"/>
        </w:rPr>
        <w:t xml:space="preserve">  [Jeff — UI]</w:t>
      </w:r>
    </w:p>
    <w:p w14:paraId="4F240BFC" w14:textId="77777777" w:rsidR="000A262A" w:rsidRDefault="000A262A" w:rsidP="000A262A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>Rename “EID” to “Infant HIV Testing” and specify the timepoint (6 weeks / 6 months / 18 months); later timepoints may be more meaningful given postnatal (breastfeeding) transmission.</w:t>
      </w:r>
      <w:r>
        <w:rPr>
          <w:b/>
          <w:bCs/>
          <w:color w:val="2E5395"/>
          <w:sz w:val="18"/>
          <w:szCs w:val="18"/>
        </w:rPr>
        <w:t xml:space="preserve">  [R3 — UI/Logic]</w:t>
      </w:r>
    </w:p>
    <w:p w14:paraId="34EC9E1C" w14:textId="77777777" w:rsidR="000A262A" w:rsidRDefault="000A262A" w:rsidP="000A262A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>Clarify what ANC/PNC testing measures — a single test vs testing at specific timepoints; for advocacy, consider presenting coverage separately at first ANC test, repeat late-pregnancy/delivery test, and once-off postpartum test.</w:t>
      </w:r>
      <w:r>
        <w:rPr>
          <w:b/>
          <w:bCs/>
          <w:color w:val="2E5395"/>
          <w:sz w:val="18"/>
          <w:szCs w:val="18"/>
        </w:rPr>
        <w:t xml:space="preserve">  [R3 — UI/Logic]</w:t>
      </w:r>
    </w:p>
    <w:p w14:paraId="747A70A9" w14:textId="77777777" w:rsidR="000A262A" w:rsidRDefault="000A262A" w:rsidP="000A262A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>Specify VL monitoring timing and frequency in pregnancy/postpartum (e.g. “% third-trimester VL”, “% 6-month postpartum VL”) rather than a generic “% with a VL done”; the frequency dimension is a distinct lever (see §13).</w:t>
      </w:r>
      <w:r>
        <w:rPr>
          <w:b/>
          <w:bCs/>
          <w:color w:val="2E5395"/>
          <w:sz w:val="18"/>
          <w:szCs w:val="18"/>
        </w:rPr>
        <w:t xml:space="preserve">  [R3, DSD — UI/Logic]</w:t>
      </w:r>
    </w:p>
    <w:p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 xml:space="preserve">HTS does not capture maternal retesting before delivery, which some countries are scaling up — independently confirming R3’s repeat late-pregnancy/delivery testing point above.</w:t>
      </w:r>
      <w:r>
        <w:rPr>
          <w:b/>
          <w:bCs/>
          <w:color w:val="2E5395"/>
          <w:sz w:val="18"/>
          <w:szCs w:val="18"/>
        </w:rPr>
        <w:t xml:space="preserve">  [R8, R3 — Logic]</w:t>
      </w:r>
    </w:p>
    <w:p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 xml:space="preserve">Epidemic parameters include no vertical transmission (VTP) metrics.</w:t>
      </w:r>
      <w:r>
        <w:rPr>
          <w:b/>
          <w:bCs/>
          <w:color w:val="2E5395"/>
          <w:sz w:val="18"/>
          <w:szCs w:val="18"/>
        </w:rPr>
        <w:t xml:space="preserve">  [R8 — Logic]</w:t>
      </w:r>
    </w:p>
    <w:p w14:paraId="1840F118" w14:textId="77777777" w:rsidR="000A262A" w:rsidRDefault="000A262A" w:rsidP="000A262A">
      <w:pPr>
        <w:pStyle w:val="Heading1"/>
        <w:spacing w:before="320" w:after="140"/>
      </w:pPr>
      <w:r>
        <w:t>6. Indicator definitions &amp; terminology (treatment / adherence / AHD)</w:t>
      </w:r>
    </w:p>
    <w:p w14:paraId="0E6DD633" w14:textId="77777777" w:rsidR="000A262A" w:rsidRDefault="000A262A" w:rsidP="000A262A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>Rename 12MMD to 12MMS to align with simplification advocacy; ideally include both 6MMS and 12MMS, capped so coverage cannot exceed 100%.</w:t>
      </w:r>
      <w:r>
        <w:rPr>
          <w:b/>
          <w:bCs/>
          <w:color w:val="2E5395"/>
          <w:sz w:val="18"/>
          <w:szCs w:val="18"/>
        </w:rPr>
        <w:t xml:space="preserve">  [R3 — UI/Logic]</w:t>
      </w:r>
    </w:p>
    <w:p w14:paraId="26BF2A03" w14:textId="77777777" w:rsidR="000A262A" w:rsidRDefault="000A262A" w:rsidP="000A262A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>Move away from an EAC focus toward a broader “% receiving adherence support” / “% actioned” measure that includes DSD/MMD access.</w:t>
      </w:r>
      <w:r>
        <w:rPr>
          <w:b/>
          <w:bCs/>
          <w:color w:val="2E5395"/>
          <w:sz w:val="18"/>
          <w:szCs w:val="18"/>
        </w:rPr>
        <w:t xml:space="preserve">  [R3 — UI/Logic]</w:t>
      </w:r>
    </w:p>
    <w:p w14:paraId="0EBB7382" w14:textId="77777777" w:rsidR="000A262A" w:rsidRDefault="000A262A" w:rsidP="000A262A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>Disaggregate tracking-and-tracing by intervention/population type (e.g. “% priority populations tracked” vs “% all clients tracked”).</w:t>
      </w:r>
      <w:r>
        <w:rPr>
          <w:b/>
          <w:bCs/>
          <w:color w:val="2E5395"/>
          <w:sz w:val="18"/>
          <w:szCs w:val="18"/>
        </w:rPr>
        <w:t xml:space="preserve">  [R3 — Logic]</w:t>
      </w:r>
    </w:p>
    <w:p w14:paraId="484B0177" w14:textId="77777777" w:rsidR="000A262A" w:rsidRDefault="000A262A" w:rsidP="000A262A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>Add “% receiving CD4 testing at re-engagement” to strengthen AHD advocacy.</w:t>
      </w:r>
      <w:r>
        <w:rPr>
          <w:b/>
          <w:bCs/>
          <w:color w:val="2E5395"/>
          <w:sz w:val="18"/>
          <w:szCs w:val="18"/>
        </w:rPr>
        <w:t xml:space="preserve">  [R3 — Logic]</w:t>
      </w:r>
    </w:p>
    <w:p w14:paraId="008417C3" w14:textId="77777777" w:rsidR="000A262A" w:rsidRDefault="000A262A" w:rsidP="000A262A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>For AHD, consider a few measurable proxies rather than the full package: % TPT initiated, % CrAg tested among CD4&lt;100, % facilities with urine-LAM availability.</w:t>
      </w:r>
      <w:r>
        <w:rPr>
          <w:b/>
          <w:bCs/>
          <w:color w:val="2E5395"/>
          <w:sz w:val="18"/>
          <w:szCs w:val="18"/>
        </w:rPr>
        <w:t xml:space="preserve">  [R3 — Logic]</w:t>
      </w:r>
    </w:p>
    <w:p w14:paraId="66904C09" w14:textId="77777777" w:rsidR="000A262A" w:rsidRDefault="000A262A" w:rsidP="000A262A">
      <w:pPr>
        <w:pStyle w:val="Heading1"/>
        <w:spacing w:before="320" w:after="140"/>
      </w:pPr>
      <w:r>
        <w:t>7. Missing or additional interventions &amp; commodities</w:t>
      </w:r>
    </w:p>
    <w:p w14:paraId="48C1D7F3" w14:textId="77777777" w:rsidR="000A262A" w:rsidRDefault="000A262A" w:rsidP="000A262A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>Disaggregate condoms into male and female.</w:t>
      </w:r>
      <w:r>
        <w:rPr>
          <w:b/>
          <w:bCs/>
          <w:color w:val="2E5395"/>
          <w:sz w:val="18"/>
          <w:szCs w:val="18"/>
        </w:rPr>
        <w:t xml:space="preserve">  [R1, R4 — Logic + UI]</w:t>
      </w:r>
    </w:p>
    <w:p w14:paraId="4F86730C" w14:textId="77777777" w:rsidR="000A262A" w:rsidRDefault="000A262A" w:rsidP="000A262A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>Add safer-sex commodities: lubricant and dental dams.</w:t>
      </w:r>
      <w:r>
        <w:rPr>
          <w:b/>
          <w:bCs/>
          <w:color w:val="2E5395"/>
          <w:sz w:val="18"/>
          <w:szCs w:val="18"/>
        </w:rPr>
        <w:t xml:space="preserve">  [R4 — Logic + UI]</w:t>
      </w:r>
    </w:p>
    <w:p w14:paraId="73F8712B" w14:textId="77777777" w:rsidR="000A262A" w:rsidRDefault="000A262A" w:rsidP="000A262A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>Add an STI indicator.</w:t>
      </w:r>
      <w:r>
        <w:rPr>
          <w:b/>
          <w:bCs/>
          <w:color w:val="2E5395"/>
          <w:sz w:val="18"/>
          <w:szCs w:val="18"/>
        </w:rPr>
        <w:t xml:space="preserve">  [R1 — Logic + UI]</w:t>
      </w:r>
    </w:p>
    <w:p w14:paraId="1D1A6859" w14:textId="77777777" w:rsidR="000A262A" w:rsidRDefault="000A262A" w:rsidP="000A262A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>Add KP typologies (FSW, MSM, TG, etc.) and age/sex disaggregation.</w:t>
      </w:r>
      <w:r>
        <w:rPr>
          <w:b/>
          <w:bCs/>
          <w:color w:val="2E5395"/>
          <w:sz w:val="18"/>
          <w:szCs w:val="18"/>
        </w:rPr>
        <w:t xml:space="preserve">  [R1 — Logic + UI]</w:t>
      </w:r>
    </w:p>
    <w:p w14:paraId="1921DD33" w14:textId="77777777" w:rsidR="000A262A" w:rsidRDefault="000A262A" w:rsidP="000A262A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lastRenderedPageBreak/>
        <w:t>(See §3 for CAB-LA, event-driven PrEP and PEP.)</w:t>
      </w:r>
      <w:r>
        <w:rPr>
          <w:b/>
          <w:bCs/>
          <w:color w:val="2E5395"/>
          <w:sz w:val="18"/>
          <w:szCs w:val="18"/>
        </w:rPr>
        <w:t xml:space="preserve">  [R1]</w:t>
      </w:r>
    </w:p>
    <w:p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 xml:space="preserve">Add TB outcomes (e.g. TPT); currently absent. Note R3 separately proposes “% TPT initiated” as an AHD proxy in §6 — worth reconciling the two asks into one indicator.</w:t>
      </w:r>
      <w:r>
        <w:rPr>
          <w:b/>
          <w:bCs/>
          <w:color w:val="2E5395"/>
          <w:sz w:val="18"/>
          <w:szCs w:val="18"/>
        </w:rPr>
        <w:t xml:space="preserve">  [R8 — Logic + UI]</w:t>
      </w:r>
    </w:p>
    <w:p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 xml:space="preserve">Community-led prevention service-delivery interventions (drop-in centres, outreach, referrals, prevention literacy and risk communication) are absent — see §16.</w:t>
      </w:r>
      <w:r>
        <w:rPr>
          <w:b/>
          <w:bCs/>
          <w:color w:val="2E5395"/>
          <w:sz w:val="18"/>
          <w:szCs w:val="18"/>
        </w:rPr>
        <w:t xml:space="preserve">  [R6 — Logic + UI]</w:t>
      </w:r>
    </w:p>
    <w:p w14:paraId="432FB037" w14:textId="77777777" w:rsidR="000A262A" w:rsidRDefault="000A262A" w:rsidP="000A262A">
      <w:pPr>
        <w:pStyle w:val="Heading1"/>
        <w:spacing w:before="320" w:after="140"/>
      </w:pPr>
      <w:r>
        <w:t>8. Model assumptions, transparency &amp; time horizon</w:t>
      </w:r>
    </w:p>
    <w:p w14:paraId="1787FAC9" w14:textId="77777777" w:rsidR="000A262A" w:rsidRDefault="000A262A" w:rsidP="000A262A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>Add a dedicated assumptions tab/slide documenting embedded linkages — e.g. how VL coverage relates to viral suppression, and MMD linkages — and ideally the human-resource implications of each intervention.</w:t>
      </w:r>
      <w:r>
        <w:rPr>
          <w:b/>
          <w:bCs/>
          <w:color w:val="2E5395"/>
          <w:sz w:val="18"/>
          <w:szCs w:val="18"/>
        </w:rPr>
        <w:t xml:space="preserve">  [R5, Jeff, R8 — Docs/UI]</w:t>
      </w:r>
    </w:p>
    <w:p w14:paraId="56ACAB76" w14:textId="77777777" w:rsidR="000A262A" w:rsidRDefault="000A262A" w:rsidP="000A262A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>Add a caveat (at least in the user guide) that the one-year time horizon may overstate impact, since enrolment takes time and transmission dynamics play out over longer periods — unless already handled intrinsically in the model.</w:t>
      </w:r>
      <w:r>
        <w:rPr>
          <w:b/>
          <w:bCs/>
          <w:color w:val="2E5395"/>
          <w:sz w:val="18"/>
          <w:szCs w:val="18"/>
        </w:rPr>
        <w:t xml:space="preserve">  [GDoc — Docs/Logic]</w:t>
      </w:r>
    </w:p>
    <w:p w14:paraId="393AC1C8" w14:textId="77777777" w:rsidR="000A262A" w:rsidRDefault="000A262A" w:rsidP="000A262A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>Explain the PrEP impact modelling assumptions (denominator, continuation) — Jeff flags wanting to “dig in more” on these.</w:t>
      </w:r>
      <w:r>
        <w:rPr>
          <w:b/>
          <w:bCs/>
          <w:color w:val="2E5395"/>
          <w:sz w:val="18"/>
          <w:szCs w:val="18"/>
        </w:rPr>
        <w:t xml:space="preserve">  [Jeff — Docs]</w:t>
      </w:r>
    </w:p>
    <w:p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 xml:space="preserve">Make the underlying assumptions — especially costing data — visible somewhere in the tool. R8 expected this and names it their single most important pre-rollout improvement, on the grounds that stakeholders will trust outputs they can interrogate.</w:t>
      </w:r>
      <w:r>
        <w:rPr>
          <w:b/>
          <w:bCs/>
          <w:color w:val="2E5395"/>
          <w:sz w:val="18"/>
          <w:szCs w:val="18"/>
        </w:rPr>
        <w:t xml:space="preserve">  [R8 — Docs/UI]</w:t>
      </w:r>
    </w:p>
    <w:p w14:paraId="1E28EF6C" w14:textId="77777777" w:rsidR="000A262A" w:rsidRDefault="000A262A" w:rsidP="000A262A">
      <w:pPr>
        <w:pStyle w:val="Heading1"/>
        <w:spacing w:before="320" w:after="140"/>
      </w:pPr>
      <w:r>
        <w:t>9. Costing &amp; budget visibility</w:t>
      </w:r>
    </w:p>
    <w:p w14:paraId="2375CCF1" w14:textId="77777777" w:rsidR="000A262A" w:rsidRDefault="000A262A" w:rsidP="000A262A">
      <w:pPr>
        <w:pStyle w:val="ListParagraph"/>
        <w:numPr>
          <w:ilvl w:val="0"/>
          <w:numId w:val="3"/>
        </w:numPr>
        <w:spacing w:after="90" w:line="268" w:lineRule="auto"/>
      </w:pPr>
      <w:commentRangeStart w:id="14"/>
      <w:r>
        <w:rPr>
          <w:sz w:val="21"/>
          <w:szCs w:val="21"/>
        </w:rPr>
        <w:t>Make the funding/budget factor more visible within scenarios so cost changes against a stipulated budget are quicker to see.</w:t>
      </w:r>
      <w:commentRangeEnd w:id="14"/>
      <w:r>
        <w:rPr>
          <w:rStyle w:val="CommentReference"/>
          <w:b/>
          <w:bCs/>
          <w:color w:val="2E5395"/>
          <w:sz w:val="18"/>
          <w:szCs w:val="18"/>
        </w:rPr>
        <w:commentReference w:id="14"/>
      </w:r>
      <w:r>
        <w:rPr>
          <w:b/>
          <w:bCs/>
          <w:color w:val="2E5395"/>
          <w:sz w:val="18"/>
          <w:szCs w:val="18"/>
        </w:rPr>
        <w:t xml:space="preserve">  [R2, R5 — UI]</w:t>
      </w:r>
    </w:p>
    <w:p w14:paraId="7943F0B2" w14:textId="77777777" w:rsidR="000A262A" w:rsidRDefault="000A262A" w:rsidP="000A262A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>Break cost results down by intervention area, not only ART (e.g. testing, PrEP, MMC, prevention).</w:t>
      </w:r>
      <w:r>
        <w:rPr>
          <w:b/>
          <w:bCs/>
          <w:color w:val="2E5395"/>
          <w:sz w:val="18"/>
          <w:szCs w:val="18"/>
        </w:rPr>
        <w:t xml:space="preserve">  [R5, GDoc2 — UI]</w:t>
      </w:r>
    </w:p>
    <w:p w14:paraId="3E75D0E1" w14:textId="77777777" w:rsidR="000A262A" w:rsidRDefault="000A262A" w:rsidP="000A262A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>Include cost-per-dose / per-unit in the scenario view so users can sense-check whether those costs still hold.</w:t>
      </w:r>
      <w:r>
        <w:rPr>
          <w:b/>
          <w:bCs/>
          <w:color w:val="2E5395"/>
          <w:sz w:val="18"/>
          <w:szCs w:val="18"/>
        </w:rPr>
        <w:t xml:space="preserve">  [R5 — UI]</w:t>
      </w:r>
    </w:p>
    <w:p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 xml:space="preserve">Expose the costing assumptions and unit-cost data behind results (see §8).</w:t>
      </w:r>
      <w:r>
        <w:rPr>
          <w:b/>
          <w:bCs/>
          <w:color w:val="2E5395"/>
          <w:sz w:val="18"/>
          <w:szCs w:val="18"/>
        </w:rPr>
        <w:t xml:space="preserve">  [R8 — Docs/UI]</w:t>
      </w:r>
    </w:p>
    <w:p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 xml:space="preserve">Estimating the community investment required to reach targets is not currently possible (see §16).</w:t>
      </w:r>
      <w:r>
        <w:rPr>
          <w:b/>
          <w:bCs/>
          <w:color w:val="2E5395"/>
          <w:sz w:val="18"/>
          <w:szCs w:val="18"/>
        </w:rPr>
        <w:t xml:space="preserve">  [R6 — Logic]</w:t>
      </w:r>
    </w:p>
    <w:p w14:paraId="48DB1716" w14:textId="77777777" w:rsidR="000A262A" w:rsidRDefault="000A262A" w:rsidP="000A262A">
      <w:pPr>
        <w:pStyle w:val="Heading1"/>
        <w:spacing w:before="320" w:after="140"/>
      </w:pPr>
      <w:r>
        <w:t>10. Accessibility &amp; framing for non-technical / community users</w:t>
      </w:r>
    </w:p>
    <w:p w14:paraId="18118E8C" w14:textId="77777777" w:rsidR="000A262A" w:rsidRDefault="000A262A" w:rsidP="000A262A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>Add narrative summaries alongside graphs and statistical outputs for less quantitative audiences.</w:t>
      </w:r>
      <w:r>
        <w:rPr>
          <w:b/>
          <w:bCs/>
          <w:color w:val="2E5395"/>
          <w:sz w:val="18"/>
          <w:szCs w:val="18"/>
        </w:rPr>
        <w:t xml:space="preserve">  [R4 — UI]</w:t>
      </w:r>
    </w:p>
    <w:p w14:paraId="74964562" w14:textId="77777777" w:rsidR="000A262A" w:rsidRDefault="000A262A" w:rsidP="000A262A">
      <w:pPr>
        <w:pStyle w:val="ListParagraph"/>
        <w:numPr>
          <w:ilvl w:val="0"/>
          <w:numId w:val="3"/>
        </w:numPr>
        <w:spacing w:after="90" w:line="268" w:lineRule="auto"/>
        <w:rPr>
          <w:b/>
          <w:color w:val="2E5395"/>
          <w:sz w:val="18"/>
          <w:szCs w:val="18"/>
        </w:rPr>
      </w:pPr>
      <w:commentRangeStart w:id="15"/>
      <w:r>
        <w:rPr>
          <w:sz w:val="21"/>
          <w:szCs w:val="21"/>
        </w:rPr>
        <w:t>Separate messaging on WHAT the tool is for from HOW to use it; the current tutorial focuses on the latter, which risks community buy-in and advocacy positioning.</w:t>
      </w:r>
      <w:r>
        <w:rPr>
          <w:b/>
          <w:bCs/>
          <w:color w:val="2E5395"/>
          <w:sz w:val="18"/>
          <w:szCs w:val="18"/>
        </w:rPr>
        <w:t xml:space="preserve">  [R4 — Docs/UI]</w:t>
      </w:r>
      <w:commentRangeEnd w:id="15"/>
      <w:r>
        <w:rPr>
          <w:rStyle w:val="CommentReference"/>
          <w:b/>
          <w:color w:val="2E5395"/>
          <w:sz w:val="18"/>
          <w:szCs w:val="18"/>
        </w:rPr>
        <w:commentReference w:id="15"/>
      </w:r>
    </w:p>
    <w:p w14:paraId="43F0A71B" w14:textId="77777777" w:rsidR="000A262A" w:rsidRDefault="000A262A" w:rsidP="000A262A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>Consider a community-facing information session / resource mapping realistic community-facing scenarios to ground what the tool can be used for.</w:t>
      </w:r>
      <w:r>
        <w:rPr>
          <w:b/>
          <w:bCs/>
          <w:color w:val="2E5395"/>
          <w:sz w:val="18"/>
          <w:szCs w:val="18"/>
        </w:rPr>
        <w:t xml:space="preserve">  [R4 — Docs]</w:t>
      </w:r>
    </w:p>
    <w:p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 xml:space="preserve">The same respondent named scenarios as both the most valuable aspect of the tool and the most confusing, and twice said they needed more practice — pointing to scenario-builder onboarding/worked examples rather than redesign.</w:t>
      </w:r>
      <w:r>
        <w:rPr>
          <w:b/>
          <w:bCs/>
          <w:color w:val="2E5395"/>
          <w:sz w:val="18"/>
          <w:szCs w:val="18"/>
        </w:rPr>
        <w:t xml:space="preserve">  [R7 — UI/Docs]</w:t>
      </w:r>
    </w:p>
    <w:p w14:paraId="02477CDF" w14:textId="77777777" w:rsidR="000A262A" w:rsidRPr="00B83B9A" w:rsidRDefault="000A262A" w:rsidP="000A262A">
      <w:pPr>
        <w:pStyle w:val="ListParagraph"/>
        <w:numPr>
          <w:ilvl w:val="0"/>
          <w:numId w:val="3"/>
        </w:numPr>
        <w:spacing w:after="90" w:line="268" w:lineRule="auto"/>
        <w:rPr>
          <w:color w:val="196B24" w:themeColor="accent3"/>
        </w:rPr>
      </w:pPr>
      <w:r>
        <w:rPr>
          <w:color w:val="196B24" w:themeColor="accent3"/>
          <w:sz w:val="21"/>
          <w:szCs w:val="21"/>
        </w:rPr>
        <w:t>Note positive: mobile access worked well and the per-result info icons were valued — preserve these.</w:t>
      </w:r>
      <w:r>
        <w:rPr>
          <w:b/>
          <w:bCs/>
          <w:color w:val="196B24" w:themeColor="accent3"/>
          <w:sz w:val="18"/>
          <w:szCs w:val="18"/>
        </w:rPr>
        <w:t xml:space="preserve">  [R4 — UI]</w:t>
      </w:r>
    </w:p>
    <w:p w14:paraId="0B8E241F" w14:textId="77777777" w:rsidR="000A262A" w:rsidRDefault="000A262A" w:rsidP="000A262A">
      <w:pPr>
        <w:pStyle w:val="Heading1"/>
        <w:spacing w:before="320" w:after="140"/>
      </w:pPr>
      <w:r>
        <w:t>11. Scenario management, data updates &amp; collaboration</w:t>
      </w:r>
    </w:p>
    <w:p w14:paraId="670C7A13" w14:textId="77777777" w:rsidR="000A262A" w:rsidRDefault="000A262A" w:rsidP="000A262A">
      <w:pPr>
        <w:pStyle w:val="ListParagraph"/>
        <w:numPr>
          <w:ilvl w:val="0"/>
          <w:numId w:val="3"/>
        </w:numPr>
        <w:spacing w:after="90" w:line="268" w:lineRule="auto"/>
      </w:pPr>
      <w:commentRangeStart w:id="16"/>
      <w:r>
        <w:rPr>
          <w:sz w:val="21"/>
          <w:szCs w:val="21"/>
        </w:rPr>
        <w:t>Add a scenario name on the scenarios tab (e.g. “high PrEP, low testing”) that flows through to the downloadable report; failing a per-scenario name, at least add a scenario description so a later reader understands each scenario’s aim.</w:t>
      </w:r>
      <w:commentRangeEnd w:id="16"/>
      <w:r>
        <w:rPr>
          <w:rStyle w:val="CommentReference"/>
          <w:b/>
          <w:bCs/>
          <w:color w:val="2E5395"/>
          <w:sz w:val="18"/>
          <w:szCs w:val="18"/>
        </w:rPr>
        <w:commentReference w:id="16"/>
      </w:r>
      <w:r>
        <w:rPr>
          <w:b/>
          <w:bCs/>
          <w:color w:val="2E5395"/>
          <w:sz w:val="18"/>
          <w:szCs w:val="18"/>
        </w:rPr>
        <w:t xml:space="preserve">  [GDoc, GDoc2 — UI]</w:t>
      </w:r>
    </w:p>
    <w:p w14:paraId="64B4204E" w14:textId="77777777" w:rsidR="000A262A" w:rsidRDefault="000A262A" w:rsidP="000A262A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>Enable sharing of a saved settings/scenario configuration so teams can work from a common base.</w:t>
      </w:r>
      <w:r>
        <w:rPr>
          <w:b/>
          <w:bCs/>
          <w:color w:val="2E5395"/>
          <w:sz w:val="18"/>
          <w:szCs w:val="18"/>
        </w:rPr>
        <w:t xml:space="preserve">  [R2 — UI]</w:t>
      </w:r>
    </w:p>
    <w:p w14:paraId="6D483317" w14:textId="77777777" w:rsidR="000A262A" w:rsidRDefault="000A262A" w:rsidP="000A262A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>Add a “reset to default values” button per country (without needing to switch country and back).</w:t>
      </w:r>
      <w:r>
        <w:rPr>
          <w:b/>
          <w:bCs/>
          <w:color w:val="2E5395"/>
          <w:sz w:val="18"/>
          <w:szCs w:val="18"/>
        </w:rPr>
        <w:t xml:space="preserve">  [GDoc — UI]</w:t>
      </w:r>
    </w:p>
    <w:p w14:paraId="05DCE2A2" w14:textId="77777777" w:rsidR="000A262A" w:rsidRPr="00B83B9A" w:rsidRDefault="000A262A" w:rsidP="000A262A">
      <w:pPr>
        <w:pStyle w:val="ListParagraph"/>
        <w:numPr>
          <w:ilvl w:val="0"/>
          <w:numId w:val="3"/>
        </w:numPr>
        <w:spacing w:after="90" w:line="268" w:lineRule="auto"/>
        <w:rPr>
          <w:color w:val="C00000"/>
        </w:rPr>
      </w:pPr>
      <w:r>
        <w:rPr>
          <w:color w:val="C00000"/>
          <w:sz w:val="21"/>
          <w:szCs w:val="21"/>
        </w:rPr>
        <w:t>Add a notes field against baseline coverage recording who last updated it and with what data source.</w:t>
      </w:r>
      <w:r>
        <w:rPr>
          <w:b/>
          <w:bCs/>
          <w:color w:val="C00000"/>
          <w:sz w:val="18"/>
          <w:szCs w:val="18"/>
        </w:rPr>
        <w:t xml:space="preserve">  [R5 — UI]</w:t>
      </w:r>
    </w:p>
    <w:p w14:paraId="05EF1C46" w14:textId="77777777" w:rsidR="000A262A" w:rsidRDefault="000A262A" w:rsidP="000A262A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>Enable annual updates to the Spectrum/epidemic parameters (deaths, new infections) — open the currently-closed epidemic parameter fields for year-over-year updates.</w:t>
      </w:r>
      <w:r>
        <w:rPr>
          <w:b/>
          <w:bCs/>
          <w:color w:val="2E5395"/>
          <w:sz w:val="18"/>
          <w:szCs w:val="18"/>
        </w:rPr>
        <w:t xml:space="preserve">  [R2, R5 — UI/Logic]</w:t>
      </w:r>
    </w:p>
    <w:p w14:paraId="411C5E7B" w14:textId="77777777" w:rsidR="000A262A" w:rsidRDefault="000A262A" w:rsidP="000A262A">
      <w:pPr>
        <w:pStyle w:val="Heading1"/>
        <w:spacing w:before="320" w:after="140"/>
      </w:pPr>
      <w:r>
        <w:t>12. Baseline data accuracy, external validation &amp; rollout</w:t>
      </w:r>
    </w:p>
    <w:p w14:paraId="78615F3C" w14:textId="77777777" w:rsidR="000A262A" w:rsidRDefault="000A262A" w:rsidP="000A262A">
      <w:pPr>
        <w:pStyle w:val="ListParagraph"/>
        <w:numPr>
          <w:ilvl w:val="0"/>
          <w:numId w:val="3"/>
        </w:numPr>
        <w:spacing w:after="90" w:line="268" w:lineRule="auto"/>
      </w:pPr>
      <w:commentRangeStart w:id="17"/>
      <w:r>
        <w:rPr>
          <w:sz w:val="21"/>
          <w:szCs w:val="21"/>
        </w:rPr>
        <w:t>Have one or two knowledgeable country experts review the baseline data before wider dissemination — clear baseline inaccuracies can undermine confidence from the outset even if the modelling approach is sound.</w:t>
      </w:r>
      <w:r>
        <w:rPr>
          <w:b/>
          <w:bCs/>
          <w:color w:val="2E5395"/>
          <w:sz w:val="18"/>
          <w:szCs w:val="18"/>
        </w:rPr>
        <w:t xml:space="preserve">  [R3]</w:t>
      </w:r>
      <w:commentRangeEnd w:id="17"/>
      <w:r>
        <w:rPr>
          <w:rStyle w:val="CommentReference"/>
          <w:sz w:val="20"/>
          <w:szCs w:val="20"/>
        </w:rPr>
        <w:commentReference w:id="17"/>
      </w:r>
    </w:p>
    <w:p w14:paraId="4A8F76BC" w14:textId="77777777" w:rsidR="000A262A" w:rsidRDefault="000A262A" w:rsidP="000A262A">
      <w:pPr>
        <w:spacing w:after="140" w:line="276" w:lineRule="auto"/>
      </w:pPr>
      <w:r>
        <w:rPr>
          <w:i/>
          <w:iCs/>
          <w:sz w:val="21"/>
          <w:szCs w:val="21"/>
        </w:rPr>
        <w:t>R3 cites the following South Africa baseline examples. These are the reviewer's assertions; both the displayed model values and R3's claimed “actual” values should be checked against the source data (parameter workbook / basic_hiv_data.csv) before either is accepted:</w:t>
      </w:r>
    </w:p>
    <w:p w14:paraId="7CCAE063" w14:textId="77777777" w:rsidR="000A262A" w:rsidRDefault="000A262A" w:rsidP="000A262A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lastRenderedPageBreak/>
        <w:t>CD4 testing at ART initiation shown as ~20%, whereas R3 states current coverage is substantially higher (no figure given).</w:t>
      </w:r>
      <w:r>
        <w:rPr>
          <w:b/>
          <w:bCs/>
          <w:color w:val="2E5395"/>
          <w:sz w:val="18"/>
          <w:szCs w:val="18"/>
        </w:rPr>
        <w:t xml:space="preserve">  [R3 — verify]</w:t>
      </w:r>
    </w:p>
    <w:p w14:paraId="0E0F2ADB" w14:textId="77777777" w:rsidR="000A262A" w:rsidRDefault="000A262A" w:rsidP="000A262A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>6MMD coverage shown as ~60%, whereas R3 states actual is closer to ~5%. Flag: this large gap may be a definitional issue rather than a data error — 6-month multi-month dispensing (~60%) vs 6-month multi-month supply/6MMS (~5%) — tying directly to R3's MMD-vs-MMS point in §6. Confirm what the parameter is defined as before treating as an error.</w:t>
      </w:r>
      <w:r>
        <w:rPr>
          <w:b/>
          <w:bCs/>
          <w:color w:val="2E5395"/>
          <w:sz w:val="18"/>
          <w:szCs w:val="18"/>
        </w:rPr>
        <w:t xml:space="preserve">  [R3 — verify]</w:t>
      </w:r>
    </w:p>
    <w:p w14:paraId="76EBD4D1" w14:textId="77777777" w:rsidR="000A262A" w:rsidRDefault="000A262A" w:rsidP="000A262A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>General facility HIV testing volumes look overestimated if all ANC testing is genuinely excluded (see also §4).</w:t>
      </w:r>
      <w:r>
        <w:rPr>
          <w:b/>
          <w:bCs/>
          <w:color w:val="2E5395"/>
          <w:sz w:val="18"/>
          <w:szCs w:val="18"/>
        </w:rPr>
        <w:t xml:space="preserve">  [R3 — verify]</w:t>
      </w:r>
    </w:p>
    <w:p w14:paraId="50505E25" w14:textId="77777777" w:rsidR="000A262A" w:rsidRDefault="000A262A" w:rsidP="000A262A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>Light-touch external validation of scenario numbers and impacts before wider rollout.</w:t>
      </w:r>
      <w:r>
        <w:rPr>
          <w:b/>
          <w:bCs/>
          <w:color w:val="2E5395"/>
          <w:sz w:val="18"/>
          <w:szCs w:val="18"/>
        </w:rPr>
        <w:t xml:space="preserve">  [R3]</w:t>
      </w:r>
    </w:p>
    <w:p w14:paraId="363893D3" w14:textId="77777777" w:rsidR="000A262A" w:rsidRDefault="000A262A" w:rsidP="000A262A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>Design parameters that capture efficiency/targeting improvements (better targeting, reduced repeat delivery), not coverage alone — for many countries the question is how efficiently an intervention is delivered, not whether.</w:t>
      </w:r>
      <w:r>
        <w:rPr>
          <w:b/>
          <w:bCs/>
          <w:color w:val="2E5395"/>
          <w:sz w:val="18"/>
          <w:szCs w:val="18"/>
        </w:rPr>
        <w:t xml:space="preserve">  [R3 — Logic]</w:t>
      </w:r>
    </w:p>
    <w:p w14:paraId="338BCC16" w14:textId="77777777" w:rsidR="000A262A" w:rsidRDefault="000A262A" w:rsidP="000A262A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>Pursue integration into PEPFAR / Global Fund planning and grant cycles; consider a CQUIN annual-meeting exercise output including baseline-scenario validation to drive engagement.</w:t>
      </w:r>
      <w:r>
        <w:rPr>
          <w:b/>
          <w:bCs/>
          <w:color w:val="2E5395"/>
          <w:sz w:val="18"/>
          <w:szCs w:val="18"/>
        </w:rPr>
        <w:t xml:space="preserve">  [R3]</w:t>
      </w:r>
    </w:p>
    <w:p w14:paraId="152137F2" w14:textId="77777777" w:rsidR="000A262A" w:rsidRDefault="000A262A" w:rsidP="000A262A">
      <w:pPr>
        <w:pStyle w:val="Heading1"/>
        <w:spacing w:before="320" w:after="140"/>
      </w:pPr>
      <w:r>
        <w:t>13. Service-frequency simplification: VL schedules &amp; annual clinical visits (DSD analysis request)</w:t>
      </w:r>
    </w:p>
    <w:p w14:paraId="366BEB1F" w14:textId="77777777" w:rsidR="000A262A" w:rsidRDefault="000A262A" w:rsidP="000A262A">
      <w:pPr>
        <w:spacing w:after="140" w:line="276" w:lineRule="auto"/>
      </w:pPr>
      <w:r>
        <w:rPr>
          <w:sz w:val="21"/>
          <w:szCs w:val="21"/>
        </w:rPr>
        <w:t>This is a specific, named analysis request rather than a general suggestion, so it is set out separately. It shares the underlying theme of §4 (testing frequency) and §6 (MMS): modelling how often a service is delivered, not just whether it is covered.</w:t>
      </w:r>
    </w:p>
    <w:p w14:paraId="6527E48B" w14:textId="77777777" w:rsidR="000A262A" w:rsidRDefault="000A262A" w:rsidP="000A262A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>Model both the timing and the frequency of viral load monitoring (not only whether a VL is done).</w:t>
      </w:r>
      <w:r>
        <w:rPr>
          <w:b/>
          <w:bCs/>
          <w:color w:val="2E5395"/>
          <w:sz w:val="18"/>
          <w:szCs w:val="18"/>
        </w:rPr>
        <w:t xml:space="preserve">  [DSD, R3 — Logic]</w:t>
      </w:r>
    </w:p>
    <w:p w14:paraId="467791FF" w14:textId="77777777" w:rsidR="000A262A" w:rsidRDefault="000A262A" w:rsidP="000A262A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>Model the impact of annual vs 6-monthly clinical visits for people stable on ART — tied to the Q2 2026 DSD newsletter policy brief on annual clinical visits, and a request to “quantify the difference” that simplified VL schedules and annual clinical visits would make.</w:t>
      </w:r>
      <w:r>
        <w:rPr>
          <w:b/>
          <w:bCs/>
          <w:color w:val="2E5395"/>
          <w:sz w:val="18"/>
          <w:szCs w:val="18"/>
        </w:rPr>
        <w:t xml:space="preserve">  [DSD — Logic]</w:t>
      </w:r>
    </w:p>
    <w:p w14:paraId="7428B3E2" w14:textId="77777777" w:rsidR="000A262A" w:rsidRDefault="000A262A" w:rsidP="000A262A">
      <w:pPr>
        <w:spacing w:after="140" w:line="276" w:lineRule="auto"/>
      </w:pPr>
      <w:r>
        <w:rPr>
          <w:i/>
          <w:iCs/>
          <w:sz w:val="21"/>
          <w:szCs w:val="21"/>
        </w:rPr>
        <w:t>Feasibility note (to confirm against the logic file, not yet verified): TIER-Plus currently appears to model coverage-type levers. Representing clinical-visit frequency would require (a) visit frequency to exist as (or be derivable from) a parameter, and (b) a defined outcome pathway. The impact of reducing stable-patient visits is primarily a cost / health-system-efficiency effect (fewer visits → lower delivery cost, freed capacity) and possibly a retention effect, rather than a direct transmission effect — so “impact” must be defined before it can be quantified. Whether this is a small extension or a structural addition should be assessed before scoping.</w:t>
      </w:r>
    </w:p>
    <w:p w14:paraId="5889D38B" w14:textId="77777777" w:rsidR="000A262A" w:rsidRDefault="000A262A" w:rsidP="000A262A">
      <w:pPr>
        <w:spacing w:after="120"/>
      </w:pPr>
    </w:p>
    <w:p w14:paraId="3A8571A9" w14:textId="77777777" w:rsidR="000A262A" w:rsidRDefault="000A262A" w:rsidP="000A262A">
      <w:pPr>
        <w:pStyle w:val="Heading1"/>
        <w:spacing w:before="320" w:after="140"/>
      </w:pPr>
      <w:r>
        <w:t>14. Results tab &amp; downloadable report presentation</w:t>
      </w:r>
    </w:p>
    <w:p w14:paraId="2C662508" w14:textId="77777777" w:rsidR="000A262A" w:rsidRDefault="000A262A" w:rsidP="000A262A">
      <w:pPr>
        <w:spacing w:after="140" w:line="276" w:lineRule="auto"/>
      </w:pPr>
      <w:r>
        <w:rPr>
          <w:sz w:val="21"/>
          <w:szCs w:val="21"/>
        </w:rPr>
        <w:t>These points concern the Results tab charts and the downloadable report specifically, rather than the input UI.</w:t>
      </w:r>
    </w:p>
    <w:p w14:paraId="65A76611" w14:textId="77777777" w:rsidR="000A262A" w:rsidRDefault="000A262A" w:rsidP="000A262A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>Care cascade chart (“HIV Care Cascade: Baseline vs Scenarios (End of Year)”): present as a grouped bar chart with clear labels for easier comparison.</w:t>
      </w:r>
      <w:r>
        <w:rPr>
          <w:b/>
          <w:bCs/>
          <w:color w:val="2E5395"/>
          <w:sz w:val="18"/>
          <w:szCs w:val="18"/>
        </w:rPr>
        <w:t xml:space="preserve">  [GDoc2 — UI]</w:t>
      </w:r>
    </w:p>
    <w:p w14:paraId="620382EC" w14:textId="77777777" w:rsidR="000A262A" w:rsidRDefault="000A262A" w:rsidP="000A262A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>Include the baseline as a bar/line within the cascade chart so the reference point is visible alongside the scenarios.</w:t>
      </w:r>
      <w:r>
        <w:rPr>
          <w:b/>
          <w:bCs/>
          <w:color w:val="2E5395"/>
          <w:sz w:val="18"/>
          <w:szCs w:val="18"/>
        </w:rPr>
        <w:t xml:space="preserve">  [GDoc2 — UI]</w:t>
      </w:r>
    </w:p>
    <w:p w14:paraId="3BC29564" w14:textId="77777777" w:rsidR="000A262A" w:rsidRDefault="000A262A" w:rsidP="000A262A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>“Intervention volumes by scenario”: add units or the underlying numbers (e.g. people initiated, number of tests) and clarify denominators where relevant.</w:t>
      </w:r>
      <w:r>
        <w:rPr>
          <w:b/>
          <w:bCs/>
          <w:color w:val="2E5395"/>
          <w:sz w:val="18"/>
          <w:szCs w:val="18"/>
        </w:rPr>
        <w:t xml:space="preserve">  [GDoc2 — UI]</w:t>
      </w:r>
    </w:p>
    <w:p w14:paraId="32E9E842" w14:textId="77777777" w:rsidR="000A262A" w:rsidRDefault="000A262A" w:rsidP="000A262A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>Reviewer questions whether the “Impact summary — change from baseline” figure adds anything beyond the “Key epidemiological outcomes (end of year)” table (and similarly the “HIV care cascade — end of year” figure vs its underlying data, though a visual cascade is still worth keeping). Consider removing or differentiating figures that only restate a table.</w:t>
      </w:r>
      <w:r>
        <w:rPr>
          <w:b/>
          <w:bCs/>
          <w:color w:val="2E5395"/>
          <w:sz w:val="18"/>
          <w:szCs w:val="18"/>
        </w:rPr>
        <w:t xml:space="preserve">  [GDoc2 — UI]</w:t>
      </w:r>
    </w:p>
    <w:p w14:paraId="527FF807" w14:textId="77777777" w:rsidR="000A262A" w:rsidRDefault="000A262A" w:rsidP="000A262A">
      <w:pPr>
        <w:pStyle w:val="ListParagraph"/>
        <w:numPr>
          <w:ilvl w:val="0"/>
          <w:numId w:val="3"/>
        </w:numPr>
        <w:spacing w:after="90" w:line="268" w:lineRule="auto"/>
      </w:pPr>
      <w:commentRangeStart w:id="18"/>
      <w:r>
        <w:rPr>
          <w:sz w:val="21"/>
          <w:szCs w:val="21"/>
        </w:rPr>
        <w:t>Expand acronyms used in report tables (ANC, PNC, MMD, EID) via footnotes or a glossary.</w:t>
      </w:r>
      <w:commentRangeEnd w:id="18"/>
      <w:r>
        <w:rPr>
          <w:rStyle w:val="CommentReference"/>
          <w:b/>
          <w:bCs/>
          <w:color w:val="2E5395"/>
          <w:sz w:val="18"/>
          <w:szCs w:val="18"/>
        </w:rPr>
        <w:commentReference w:id="18"/>
      </w:r>
      <w:r>
        <w:rPr>
          <w:b/>
          <w:bCs/>
          <w:color w:val="2E5395"/>
          <w:sz w:val="18"/>
          <w:szCs w:val="18"/>
        </w:rPr>
        <w:t xml:space="preserve">  [GDoc2 — UI/Docs]</w:t>
      </w:r>
    </w:p>
    <w:p w14:paraId="125B0C66" w14:textId="77777777" w:rsidR="000A262A" w:rsidRDefault="000A262A" w:rsidP="000A262A">
      <w:pPr>
        <w:pStyle w:val="Heading1"/>
        <w:spacing w:before="320" w:after="140"/>
      </w:pPr>
      <w:r>
        <w:lastRenderedPageBreak/>
        <w:t>15. Added analytical functionality</w:t>
      </w:r>
    </w:p>
    <w:p w14:paraId="49F74F17" w14:textId="77777777" w:rsidR="000A262A" w:rsidRDefault="000A262A" w:rsidP="000A262A">
      <w:pPr>
        <w:pStyle w:val="ListParagraph"/>
        <w:numPr>
          <w:ilvl w:val="0"/>
          <w:numId w:val="3"/>
        </w:numPr>
        <w:spacing w:after="90" w:line="268" w:lineRule="auto"/>
      </w:pPr>
      <w:commentRangeStart w:id="19"/>
      <w:commentRangeStart w:id="20"/>
      <w:r>
        <w:rPr>
          <w:sz w:val="21"/>
          <w:szCs w:val="21"/>
        </w:rPr>
        <w:t>When several interventions are changed at once, provide a decomposition showing the % of a given decline (e.g. incidence, or testing/treatment uptake) attributable to each changed intervention, so users need not re-test each one individually.</w:t>
      </w:r>
      <w:commentRangeEnd w:id="19"/>
      <w:r>
        <w:rPr>
          <w:rStyle w:val="CommentReference"/>
          <w:b/>
          <w:bCs/>
          <w:color w:val="2E5395"/>
          <w:sz w:val="18"/>
          <w:szCs w:val="18"/>
        </w:rPr>
        <w:commentReference w:id="19"/>
      </w:r>
      <w:commentRangeEnd w:id="20"/>
      <w:r>
        <w:rPr>
          <w:rStyle w:val="CommentReference"/>
          <w:b/>
          <w:bCs/>
          <w:color w:val="2E5395"/>
          <w:sz w:val="18"/>
          <w:szCs w:val="18"/>
        </w:rPr>
        <w:commentReference w:id="20"/>
      </w:r>
      <w:r>
        <w:rPr>
          <w:b/>
          <w:bCs/>
          <w:color w:val="2E5395"/>
          <w:sz w:val="18"/>
          <w:szCs w:val="18"/>
        </w:rPr>
        <w:t xml:space="preserve">  [GDoc2 — Logic]</w:t>
      </w:r>
    </w:p>
    <w:p w14:paraId="2FA1FB60" w14:textId="77777777" w:rsidR="000A262A" w:rsidRDefault="000A262A" w:rsidP="000A262A"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>Break cost results down by intervention area beyond ART (see §9).</w:t>
      </w:r>
      <w:r>
        <w:rPr>
          <w:b/>
          <w:bCs/>
          <w:color w:val="2E5395"/>
          <w:sz w:val="18"/>
          <w:szCs w:val="18"/>
        </w:rPr>
        <w:t xml:space="preserve">  [GDoc2]</w:t>
      </w:r>
    </w:p>
    <w:p w14:paraId="7435596E" w14:textId="77777777" w:rsidR="000A262A" w:rsidRDefault="000A262A" w:rsidP="000A262A">
      <w:pPr>
        <w:spacing w:after="180" w:line="276" w:lineRule="auto"/>
      </w:pPr>
      <w:r>
        <w:rPr>
          <w:i/>
          <w:iCs/>
          <w:color w:val="555555"/>
          <w:sz w:val="21"/>
          <w:szCs w:val="21"/>
        </w:rPr>
        <w:t>Feasibility/critical note (not verified against the model): attributing a joint change to individual interventions is not unique when their effects interact — the answer depends on the decomposition method (e.g. leave-one-out vs sequential/Shapley-style averaging) and can be order-dependent, and components need not sum to the total. The chosen method and its assumptions would need to be defined and shown to users; this is an analytical-design decision, not only a reporting one. Feasibility should be checked against Mock-Up_logic_V2.R before scoping.</w:t>
      </w:r>
    </w:p>
    <w:p>
      <w:pPr>
        <w:pStyle w:val="Heading1"/>
        <w:spacing w:before="320" w:after="140"/>
      </w:pPr>
      <w:r>
        <w:t xml:space="preserve">16. Community-led delivery, structural enablers &amp; investment estimation</w:t>
      </w:r>
    </w:p>
    <w:p>
      <w:pPr>
        <w:spacing w:after="140" w:line="276" w:lineRule="auto"/>
      </w:pPr>
      <w:r>
        <w:rPr>
          <w:sz w:val="21"/>
          <w:szCs w:val="21"/>
        </w:rPr>
        <w:t xml:space="preserve">A theme raised only by the two advocacy-focused NGO respondents added in this round (R6, R7) and not covered by any existing section. The tool currently models biomedical service delivery; it does not represent who delivers that service, nor the structural conditions that determine whether people can take it up.</w:t>
      </w:r>
    </w:p>
    <w:p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 xml:space="preserve">Add community-led HIV prevention service-delivery interventions: drop-in centres, outreach, referrals, and prevention literacy / risk communication for behaviour change.</w:t>
      </w:r>
      <w:r>
        <w:rPr>
          <w:b/>
          <w:bCs/>
          <w:color w:val="2E5395"/>
          <w:sz w:val="18"/>
          <w:szCs w:val="18"/>
        </w:rPr>
        <w:t xml:space="preserve">  [R6 — Logic + UI]</w:t>
      </w:r>
    </w:p>
    <w:p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 xml:space="preserve">Enable estimation of the community investment needed to reach targets. R6 frames this as a transition-period necessity: governments are asking CSOs and communities to demonstrate they are integral to the response, and prevention in particular depends on community-health facility linkages.</w:t>
      </w:r>
      <w:r>
        <w:rPr>
          <w:b/>
          <w:bCs/>
          <w:color w:val="2E5395"/>
          <w:sz w:val="18"/>
          <w:szCs w:val="18"/>
        </w:rPr>
        <w:t xml:space="preserve">  [R6 — Logic]</w:t>
      </w:r>
    </w:p>
    <w:p>
      <w:pPr>
        <w:pStyle w:val="ListParagraph"/>
        <w:numPr>
          <w:ilvl w:val="0"/>
          <w:numId w:val="3"/>
        </w:numPr>
        <w:spacing w:after="90" w:line="268" w:lineRule="auto"/>
      </w:pPr>
      <w:r>
        <w:rPr>
          <w:sz w:val="21"/>
          <w:szCs w:val="21"/>
        </w:rPr>
        <w:t xml:space="preserve">Add human rights and structural barriers as modelled, or at minimum documented, factors.</w:t>
      </w:r>
      <w:r>
        <w:rPr>
          <w:b/>
          <w:bCs/>
          <w:color w:val="2E5395"/>
          <w:sz w:val="18"/>
          <w:szCs w:val="18"/>
        </w:rPr>
        <w:t xml:space="preserve">  [R7 — Logic + UI]</w:t>
      </w:r>
    </w:p>
    <w:p>
      <w:pPr>
        <w:spacing w:after="180" w:line="276" w:lineRule="auto"/>
      </w:pPr>
      <w:r>
        <w:rPr>
          <w:i/>
          <w:iCs/>
          <w:color w:val="555555"/>
          <w:sz w:val="21"/>
          <w:szCs w:val="21"/>
        </w:rPr>
        <w:t xml:space="preserve">Scope note (not verified against the model): these two asks are not equally tractable and should not be scoped as one item. Community-led delivery could plausibly enter as a delivery-channel attribute on existing prevention interventions — affecting unit cost, reach and possibly yield — without requiring new epidemiological pathways. Human rights and structural barriers are harder: they act on uptake and retention rather than being interventions with a coverage level and a unit cost, and any parameterisation would be largely assumption-driven, which cuts against the “no unsourced numbers” principle applied elsewhere in this tool. If either is judged out of scope, that is worth stating explicitly in the documentation: R6 cites this gap as the specific reason their expectations were only partly met, so silence on it will keep resurfacing.</w:t>
      </w:r>
    </w:p>
    <w:p w14:paraId="3DB4BCB5" w14:textId="77777777" w:rsidR="000A262A" w:rsidRDefault="000A262A" w:rsidP="000A262A">
      <w:pPr>
        <w:spacing w:after="180"/>
      </w:pPr>
      <w:r>
        <w:rPr>
          <w:i/>
          <w:iCs/>
          <w:color w:val="555555"/>
        </w:rPr>
        <w:t>Note: “Logic”-flagged items would touch Mock-Up_logic_V2.R and are likely to need corresponding unit-test updates (per the numbered test suite). “UI”-flagged items are expected to be confined to the interface/server layer. These flags are a first-pass triage from the comments' wording only and should be confirmed against the code before scoping.</w:t>
      </w:r>
    </w:p>
    <w:p w14:paraId="59B84D3C" w14:textId="77777777" w:rsidR="000A262A" w:rsidRPr="009B0550" w:rsidRDefault="000A262A" w:rsidP="000A262A"/>
    <w:p w14:paraId="4923D255" w14:textId="68A6CF1C" w:rsidR="004A7DC1" w:rsidRPr="000A262A" w:rsidRDefault="004A7DC1" w:rsidP="000A262A"/>
    <w:sectPr w:rsidR="004A7DC1" w:rsidRPr="000A262A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lex de Nooy" w:date="2026-07-06T13:38:00Z" w:initials="Ad">
    <w:p w14:paraId="44142F8D" w14:textId="77777777" w:rsidR="00E368D3" w:rsidRDefault="00E368D3" w:rsidP="00E368D3">
      <w:r>
        <w:rPr>
          <w:rStyle w:val="CommentReference"/>
        </w:rPr>
        <w:annotationRef/>
      </w:r>
      <w:r>
        <w:t>For now have removed this information and just kept total people on prep</w:t>
      </w:r>
    </w:p>
  </w:comment>
  <w:comment w:id="1" w:author="Alex de Nooy" w:date="2026-07-03T11:00:00Z" w:initials="Ad">
    <w:p w14:paraId="37BEB4D3" w14:textId="77777777" w:rsidR="00164176" w:rsidRDefault="00164176" w:rsidP="00164176">
      <w:r>
        <w:rPr>
          <w:rStyle w:val="CommentReference"/>
        </w:rPr>
        <w:annotationRef/>
      </w:r>
      <w:r>
        <w:t xml:space="preserve">only thing with sliders is that you need to set a theoretical maximum - I guess it could be the population size. </w:t>
      </w:r>
    </w:p>
  </w:comment>
  <w:comment w:id="2" w:author="Alex de Nooy" w:date="2026-07-03T11:12:00Z" w:initials="Ad">
    <w:p w14:paraId="11733453" w14:textId="77777777" w:rsidR="0045559D" w:rsidRDefault="0045559D" w:rsidP="0045559D">
      <w:r>
        <w:rPr>
          <w:rStyle w:val="CommentReference"/>
        </w:rPr>
        <w:annotationRef/>
      </w:r>
      <w:r>
        <w:t>Maybe worth considering - it will however start adding lots of additional buttons and sliders/inputs - every section per scenario</w:t>
      </w:r>
    </w:p>
  </w:comment>
  <w:comment w:id="3" w:author="Guest User" w:date="2026-07-03T12:56:00Z" w:initials="GU">
    <w:p w14:paraId="5488FE40" w14:textId="577EEFA0" w:rsidR="00986443" w:rsidRDefault="00986443">
      <w:pPr>
        <w:pStyle w:val="CommentText"/>
      </w:pPr>
      <w:r>
        <w:rPr>
          <w:rStyle w:val="CommentReference"/>
        </w:rPr>
        <w:annotationRef/>
      </w:r>
      <w:r w:rsidRPr="3247B6B8">
        <w:t>Do decisions get made this way? I also think that this could be challenging for some sections like 'Testing &amp; Diagnosis' bc it covers testing of so many different groups (i.e., ANC/PNC, key pops) and I am not sure a reduction in testing would apply evenly to all groups</w:t>
      </w:r>
    </w:p>
  </w:comment>
  <w:comment w:id="4" w:author="Megan Hansen" w:date="2026-07-03T12:57:00Z" w:initials="MH">
    <w:p w14:paraId="02D7D4BB" w14:textId="4AE65BE4" w:rsidR="00312064" w:rsidRDefault="00312064">
      <w:pPr>
        <w:pStyle w:val="CommentText"/>
      </w:pPr>
      <w:r>
        <w:rPr>
          <w:rStyle w:val="CommentReference"/>
        </w:rPr>
        <w:annotationRef/>
      </w:r>
      <w:r w:rsidRPr="05C2FBC4">
        <w:t>Do decisions get made this way? I also think that this could be challenging for some sections like 'Testing &amp; Diagnosis' bc it covers testing of so many different groups (i.e., ANC/PNC, key pops) and I am not sure a reduction in testing would apply evenly to all groups</w:t>
      </w:r>
    </w:p>
  </w:comment>
  <w:comment w:id="5" w:author="Alex de Nooy" w:date="2026-07-03T11:10:00Z" w:initials="Ad">
    <w:p w14:paraId="60B0B0DD" w14:textId="77777777" w:rsidR="007B4336" w:rsidRDefault="007B4336" w:rsidP="007B4336">
      <w:r>
        <w:rPr>
          <w:rStyle w:val="CommentReference"/>
        </w:rPr>
        <w:annotationRef/>
      </w:r>
      <w:r>
        <w:t>Not sure what you think? I see where this is coming from</w:t>
      </w:r>
    </w:p>
    <w:p w14:paraId="337B0692" w14:textId="77777777" w:rsidR="007B4336" w:rsidRDefault="007B4336" w:rsidP="007B4336"/>
  </w:comment>
  <w:comment w:id="6" w:author="Megan Hansen" w:date="2026-07-03T12:58:00Z" w:initials="MH">
    <w:p w14:paraId="25B49205" w14:textId="1A9849C9" w:rsidR="0053041E" w:rsidRDefault="0053041E">
      <w:pPr>
        <w:pStyle w:val="CommentText"/>
      </w:pPr>
      <w:r>
        <w:rPr>
          <w:rStyle w:val="CommentReference"/>
        </w:rPr>
        <w:annotationRef/>
      </w:r>
      <w:r w:rsidRPr="468CE30F">
        <w:t>Same, but I also think chronological order in disease progression makes sense</w:t>
      </w:r>
    </w:p>
  </w:comment>
  <w:comment w:id="7" w:author="Megan Hansen" w:date="2026-07-03T13:01:00Z" w:initials="MH">
    <w:p w14:paraId="7EB34AAB" w14:textId="1D025C2B" w:rsidR="000C1316" w:rsidRDefault="000C1316">
      <w:pPr>
        <w:pStyle w:val="CommentText"/>
      </w:pPr>
      <w:r>
        <w:rPr>
          <w:rStyle w:val="CommentReference"/>
        </w:rPr>
        <w:annotationRef/>
      </w:r>
      <w:r w:rsidRPr="3429A16F">
        <w:t>I quite like the idea of a whole category of vertical transmission related interventions, but idk if that messes with the flow because then it feels like you need to group all program-specific interventions together which could get messy</w:t>
      </w:r>
    </w:p>
  </w:comment>
  <w:comment w:id="8" w:author="Alex de Nooy" w:date="2026-07-03T11:09:00Z" w:initials="Ad">
    <w:p w14:paraId="37D53020" w14:textId="77777777" w:rsidR="00BA22A0" w:rsidRDefault="00BA22A0" w:rsidP="00BA22A0">
      <w:r>
        <w:rPr>
          <w:rStyle w:val="CommentReference"/>
        </w:rPr>
        <w:annotationRef/>
      </w:r>
      <w:r>
        <w:t>Should we just say ("Most recent estimates")maybe?</w:t>
      </w:r>
    </w:p>
  </w:comment>
  <w:comment w:id="9" w:author="Alex de Nooy" w:date="2026-07-03T11:08:00Z" w:initials="Ad">
    <w:p w14:paraId="440BD353" w14:textId="77777777" w:rsidR="00D6448C" w:rsidRDefault="00D6448C" w:rsidP="00D6448C">
      <w:r>
        <w:rPr>
          <w:rStyle w:val="CommentReference"/>
        </w:rPr>
        <w:annotationRef/>
      </w:r>
      <w:r>
        <w:t xml:space="preserve">Feel like this is in? </w:t>
      </w:r>
    </w:p>
  </w:comment>
  <w:comment w:id="10" w:author="Megan Hansen" w:date="2026-07-03T12:58:00Z" w:initials="MH">
    <w:p w14:paraId="056B7842" w14:textId="709169F9" w:rsidR="00D80BF9" w:rsidRDefault="00D80BF9">
      <w:pPr>
        <w:pStyle w:val="CommentText"/>
      </w:pPr>
      <w:r>
        <w:rPr>
          <w:rStyle w:val="CommentReference"/>
        </w:rPr>
        <w:annotationRef/>
      </w:r>
      <w:r w:rsidRPr="766E3D0A">
        <w:t>Maybe bold text would make it more clear?</w:t>
      </w:r>
    </w:p>
  </w:comment>
  <w:comment w:id="11" w:author="Alex de Nooy" w:date="2026-07-03T10:46:00Z" w:initials="Ad">
    <w:p w14:paraId="275A9A11" w14:textId="77777777" w:rsidR="000A262A" w:rsidRDefault="000A262A" w:rsidP="00B83B9A">
      <w:r>
        <w:rPr>
          <w:rStyle w:val="CommentReference"/>
        </w:rPr>
        <w:annotationRef/>
      </w:r>
      <w:r>
        <w:t>When I tested now I saw differences between the two - assuming 0 at baseline</w:t>
      </w:r>
    </w:p>
  </w:comment>
  <w:comment w:id="12" w:author="Megan Hansen" w:date="2026-07-03T13:10:00Z" w:initials="MH">
    <w:p w14:paraId="44B22F94" w14:textId="05C315E6" w:rsidR="007024A1" w:rsidRDefault="007024A1">
      <w:pPr>
        <w:pStyle w:val="CommentText"/>
      </w:pPr>
      <w:r>
        <w:rPr>
          <w:rStyle w:val="CommentReference"/>
        </w:rPr>
        <w:annotationRef/>
      </w:r>
      <w:r w:rsidRPr="330D28E8">
        <w:t>I think CAB-LA unnecessary</w:t>
      </w:r>
    </w:p>
  </w:comment>
  <w:comment w:id="13" w:author="Alex de Nooy" w:date="2026-07-06T13:48:00Z" w:initials="Ad">
    <w:p w14:paraId="775AFEC4" w14:textId="77777777" w:rsidR="00936EBC" w:rsidRDefault="00936EBC" w:rsidP="00936EBC">
      <w:r>
        <w:rPr>
          <w:rStyle w:val="CommentReference"/>
        </w:rPr>
        <w:annotationRef/>
      </w:r>
      <w:r>
        <w:t>Should index tetsing have the same re-test rate as other modalities? Or we assume most index tests are for people not previously diagnsoed</w:t>
      </w:r>
    </w:p>
  </w:comment>
  <w:comment w:id="14" w:author="Megan Hansen" w:date="2026-07-03T13:16:00Z" w:initials="MH">
    <w:p w14:paraId="0CD5487A" w14:textId="4A65C323" w:rsidR="0002313E" w:rsidRDefault="0002313E">
      <w:pPr>
        <w:pStyle w:val="CommentText"/>
      </w:pPr>
      <w:r>
        <w:rPr>
          <w:rStyle w:val="CommentReference"/>
        </w:rPr>
        <w:annotationRef/>
      </w:r>
      <w:r w:rsidRPr="0C228D30">
        <w:t>Alternatively, having a tab where users can just insert budget allowance for each intervention rather than volume of intervention? Not sure if possible, but assuming yes?</w:t>
      </w:r>
    </w:p>
  </w:comment>
  <w:comment w:id="15" w:author="Megan Hansen" w:date="2026-07-03T13:09:00Z" w:initials="MH">
    <w:p w14:paraId="1F8643AD" w14:textId="3B336BD7" w:rsidR="00582663" w:rsidRDefault="00DA6939">
      <w:pPr>
        <w:pStyle w:val="CommentText"/>
      </w:pPr>
      <w:r>
        <w:rPr>
          <w:rStyle w:val="CommentReference"/>
        </w:rPr>
        <w:annotationRef/>
      </w:r>
      <w:r w:rsidR="00582663" w:rsidRPr="013A1830">
        <w:t>I can do this in a new video w updated app... but I also think placing the video link below a beefed up 'What is Tier-Plus' section of the user guide could somewhat solve this issue. And then I can also add a small blurb about what the tool IS into the video :)</w:t>
      </w:r>
    </w:p>
  </w:comment>
  <w:comment w:id="16" w:author="Megan Hansen" w:date="2026-07-03T13:18:00Z" w:initials="MH">
    <w:p w14:paraId="6016C5DC" w14:textId="3A2AE472" w:rsidR="00881E04" w:rsidRDefault="00881E04">
      <w:pPr>
        <w:pStyle w:val="CommentText"/>
      </w:pPr>
      <w:r>
        <w:rPr>
          <w:rStyle w:val="CommentReference"/>
        </w:rPr>
        <w:annotationRef/>
      </w:r>
      <w:r w:rsidRPr="6964D577">
        <w:t>Possible to automate? Idk... totally determined by user's input for each intervention</w:t>
      </w:r>
    </w:p>
  </w:comment>
  <w:comment w:id="17" w:author="Alex de Nooy" w:date="2026-07-03T10:56:00Z" w:initials="Ad">
    <w:p w14:paraId="6FDFDE76" w14:textId="77777777" w:rsidR="00952422" w:rsidRDefault="00952422" w:rsidP="00952422">
      <w:r>
        <w:rPr>
          <w:rStyle w:val="CommentReference"/>
        </w:rPr>
        <w:annotationRef/>
      </w:r>
      <w:r>
        <w:t>I wonder if at least for the conference we only put countries that have provided data by then? Not sure</w:t>
      </w:r>
    </w:p>
  </w:comment>
  <w:comment w:id="18" w:author="Megan Hansen" w:date="2026-07-03T13:24:00Z" w:initials="MH">
    <w:p w14:paraId="48BF44EB" w14:textId="2A9E3D9D" w:rsidR="00937F94" w:rsidRDefault="00937F94">
      <w:pPr>
        <w:pStyle w:val="CommentText"/>
      </w:pPr>
      <w:r>
        <w:rPr>
          <w:rStyle w:val="CommentReference"/>
        </w:rPr>
        <w:annotationRef/>
      </w:r>
      <w:r w:rsidRPr="7FAF531F">
        <w:t xml:space="preserve">And can also include in the results export </w:t>
      </w:r>
    </w:p>
  </w:comment>
  <w:comment w:id="19" w:author="Megan Hansen" w:date="2026-07-03T13:25:00Z" w:initials="MH">
    <w:p w14:paraId="135D6BCE" w14:textId="7DDB25BC" w:rsidR="002D025A" w:rsidRDefault="002D025A">
      <w:pPr>
        <w:pStyle w:val="CommentText"/>
      </w:pPr>
      <w:r>
        <w:rPr>
          <w:rStyle w:val="CommentReference"/>
        </w:rPr>
        <w:annotationRef/>
      </w:r>
      <w:r w:rsidRPr="3049CE2C">
        <w:t>Woah...</w:t>
      </w:r>
    </w:p>
  </w:comment>
  <w:comment w:id="20" w:author="Alex de Nooy" w:date="2026-07-03T14:01:00Z" w:initials="Ad">
    <w:p w14:paraId="76A1C005" w14:textId="77777777" w:rsidR="00802D8B" w:rsidRDefault="00802D8B" w:rsidP="00802D8B">
      <w:r>
        <w:rPr>
          <w:rStyle w:val="CommentReference"/>
        </w:rPr>
        <w:annotationRef/>
      </w:r>
      <w:r>
        <w:t>I think this could actually be quite complex cause they're all interlinked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4142F8D" w15:done="0"/>
  <w15:commentEx w15:paraId="37BEB4D3" w15:done="0"/>
  <w15:commentEx w15:paraId="11733453" w15:done="0"/>
  <w15:commentEx w15:paraId="5488FE40" w15:paraIdParent="11733453" w15:done="0"/>
  <w15:commentEx w15:paraId="02D7D4BB" w15:paraIdParent="11733453" w15:done="0"/>
  <w15:commentEx w15:paraId="337B0692" w15:done="0"/>
  <w15:commentEx w15:paraId="25B49205" w15:paraIdParent="337B0692" w15:done="0"/>
  <w15:commentEx w15:paraId="7EB34AAB" w15:done="0"/>
  <w15:commentEx w15:paraId="37D53020" w15:done="0"/>
  <w15:commentEx w15:paraId="440BD353" w15:done="0"/>
  <w15:commentEx w15:paraId="056B7842" w15:paraIdParent="440BD353" w15:done="0"/>
  <w15:commentEx w15:paraId="275A9A11" w15:done="0"/>
  <w15:commentEx w15:paraId="44B22F94" w15:done="0"/>
  <w15:commentEx w15:paraId="775AFEC4" w15:done="0"/>
  <w15:commentEx w15:paraId="0CD5487A" w15:done="0"/>
  <w15:commentEx w15:paraId="1F8643AD" w15:done="0"/>
  <w15:commentEx w15:paraId="6016C5DC" w15:done="0"/>
  <w15:commentEx w15:paraId="6FDFDE76" w15:done="0"/>
  <w15:commentEx w15:paraId="48BF44EB" w15:done="0"/>
  <w15:commentEx w15:paraId="135D6BCE" w15:done="0"/>
  <w15:commentEx w15:paraId="76A1C005" w15:paraIdParent="135D6BC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BB8762F" w16cex:dateUtc="2026-07-06T11:38:00Z"/>
  <w16cex:commentExtensible w16cex:durableId="67C154E4" w16cex:dateUtc="2026-07-03T09:00:00Z"/>
  <w16cex:commentExtensible w16cex:durableId="06E915A2" w16cex:dateUtc="2026-07-03T09:12:00Z"/>
  <w16cex:commentExtensible w16cex:durableId="52C60FB2" w16cex:dateUtc="2026-07-03T10:56:00Z"/>
  <w16cex:commentExtensible w16cex:durableId="0231119B" w16cex:dateUtc="2026-07-03T10:57:00Z"/>
  <w16cex:commentExtensible w16cex:durableId="4866D085" w16cex:dateUtc="2026-07-03T09:10:00Z"/>
  <w16cex:commentExtensible w16cex:durableId="3F6833E8" w16cex:dateUtc="2026-07-03T10:58:00Z">
    <w16cex:extLst>
      <w16:ext w16:uri="{CE6994B0-6A32-4C9F-8C6B-6E91EDA988CE}">
        <cr:reactions xmlns:cr="http://schemas.microsoft.com/office/comments/2020/reactions">
          <cr:reaction reactionType="1">
            <cr:reactionInfo dateUtc="2026-07-03T11:58:10Z">
              <cr:user userId="2ae90f5cbd0fd171" userProvider="Windows Live" userName="Alex de Nooy"/>
            </cr:reactionInfo>
          </cr:reaction>
        </cr:reactions>
      </w16:ext>
    </w16cex:extLst>
  </w16cex:commentExtensible>
  <w16cex:commentExtensible w16cex:durableId="39D2D65E" w16cex:dateUtc="2026-07-03T11:01:00Z"/>
  <w16cex:commentExtensible w16cex:durableId="05F798F9" w16cex:dateUtc="2026-07-03T09:09:00Z">
    <w16cex:extLst>
      <w16:ext w16:uri="{CE6994B0-6A32-4C9F-8C6B-6E91EDA988CE}">
        <cr:reactions xmlns:cr="http://schemas.microsoft.com/office/comments/2020/reactions">
          <cr:reaction reactionType="1">
            <cr:reactionInfo dateUtc="2026-07-03T10:58:12Z">
              <cr:user userId="d8d45c4e071f8e7b" userProvider="Windows Live" userName="Megan Hansen"/>
            </cr:reactionInfo>
          </cr:reaction>
        </cr:reactions>
      </w16:ext>
    </w16cex:extLst>
  </w16cex:commentExtensible>
  <w16cex:commentExtensible w16cex:durableId="38B5B0A1" w16cex:dateUtc="2026-07-03T09:08:00Z"/>
  <w16cex:commentExtensible w16cex:durableId="304AE033" w16cex:dateUtc="2026-07-03T10:58:00Z"/>
  <w16cex:commentExtensible w16cex:durableId="7AC1A28B" w16cex:dateUtc="2026-07-03T08:46:00Z"/>
  <w16cex:commentExtensible w16cex:durableId="1A6F94EB" w16cex:dateUtc="2026-07-03T11:10:00Z"/>
  <w16cex:commentExtensible w16cex:durableId="1B6D55FF" w16cex:dateUtc="2026-07-06T11:48:00Z"/>
  <w16cex:commentExtensible w16cex:durableId="3087D9B9" w16cex:dateUtc="2026-07-03T11:16:00Z"/>
  <w16cex:commentExtensible w16cex:durableId="4BA5C903" w16cex:dateUtc="2026-07-03T11:09:00Z"/>
  <w16cex:commentExtensible w16cex:durableId="6C793304" w16cex:dateUtc="2026-07-03T11:18:00Z"/>
  <w16cex:commentExtensible w16cex:durableId="73E19E1E" w16cex:dateUtc="2026-07-03T08:56:00Z"/>
  <w16cex:commentExtensible w16cex:durableId="594C6CAE" w16cex:dateUtc="2026-07-03T11:24:00Z"/>
  <w16cex:commentExtensible w16cex:durableId="409E6A85" w16cex:dateUtc="2026-07-03T11:25:00Z"/>
  <w16cex:commentExtensible w16cex:durableId="3D58D1C9" w16cex:dateUtc="2026-07-03T12:0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4142F8D" w16cid:durableId="1BB8762F"/>
  <w16cid:commentId w16cid:paraId="37BEB4D3" w16cid:durableId="67C154E4"/>
  <w16cid:commentId w16cid:paraId="11733453" w16cid:durableId="06E915A2"/>
  <w16cid:commentId w16cid:paraId="5488FE40" w16cid:durableId="52C60FB2"/>
  <w16cid:commentId w16cid:paraId="02D7D4BB" w16cid:durableId="0231119B"/>
  <w16cid:commentId w16cid:paraId="337B0692" w16cid:durableId="4866D085"/>
  <w16cid:commentId w16cid:paraId="25B49205" w16cid:durableId="3F6833E8"/>
  <w16cid:commentId w16cid:paraId="7EB34AAB" w16cid:durableId="39D2D65E"/>
  <w16cid:commentId w16cid:paraId="37D53020" w16cid:durableId="05F798F9"/>
  <w16cid:commentId w16cid:paraId="440BD353" w16cid:durableId="38B5B0A1"/>
  <w16cid:commentId w16cid:paraId="056B7842" w16cid:durableId="304AE033"/>
  <w16cid:commentId w16cid:paraId="275A9A11" w16cid:durableId="7AC1A28B"/>
  <w16cid:commentId w16cid:paraId="44B22F94" w16cid:durableId="1A6F94EB"/>
  <w16cid:commentId w16cid:paraId="775AFEC4" w16cid:durableId="1B6D55FF"/>
  <w16cid:commentId w16cid:paraId="0CD5487A" w16cid:durableId="3087D9B9"/>
  <w16cid:commentId w16cid:paraId="1F8643AD" w16cid:durableId="4BA5C903"/>
  <w16cid:commentId w16cid:paraId="6016C5DC" w16cid:durableId="6C793304"/>
  <w16cid:commentId w16cid:paraId="6FDFDE76" w16cid:durableId="73E19E1E"/>
  <w16cid:commentId w16cid:paraId="48BF44EB" w16cid:durableId="594C6CAE"/>
  <w16cid:commentId w16cid:paraId="135D6BCE" w16cid:durableId="409E6A85"/>
  <w16cid:commentId w16cid:paraId="76A1C005" w16cid:durableId="3D58D1C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4485B"/>
    <w:multiLevelType w:val="hybridMultilevel"/>
    <w:tmpl w:val="115C5070"/>
    <w:lvl w:ilvl="0" w:tplc="5B3A1264">
      <w:start w:val="1"/>
      <w:numFmt w:val="bullet"/>
      <w:lvlText w:val="•"/>
      <w:lvlJc w:val="left"/>
      <w:pPr>
        <w:ind w:left="360" w:hanging="215"/>
      </w:pPr>
    </w:lvl>
    <w:lvl w:ilvl="1" w:tplc="FCDADFDE">
      <w:numFmt w:val="decimal"/>
      <w:lvlText w:val=""/>
      <w:lvlJc w:val="left"/>
    </w:lvl>
    <w:lvl w:ilvl="2" w:tplc="DBF6FA78">
      <w:numFmt w:val="decimal"/>
      <w:lvlText w:val=""/>
      <w:lvlJc w:val="left"/>
    </w:lvl>
    <w:lvl w:ilvl="3" w:tplc="6BB8DAB6">
      <w:numFmt w:val="decimal"/>
      <w:lvlText w:val=""/>
      <w:lvlJc w:val="left"/>
    </w:lvl>
    <w:lvl w:ilvl="4" w:tplc="1548DCD8">
      <w:numFmt w:val="decimal"/>
      <w:lvlText w:val=""/>
      <w:lvlJc w:val="left"/>
    </w:lvl>
    <w:lvl w:ilvl="5" w:tplc="F8CA05F4">
      <w:numFmt w:val="decimal"/>
      <w:lvlText w:val=""/>
      <w:lvlJc w:val="left"/>
    </w:lvl>
    <w:lvl w:ilvl="6" w:tplc="D4DEEE56">
      <w:numFmt w:val="decimal"/>
      <w:lvlText w:val=""/>
      <w:lvlJc w:val="left"/>
    </w:lvl>
    <w:lvl w:ilvl="7" w:tplc="22463DF6">
      <w:numFmt w:val="decimal"/>
      <w:lvlText w:val=""/>
      <w:lvlJc w:val="left"/>
    </w:lvl>
    <w:lvl w:ilvl="8" w:tplc="91329BB6">
      <w:numFmt w:val="decimal"/>
      <w:lvlText w:val=""/>
      <w:lvlJc w:val="left"/>
    </w:lvl>
  </w:abstractNum>
  <w:abstractNum w:abstractNumId="1" w15:restartNumberingAfterBreak="0">
    <w:nsid w:val="081C4652"/>
    <w:multiLevelType w:val="hybridMultilevel"/>
    <w:tmpl w:val="F6888462"/>
    <w:lvl w:ilvl="0" w:tplc="48CE6BD8">
      <w:start w:val="1"/>
      <w:numFmt w:val="bullet"/>
      <w:lvlText w:val="●"/>
      <w:lvlJc w:val="left"/>
      <w:pPr>
        <w:ind w:left="720" w:hanging="360"/>
      </w:pPr>
    </w:lvl>
    <w:lvl w:ilvl="1" w:tplc="CDF4A5AC">
      <w:start w:val="1"/>
      <w:numFmt w:val="bullet"/>
      <w:lvlText w:val="○"/>
      <w:lvlJc w:val="left"/>
      <w:pPr>
        <w:ind w:left="1440" w:hanging="360"/>
      </w:pPr>
    </w:lvl>
    <w:lvl w:ilvl="2" w:tplc="3C9A6E38">
      <w:start w:val="1"/>
      <w:numFmt w:val="bullet"/>
      <w:lvlText w:val="■"/>
      <w:lvlJc w:val="left"/>
      <w:pPr>
        <w:ind w:left="2160" w:hanging="360"/>
      </w:pPr>
    </w:lvl>
    <w:lvl w:ilvl="3" w:tplc="FCD07160">
      <w:start w:val="1"/>
      <w:numFmt w:val="bullet"/>
      <w:lvlText w:val="●"/>
      <w:lvlJc w:val="left"/>
      <w:pPr>
        <w:ind w:left="2880" w:hanging="360"/>
      </w:pPr>
    </w:lvl>
    <w:lvl w:ilvl="4" w:tplc="D5743B96">
      <w:start w:val="1"/>
      <w:numFmt w:val="bullet"/>
      <w:lvlText w:val="○"/>
      <w:lvlJc w:val="left"/>
      <w:pPr>
        <w:ind w:left="3600" w:hanging="360"/>
      </w:pPr>
    </w:lvl>
    <w:lvl w:ilvl="5" w:tplc="3288F41A">
      <w:start w:val="1"/>
      <w:numFmt w:val="bullet"/>
      <w:lvlText w:val="■"/>
      <w:lvlJc w:val="left"/>
      <w:pPr>
        <w:ind w:left="4320" w:hanging="360"/>
      </w:pPr>
    </w:lvl>
    <w:lvl w:ilvl="6" w:tplc="2BDE66E2">
      <w:start w:val="1"/>
      <w:numFmt w:val="bullet"/>
      <w:lvlText w:val="●"/>
      <w:lvlJc w:val="left"/>
      <w:pPr>
        <w:ind w:left="5040" w:hanging="360"/>
      </w:pPr>
    </w:lvl>
    <w:lvl w:ilvl="7" w:tplc="44F280D4">
      <w:start w:val="1"/>
      <w:numFmt w:val="bullet"/>
      <w:lvlText w:val="●"/>
      <w:lvlJc w:val="left"/>
      <w:pPr>
        <w:ind w:left="5760" w:hanging="360"/>
      </w:pPr>
    </w:lvl>
    <w:lvl w:ilvl="8" w:tplc="BE24054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6293215"/>
    <w:multiLevelType w:val="hybridMultilevel"/>
    <w:tmpl w:val="13CE2046"/>
    <w:lvl w:ilvl="0" w:tplc="602E28C6">
      <w:start w:val="1"/>
      <w:numFmt w:val="bullet"/>
      <w:lvlText w:val="•"/>
      <w:lvlJc w:val="left"/>
      <w:pPr>
        <w:ind w:left="360" w:hanging="215"/>
      </w:pPr>
    </w:lvl>
    <w:lvl w:ilvl="1" w:tplc="78CCA35A">
      <w:numFmt w:val="decimal"/>
      <w:lvlText w:val=""/>
      <w:lvlJc w:val="left"/>
    </w:lvl>
    <w:lvl w:ilvl="2" w:tplc="212274D2">
      <w:numFmt w:val="decimal"/>
      <w:lvlText w:val=""/>
      <w:lvlJc w:val="left"/>
    </w:lvl>
    <w:lvl w:ilvl="3" w:tplc="1BD65EFC">
      <w:numFmt w:val="decimal"/>
      <w:lvlText w:val=""/>
      <w:lvlJc w:val="left"/>
    </w:lvl>
    <w:lvl w:ilvl="4" w:tplc="787C94E8">
      <w:numFmt w:val="decimal"/>
      <w:lvlText w:val=""/>
      <w:lvlJc w:val="left"/>
    </w:lvl>
    <w:lvl w:ilvl="5" w:tplc="1A80EDB8">
      <w:numFmt w:val="decimal"/>
      <w:lvlText w:val=""/>
      <w:lvlJc w:val="left"/>
    </w:lvl>
    <w:lvl w:ilvl="6" w:tplc="5F246728">
      <w:numFmt w:val="decimal"/>
      <w:lvlText w:val=""/>
      <w:lvlJc w:val="left"/>
    </w:lvl>
    <w:lvl w:ilvl="7" w:tplc="0AC46B84">
      <w:numFmt w:val="decimal"/>
      <w:lvlText w:val=""/>
      <w:lvlJc w:val="left"/>
    </w:lvl>
    <w:lvl w:ilvl="8" w:tplc="029C85CE">
      <w:numFmt w:val="decimal"/>
      <w:lvlText w:val=""/>
      <w:lvlJc w:val="left"/>
    </w:lvl>
  </w:abstractNum>
  <w:num w:numId="1" w16cid:durableId="1444151779">
    <w:abstractNumId w:val="1"/>
    <w:lvlOverride w:ilvl="0">
      <w:startOverride w:val="1"/>
    </w:lvlOverride>
  </w:num>
  <w:num w:numId="2" w16cid:durableId="1755471068">
    <w:abstractNumId w:val="0"/>
    <w:lvlOverride w:ilvl="0">
      <w:startOverride w:val="1"/>
    </w:lvlOverride>
  </w:num>
  <w:num w:numId="3" w16cid:durableId="1518032660">
    <w:abstractNumId w:val="2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lex de Nooy">
    <w15:presenceInfo w15:providerId="Windows Live" w15:userId="2ae90f5cbd0fd171"/>
  </w15:person>
  <w15:person w15:author="Megan Hansen">
    <w15:presenceInfo w15:providerId="Windows Live" w15:userId="d8d45c4e071f8e7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7DC1"/>
    <w:rsid w:val="0002313E"/>
    <w:rsid w:val="00090E56"/>
    <w:rsid w:val="000A262A"/>
    <w:rsid w:val="000C1316"/>
    <w:rsid w:val="00115DFA"/>
    <w:rsid w:val="00130191"/>
    <w:rsid w:val="00164176"/>
    <w:rsid w:val="00183F45"/>
    <w:rsid w:val="001B1A9C"/>
    <w:rsid w:val="001D2499"/>
    <w:rsid w:val="0022402C"/>
    <w:rsid w:val="00280724"/>
    <w:rsid w:val="002B2FD7"/>
    <w:rsid w:val="002D025A"/>
    <w:rsid w:val="00312064"/>
    <w:rsid w:val="003E197C"/>
    <w:rsid w:val="00446CBE"/>
    <w:rsid w:val="0045559D"/>
    <w:rsid w:val="004861A6"/>
    <w:rsid w:val="004A7DC1"/>
    <w:rsid w:val="004B4177"/>
    <w:rsid w:val="004F1E35"/>
    <w:rsid w:val="0053041E"/>
    <w:rsid w:val="00536A81"/>
    <w:rsid w:val="0057102B"/>
    <w:rsid w:val="00582663"/>
    <w:rsid w:val="00643C61"/>
    <w:rsid w:val="006629D7"/>
    <w:rsid w:val="0068454E"/>
    <w:rsid w:val="00690978"/>
    <w:rsid w:val="00697C67"/>
    <w:rsid w:val="006B29D9"/>
    <w:rsid w:val="006B6D59"/>
    <w:rsid w:val="006C1A02"/>
    <w:rsid w:val="007024A1"/>
    <w:rsid w:val="00713930"/>
    <w:rsid w:val="00717D7A"/>
    <w:rsid w:val="00790358"/>
    <w:rsid w:val="007B4336"/>
    <w:rsid w:val="00802D8B"/>
    <w:rsid w:val="008213B8"/>
    <w:rsid w:val="00846239"/>
    <w:rsid w:val="008727BF"/>
    <w:rsid w:val="00881E04"/>
    <w:rsid w:val="008E1502"/>
    <w:rsid w:val="00936EBC"/>
    <w:rsid w:val="00937F94"/>
    <w:rsid w:val="00950375"/>
    <w:rsid w:val="00952422"/>
    <w:rsid w:val="00986443"/>
    <w:rsid w:val="009B0550"/>
    <w:rsid w:val="00A04003"/>
    <w:rsid w:val="00A1362F"/>
    <w:rsid w:val="00A65200"/>
    <w:rsid w:val="00AD1A8A"/>
    <w:rsid w:val="00AF7D57"/>
    <w:rsid w:val="00B26451"/>
    <w:rsid w:val="00B26F74"/>
    <w:rsid w:val="00B53D70"/>
    <w:rsid w:val="00BA22A0"/>
    <w:rsid w:val="00BC29BD"/>
    <w:rsid w:val="00BD4962"/>
    <w:rsid w:val="00C079EE"/>
    <w:rsid w:val="00C13D36"/>
    <w:rsid w:val="00C27FA3"/>
    <w:rsid w:val="00D4326F"/>
    <w:rsid w:val="00D61A9C"/>
    <w:rsid w:val="00D6448C"/>
    <w:rsid w:val="00D6773D"/>
    <w:rsid w:val="00D80BF9"/>
    <w:rsid w:val="00D937A8"/>
    <w:rsid w:val="00DA6939"/>
    <w:rsid w:val="00DC04D8"/>
    <w:rsid w:val="00DE1E84"/>
    <w:rsid w:val="00DE5EC0"/>
    <w:rsid w:val="00DF1A06"/>
    <w:rsid w:val="00E368D3"/>
    <w:rsid w:val="00E4305A"/>
    <w:rsid w:val="00EA4D27"/>
    <w:rsid w:val="00EA6D62"/>
    <w:rsid w:val="00EF6110"/>
    <w:rsid w:val="00F23EF8"/>
    <w:rsid w:val="00F76337"/>
    <w:rsid w:val="00FC7E40"/>
    <w:rsid w:val="00FD196D"/>
    <w:rsid w:val="07210DDF"/>
    <w:rsid w:val="16AA708D"/>
    <w:rsid w:val="2D1A4125"/>
    <w:rsid w:val="53FD2F21"/>
    <w:rsid w:val="59894C5C"/>
    <w:rsid w:val="5C1D0885"/>
    <w:rsid w:val="5CBAD785"/>
    <w:rsid w:val="6922E144"/>
    <w:rsid w:val="765E4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73829B4"/>
  <w15:docId w15:val="{194FA3B8-58F0-B84A-9A5E-A61095E81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A262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A262A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A262A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A262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A262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6</Pages>
  <Words>2639</Words>
  <Characters>15048</Characters>
  <Application>Microsoft Office Word</Application>
  <DocSecurity>0</DocSecurity>
  <Lines>125</Lines>
  <Paragraphs>35</Paragraphs>
  <ScaleCrop>false</ScaleCrop>
  <Company/>
  <LinksUpToDate>false</LinksUpToDate>
  <CharactersWithSpaces>17652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 de Nooy</cp:lastModifiedBy>
  <cp:revision>13</cp:revision>
  <dcterms:created xsi:type="dcterms:W3CDTF">2026-07-03T12:16:00Z</dcterms:created>
  <dcterms:modified xsi:type="dcterms:W3CDTF">2026-07-06T12:54:00Z</dcterms:modified>
</cp:coreProperties>
</file>