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442FB" w14:textId="77777777" w:rsidR="009B0550" w:rsidRDefault="009B0550" w:rsidP="009B0550">
      <w:pPr>
        <w:pStyle w:val="Title"/>
        <w:spacing w:after="60"/>
      </w:pPr>
      <w:r>
        <w:t>TIER-Plus Validation Feedback</w:t>
      </w:r>
    </w:p>
    <w:p w14:paraId="3B6A80E8" w14:textId="77777777" w:rsidR="009B0550" w:rsidRDefault="009B0550" w:rsidP="009B0550">
      <w:pPr>
        <w:spacing w:after="120"/>
      </w:pPr>
      <w:r>
        <w:rPr>
          <w:b/>
          <w:bCs/>
          <w:color w:val="2E5395"/>
          <w:sz w:val="26"/>
          <w:szCs w:val="26"/>
        </w:rPr>
        <w:t>Consolidated Points for the Next Iteration of Work</w:t>
      </w:r>
    </w:p>
    <w:p w14:paraId="7FE0296E" w14:textId="77777777" w:rsidR="009B0550" w:rsidRDefault="009B0550" w:rsidP="009B0550">
      <w:pPr>
        <w:pStyle w:val="Heading1"/>
        <w:spacing w:before="320" w:after="140"/>
      </w:pPr>
      <w:r>
        <w:t>Sources combined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920"/>
      </w:tblGrid>
      <w:tr w:rsidR="009B0550" w14:paraId="44F0D19E" w14:textId="77777777" w:rsidTr="00E166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26968" w14:textId="77777777" w:rsidR="009B0550" w:rsidRDefault="009B0550" w:rsidP="00E166DE">
            <w:r>
              <w:rPr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2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28BC7" w14:textId="77777777" w:rsidR="009B0550" w:rsidRDefault="009B0550" w:rsidP="00E166DE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592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A938B2" w14:textId="77777777" w:rsidR="009B0550" w:rsidRDefault="009B0550" w:rsidP="00E166DE">
            <w:r>
              <w:rPr>
                <w:b/>
                <w:bCs/>
                <w:color w:val="FFFFFF"/>
                <w:sz w:val="19"/>
                <w:szCs w:val="19"/>
              </w:rPr>
              <w:t>Contents</w:t>
            </w:r>
          </w:p>
        </w:tc>
      </w:tr>
      <w:tr w:rsidR="009B0550" w14:paraId="070F298D" w14:textId="77777777" w:rsidTr="00E166D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662C7" w14:textId="77777777" w:rsidR="009B0550" w:rsidRDefault="009B0550" w:rsidP="00E166DE">
            <w:r>
              <w:rPr>
                <w:color w:val="000000"/>
                <w:sz w:val="19"/>
                <w:szCs w:val="19"/>
              </w:rPr>
              <w:t>R1–R5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857F7" w14:textId="77777777" w:rsidR="009B0550" w:rsidRDefault="009B0550" w:rsidP="00E166DE">
            <w:r>
              <w:rPr>
                <w:color w:val="000000"/>
                <w:sz w:val="19"/>
                <w:szCs w:val="19"/>
              </w:rPr>
              <w:t>Validation questionnaire (Excel, n=5)</w:t>
            </w:r>
          </w:p>
        </w:tc>
        <w:tc>
          <w:tcPr>
            <w:tcW w:w="59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3793F" w14:textId="77777777" w:rsidR="009B0550" w:rsidRDefault="009B0550" w:rsidP="00E166DE">
            <w:r>
              <w:rPr>
                <w:color w:val="000000"/>
                <w:sz w:val="19"/>
                <w:szCs w:val="19"/>
              </w:rPr>
              <w:t>Malawi NGO (R1), Mozambique MoH (R2), South Africa DSD consultant (R3), Zimbabwe community org (R4), Mozambique MoH (R5)</w:t>
            </w:r>
          </w:p>
        </w:tc>
      </w:tr>
      <w:tr w:rsidR="009B0550" w14:paraId="20B50633" w14:textId="77777777" w:rsidTr="00E166D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9BA85" w14:textId="77777777" w:rsidR="009B0550" w:rsidRDefault="009B0550" w:rsidP="00E166DE">
            <w:r>
              <w:rPr>
                <w:color w:val="000000"/>
                <w:sz w:val="19"/>
                <w:szCs w:val="19"/>
              </w:rPr>
              <w:t>Jeff</w:t>
            </w:r>
          </w:p>
        </w:tc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57847" w14:textId="77777777" w:rsidR="009B0550" w:rsidRDefault="009B0550" w:rsidP="00E166DE">
            <w:r>
              <w:rPr>
                <w:color w:val="000000"/>
                <w:sz w:val="19"/>
                <w:szCs w:val="19"/>
              </w:rPr>
              <w:t>Validation_Feedback_-_TIER_-_Jeff.docx</w:t>
            </w:r>
          </w:p>
        </w:tc>
        <w:tc>
          <w:tcPr>
            <w:tcW w:w="592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40E4A" w14:textId="77777777" w:rsidR="009B0550" w:rsidRDefault="009B0550" w:rsidP="00E166DE">
            <w:r>
              <w:rPr>
                <w:color w:val="000000"/>
                <w:sz w:val="19"/>
                <w:szCs w:val="19"/>
              </w:rPr>
              <w:t>4 structured comments on layout, interactivity and PrEP coverage</w:t>
            </w:r>
          </w:p>
        </w:tc>
      </w:tr>
      <w:tr w:rsidR="009B0550" w14:paraId="070D5727" w14:textId="77777777" w:rsidTr="00E166D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B99C8" w14:textId="77777777" w:rsidR="009B0550" w:rsidRDefault="009B0550" w:rsidP="00E166DE">
            <w:r>
              <w:rPr>
                <w:color w:val="000000"/>
                <w:sz w:val="19"/>
                <w:szCs w:val="19"/>
              </w:rPr>
              <w:t>GDoc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783E5" w14:textId="77777777" w:rsidR="009B0550" w:rsidRDefault="009B0550" w:rsidP="00E166DE">
            <w:r>
              <w:rPr>
                <w:color w:val="000000"/>
                <w:sz w:val="19"/>
                <w:szCs w:val="19"/>
              </w:rPr>
              <w:t>Feedback_-_google_docs.docx</w:t>
            </w:r>
          </w:p>
        </w:tc>
        <w:tc>
          <w:tcPr>
            <w:tcW w:w="59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BB3CC" w14:textId="77777777" w:rsidR="009B0550" w:rsidRDefault="009B0550" w:rsidP="00E166DE">
            <w:r>
              <w:rPr>
                <w:color w:val="000000"/>
                <w:sz w:val="19"/>
                <w:szCs w:val="19"/>
              </w:rPr>
              <w:t>Formatting/labelling, added-functionality and “other” comments (reviewer unnamed in file)</w:t>
            </w:r>
          </w:p>
        </w:tc>
      </w:tr>
      <w:tr w:rsidR="009B0550" w14:paraId="5056CE43" w14:textId="77777777" w:rsidTr="00E166DE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D535EE" w14:textId="77777777" w:rsidR="009B0550" w:rsidRDefault="009B0550" w:rsidP="00E166DE">
            <w:r>
              <w:rPr>
                <w:color w:val="000000"/>
                <w:sz w:val="19"/>
                <w:szCs w:val="19"/>
              </w:rPr>
              <w:t>DSD</w:t>
            </w:r>
          </w:p>
        </w:tc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2BF3A" w14:textId="77777777" w:rsidR="009B0550" w:rsidRDefault="009B0550" w:rsidP="00E166DE">
            <w:r>
              <w:rPr>
                <w:color w:val="000000"/>
                <w:sz w:val="19"/>
                <w:szCs w:val="19"/>
              </w:rPr>
              <w:t>DSD team request (relayed)</w:t>
            </w:r>
          </w:p>
        </w:tc>
        <w:tc>
          <w:tcPr>
            <w:tcW w:w="592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F171E" w14:textId="77777777" w:rsidR="009B0550" w:rsidRDefault="009B0550" w:rsidP="00E166DE">
            <w:r>
              <w:rPr>
                <w:color w:val="000000"/>
                <w:sz w:val="19"/>
                <w:szCs w:val="19"/>
              </w:rPr>
              <w:t>Request to model VL timing/frequency and annual vs 6-monthly clinical visits for stable ART patients; references the Q2 2026 DSD newsletter policy brief on annual clinical visits</w:t>
            </w:r>
          </w:p>
        </w:tc>
      </w:tr>
    </w:tbl>
    <w:p w14:paraId="2D33BD8D" w14:textId="77777777" w:rsidR="009B0550" w:rsidRDefault="009B0550" w:rsidP="009B0550">
      <w:pPr>
        <w:spacing w:after="60"/>
      </w:pPr>
    </w:p>
    <w:p w14:paraId="34FBA290" w14:textId="77777777" w:rsidR="009B0550" w:rsidRDefault="009B0550" w:rsidP="009B0550">
      <w:pPr>
        <w:spacing w:after="180"/>
      </w:pPr>
      <w:r>
        <w:rPr>
          <w:i/>
          <w:iCs/>
          <w:color w:val="555555"/>
        </w:rPr>
        <w:t>R3's tag also covers the full expanded set of R3 comments received separately (efficiency/targeting framing, testing definitions, DSD terminology and the baseline-data examples in §12).</w:t>
      </w:r>
    </w:p>
    <w:p w14:paraId="34984E12" w14:textId="77777777" w:rsidR="009B0550" w:rsidRDefault="009B0550" w:rsidP="009B0550">
      <w:pPr>
        <w:spacing w:after="120"/>
      </w:pPr>
    </w:p>
    <w:p w14:paraId="51F7E79F" w14:textId="77777777" w:rsidR="009B0550" w:rsidRDefault="009B0550" w:rsidP="009B0550">
      <w:pPr>
        <w:spacing w:after="180"/>
      </w:pPr>
      <w:r>
        <w:rPr>
          <w:i/>
          <w:iCs/>
          <w:color w:val="555555"/>
        </w:rPr>
        <w:t>Each bullet below carries the source tag(s) that raised it. Where a point was raised independently by more than one reviewer, all tags are shown. Reviewer-supplied figures (e.g. South African testing numbers, Thembisa PrEP numbers) are reported as stated and have not been independently verified against the model. “UI” / “Logic” flags indicate, where unambiguous, whether an item is an interface change or would touch model calculations (and therefore the test suite).</w:t>
      </w:r>
    </w:p>
    <w:p w14:paraId="2E7DABDC" w14:textId="77777777" w:rsidR="009B0550" w:rsidRDefault="009B0550" w:rsidP="009B0550">
      <w:pPr>
        <w:pStyle w:val="Heading1"/>
        <w:spacing w:before="320" w:after="140"/>
      </w:pPr>
      <w:r>
        <w:t>Raised independently by more than one reviewer</w:t>
      </w:r>
    </w:p>
    <w:p w14:paraId="2636DC62" w14:textId="77777777" w:rsidR="009B0550" w:rsidRDefault="009B0550" w:rsidP="009B0550">
      <w:pPr>
        <w:spacing w:after="140" w:line="276" w:lineRule="auto"/>
      </w:pPr>
      <w:r>
        <w:t>These converged across sources and are the strongest prioritisation signals: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9B0550" w14:paraId="3FD38E0D" w14:textId="77777777" w:rsidTr="00E166DE">
        <w:tblPrEx>
          <w:tblCellMar>
            <w:top w:w="0" w:type="dxa"/>
            <w:bottom w:w="0" w:type="dxa"/>
          </w:tblCellMar>
        </w:tblPrEx>
        <w:tc>
          <w:tcPr>
            <w:tcW w:w="9720" w:type="dxa"/>
            <w:shd w:val="clear" w:color="auto" w:fill="E8EE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B15DB1" w14:textId="77777777" w:rsidR="009B0550" w:rsidRDefault="009B0550" w:rsidP="009B0550">
            <w:pPr>
              <w:pStyle w:val="ListParagraph"/>
              <w:numPr>
                <w:ilvl w:val="0"/>
                <w:numId w:val="3"/>
              </w:numPr>
              <w:spacing w:after="90" w:line="268" w:lineRule="auto"/>
            </w:pPr>
            <w:r>
              <w:rPr>
                <w:sz w:val="21"/>
                <w:szCs w:val="21"/>
              </w:rPr>
              <w:t>Thousands separators on displayed numbers (and, ideally, on inputs)</w:t>
            </w:r>
            <w:r>
              <w:rPr>
                <w:b/>
                <w:bCs/>
                <w:color w:val="2E5395"/>
                <w:sz w:val="18"/>
                <w:szCs w:val="18"/>
              </w:rPr>
              <w:t xml:space="preserve">  [R2, R5, GDoc — UI]</w:t>
            </w:r>
          </w:p>
          <w:p w14:paraId="2C640AB8" w14:textId="77777777" w:rsidR="009B0550" w:rsidRDefault="009B0550" w:rsidP="009B0550">
            <w:pPr>
              <w:pStyle w:val="ListParagraph"/>
              <w:numPr>
                <w:ilvl w:val="0"/>
                <w:numId w:val="3"/>
              </w:numPr>
              <w:spacing w:after="90" w:line="268" w:lineRule="auto"/>
            </w:pPr>
            <w:r>
              <w:rPr>
                <w:sz w:val="21"/>
                <w:szCs w:val="21"/>
              </w:rPr>
              <w:t>Disaggregate condoms by sex (male/female)</w:t>
            </w:r>
            <w:r>
              <w:rPr>
                <w:b/>
                <w:bCs/>
                <w:color w:val="2E5395"/>
                <w:sz w:val="18"/>
                <w:szCs w:val="18"/>
              </w:rPr>
              <w:t xml:space="preserve">  [R1, R4 — Logic + UI]</w:t>
            </w:r>
          </w:p>
          <w:p w14:paraId="14FC1042" w14:textId="77777777" w:rsidR="009B0550" w:rsidRDefault="009B0550" w:rsidP="009B0550">
            <w:pPr>
              <w:pStyle w:val="ListParagraph"/>
              <w:numPr>
                <w:ilvl w:val="0"/>
                <w:numId w:val="3"/>
              </w:numPr>
              <w:spacing w:after="90" w:line="268" w:lineRule="auto"/>
            </w:pPr>
            <w:r>
              <w:rPr>
                <w:sz w:val="21"/>
                <w:szCs w:val="21"/>
              </w:rPr>
              <w:t>More interactive input→result experience, ideally slider-based rather than text boxes</w:t>
            </w:r>
            <w:r>
              <w:rPr>
                <w:b/>
                <w:bCs/>
                <w:color w:val="2E5395"/>
                <w:sz w:val="18"/>
                <w:szCs w:val="18"/>
              </w:rPr>
              <w:t xml:space="preserve">  [Jeff, R2 — UI]</w:t>
            </w:r>
          </w:p>
          <w:p w14:paraId="25087E88" w14:textId="77777777" w:rsidR="009B0550" w:rsidRDefault="009B0550" w:rsidP="009B0550">
            <w:pPr>
              <w:pStyle w:val="ListParagraph"/>
              <w:numPr>
                <w:ilvl w:val="0"/>
                <w:numId w:val="3"/>
              </w:numPr>
              <w:spacing w:after="90" w:line="268" w:lineRule="auto"/>
            </w:pPr>
            <w:r>
              <w:rPr>
                <w:sz w:val="21"/>
                <w:szCs w:val="21"/>
              </w:rPr>
              <w:t>PrEP coverage should reflect delivery among target populations, not total adult population</w:t>
            </w:r>
            <w:r>
              <w:rPr>
                <w:b/>
                <w:bCs/>
                <w:color w:val="2E5395"/>
                <w:sz w:val="18"/>
                <w:szCs w:val="18"/>
              </w:rPr>
              <w:t xml:space="preserve">  [Jeff, R1, GDoc — Logic + UI]</w:t>
            </w:r>
          </w:p>
          <w:p w14:paraId="51EAF6FB" w14:textId="77777777" w:rsidR="009B0550" w:rsidRDefault="009B0550" w:rsidP="009B0550">
            <w:pPr>
              <w:pStyle w:val="ListParagraph"/>
              <w:numPr>
                <w:ilvl w:val="0"/>
                <w:numId w:val="3"/>
              </w:numPr>
              <w:spacing w:after="90" w:line="268" w:lineRule="auto"/>
            </w:pPr>
            <w:r>
              <w:rPr>
                <w:sz w:val="21"/>
                <w:szCs w:val="21"/>
              </w:rPr>
              <w:t>Clarify what the PrEP number represents (initiated vs. currently using; oral vs. long-acting) and its continuation assumptions</w:t>
            </w:r>
            <w:r>
              <w:rPr>
                <w:b/>
                <w:bCs/>
                <w:color w:val="2E5395"/>
                <w:sz w:val="18"/>
                <w:szCs w:val="18"/>
              </w:rPr>
              <w:t xml:space="preserve">  [R3, GDoc, Jeff — Logic]</w:t>
            </w:r>
          </w:p>
          <w:p w14:paraId="3E11D147" w14:textId="77777777" w:rsidR="009B0550" w:rsidRDefault="009B0550" w:rsidP="009B0550">
            <w:pPr>
              <w:pStyle w:val="ListParagraph"/>
              <w:numPr>
                <w:ilvl w:val="0"/>
                <w:numId w:val="3"/>
              </w:numPr>
              <w:spacing w:after="90" w:line="268" w:lineRule="auto"/>
            </w:pPr>
            <w:r>
              <w:rPr>
                <w:sz w:val="21"/>
                <w:szCs w:val="21"/>
              </w:rPr>
              <w:t>Model service frequency / intensity (testing, VL, clinical visits), not only coverage — the policy question is often “how often”, not “whether”</w:t>
            </w:r>
            <w:r>
              <w:rPr>
                <w:b/>
                <w:bCs/>
                <w:color w:val="2E5395"/>
                <w:sz w:val="18"/>
                <w:szCs w:val="18"/>
              </w:rPr>
              <w:t xml:space="preserve">  [R3, DSD — Logic]</w:t>
            </w:r>
          </w:p>
          <w:p w14:paraId="4C965F51" w14:textId="77777777" w:rsidR="009B0550" w:rsidRDefault="009B0550" w:rsidP="009B0550">
            <w:pPr>
              <w:pStyle w:val="ListParagraph"/>
              <w:numPr>
                <w:ilvl w:val="0"/>
                <w:numId w:val="3"/>
              </w:numPr>
              <w:spacing w:after="20" w:line="268" w:lineRule="auto"/>
            </w:pPr>
            <w:r>
              <w:rPr>
                <w:sz w:val="21"/>
                <w:szCs w:val="21"/>
              </w:rPr>
              <w:t>A visible, documented statement of model assumptions and embedded linkages</w:t>
            </w:r>
            <w:r>
              <w:rPr>
                <w:b/>
                <w:bCs/>
                <w:color w:val="2E5395"/>
                <w:sz w:val="18"/>
                <w:szCs w:val="18"/>
              </w:rPr>
              <w:t xml:space="preserve">  [R5, Jeff, GDoc — Docs/UI]</w:t>
            </w:r>
          </w:p>
        </w:tc>
      </w:tr>
    </w:tbl>
    <w:p w14:paraId="31FD6A95" w14:textId="77777777" w:rsidR="009B0550" w:rsidRDefault="009B0550" w:rsidP="009B0550">
      <w:pPr>
        <w:pStyle w:val="Heading1"/>
        <w:spacing w:before="320" w:after="140"/>
      </w:pPr>
      <w:r>
        <w:t>1. Interactivity, layout &amp; navigation</w:t>
      </w:r>
    </w:p>
    <w:p w14:paraId="61EE9225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Restructure so inputs and results sit as different panels on the same page, enabling change-and-see interactivity; flipping between tabs impedes the intuition a simple model is meant to give.</w:t>
      </w:r>
      <w:r>
        <w:rPr>
          <w:b/>
          <w:bCs/>
          <w:color w:val="2E5395"/>
          <w:sz w:val="18"/>
          <w:szCs w:val="18"/>
        </w:rPr>
        <w:t xml:space="preserve">  [Jeff — UI]</w:t>
      </w:r>
    </w:p>
    <w:p w14:paraId="1869823D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Prefer sliders over text-box inputs.</w:t>
      </w:r>
      <w:r>
        <w:rPr>
          <w:b/>
          <w:bCs/>
          <w:color w:val="2E5395"/>
          <w:sz w:val="18"/>
          <w:szCs w:val="18"/>
        </w:rPr>
        <w:t xml:space="preserve">  [Jeff — UI]</w:t>
      </w:r>
    </w:p>
    <w:p w14:paraId="22B62E1C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a section-level slider to apply a uniform % change across an entire section (e.g. “what would a 15% cut to prevention do?”).</w:t>
      </w:r>
      <w:r>
        <w:rPr>
          <w:b/>
          <w:bCs/>
          <w:color w:val="2E5395"/>
          <w:sz w:val="18"/>
          <w:szCs w:val="18"/>
        </w:rPr>
        <w:t xml:space="preserve">  [R2 — UI]</w:t>
      </w:r>
    </w:p>
    <w:p w14:paraId="4213BABE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lastRenderedPageBreak/>
        <w:t>Reorder the baseline coverage panel to place ‘Prevention’ below ‘Testing, diagnosis &amp; treatment’ — higher-impact programmes first aids conceptualisation.</w:t>
      </w:r>
      <w:r>
        <w:rPr>
          <w:b/>
          <w:bCs/>
          <w:color w:val="2E5395"/>
          <w:sz w:val="18"/>
          <w:szCs w:val="18"/>
        </w:rPr>
        <w:t xml:space="preserve">  [Jeff — UI]</w:t>
      </w:r>
    </w:p>
    <w:p w14:paraId="09EFEB4F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Group ANC/postnatal PMTCT and EID (infant) interventions together; infant prophylaxis sitting separately from ANC testing and PMTCT feels counterintuitive.</w:t>
      </w:r>
      <w:r>
        <w:rPr>
          <w:b/>
          <w:bCs/>
          <w:color w:val="2E5395"/>
          <w:sz w:val="18"/>
          <w:szCs w:val="18"/>
        </w:rPr>
        <w:t xml:space="preserve">  [Jeff — UI]</w:t>
      </w:r>
    </w:p>
    <w:p w14:paraId="5422F8D6" w14:textId="77777777" w:rsidR="009B0550" w:rsidRDefault="009B0550" w:rsidP="009B0550">
      <w:pPr>
        <w:pStyle w:val="Heading1"/>
        <w:spacing w:before="320" w:after="140"/>
      </w:pPr>
      <w:r>
        <w:t>2. Display, number formatting &amp; labelling</w:t>
      </w:r>
    </w:p>
    <w:p w14:paraId="5CB0F9FD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thousands separators so large numbers are legible (e.g. 25,693,203 vs 25693203).</w:t>
      </w:r>
      <w:r>
        <w:rPr>
          <w:b/>
          <w:bCs/>
          <w:color w:val="2E5395"/>
          <w:sz w:val="18"/>
          <w:szCs w:val="18"/>
        </w:rPr>
        <w:t xml:space="preserve">  [R2, R5, GDoc — UI]</w:t>
      </w:r>
    </w:p>
    <w:p w14:paraId="0C734D5C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For inputs, a 1000s separator would also reduce typos; standard Shiny may not support it — GDoc suggests shinyWidgets::autonumericInput().</w:t>
      </w:r>
      <w:r>
        <w:rPr>
          <w:b/>
          <w:bCs/>
          <w:color w:val="2E5395"/>
          <w:sz w:val="18"/>
          <w:szCs w:val="18"/>
        </w:rPr>
        <w:t xml:space="preserve">  [GDoc — UI]</w:t>
      </w:r>
    </w:p>
    <w:p w14:paraId="3E6B6BDC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Impact labels: a “+0pp” on the 1st 95 in the tutorial is really a sub-0.1% change; either show decimals or only highlight changes greater than |0.1%|.</w:t>
      </w:r>
      <w:r>
        <w:rPr>
          <w:b/>
          <w:bCs/>
          <w:color w:val="2E5395"/>
          <w:sz w:val="18"/>
          <w:szCs w:val="18"/>
        </w:rPr>
        <w:t xml:space="preserve">  [GDoc — UI]</w:t>
      </w:r>
    </w:p>
    <w:p w14:paraId="3A159B8F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Clarify the year for “Start of Year” / “baseline” on the left panel; “most recent year” currently only appears under Baseline Coverage.</w:t>
      </w:r>
      <w:r>
        <w:rPr>
          <w:b/>
          <w:bCs/>
          <w:color w:val="2E5395"/>
          <w:sz w:val="18"/>
          <w:szCs w:val="18"/>
        </w:rPr>
        <w:t xml:space="preserve">  [GDoc — UI]</w:t>
      </w:r>
    </w:p>
    <w:p w14:paraId="69FD7F1C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Rename “New Acquisitions/Year” to “New HIV Acquisitions/Year”.</w:t>
      </w:r>
      <w:r>
        <w:rPr>
          <w:b/>
          <w:bCs/>
          <w:color w:val="2E5395"/>
          <w:sz w:val="18"/>
          <w:szCs w:val="18"/>
        </w:rPr>
        <w:t xml:space="preserve">  [GDoc — UI]</w:t>
      </w:r>
    </w:p>
    <w:p w14:paraId="3D023DEC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a “Baseline” label to the top of the left-hand panel so users understand these values also carry through to the final comparison page as a scenario.</w:t>
      </w:r>
      <w:r>
        <w:rPr>
          <w:b/>
          <w:bCs/>
          <w:color w:val="2E5395"/>
          <w:sz w:val="18"/>
          <w:szCs w:val="18"/>
        </w:rPr>
        <w:t xml:space="preserve">  [R2 — UI]</w:t>
      </w:r>
    </w:p>
    <w:p w14:paraId="1A0E5E07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Standardise whether an indicator is expressed as a % or a count rather than mixing both; add (%) to indicator names where applicable.</w:t>
      </w:r>
      <w:r>
        <w:rPr>
          <w:b/>
          <w:bCs/>
          <w:color w:val="2E5395"/>
          <w:sz w:val="18"/>
          <w:szCs w:val="18"/>
        </w:rPr>
        <w:t xml:space="preserve">  [R1, R2 — UI]</w:t>
      </w:r>
    </w:p>
    <w:p w14:paraId="3439FD79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Indicator descriptions sometimes require cross-referencing to interpret; make them self-contained.</w:t>
      </w:r>
      <w:r>
        <w:rPr>
          <w:b/>
          <w:bCs/>
          <w:color w:val="2E5395"/>
          <w:sz w:val="18"/>
          <w:szCs w:val="18"/>
        </w:rPr>
        <w:t xml:space="preserve">  [R1 — UI]</w:t>
      </w:r>
    </w:p>
    <w:p w14:paraId="2FBDD703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Provide guidance on the expected data source for each indicator.</w:t>
      </w:r>
      <w:r>
        <w:rPr>
          <w:b/>
          <w:bCs/>
          <w:color w:val="2E5395"/>
          <w:sz w:val="18"/>
          <w:szCs w:val="18"/>
        </w:rPr>
        <w:t xml:space="preserve">  [R1 — UI/Docs]</w:t>
      </w:r>
    </w:p>
    <w:p w14:paraId="20EE4F94" w14:textId="77777777" w:rsidR="009B0550" w:rsidRDefault="009B0550" w:rsidP="009B0550">
      <w:pPr>
        <w:pStyle w:val="Heading1"/>
        <w:spacing w:before="320" w:after="140"/>
      </w:pPr>
      <w:r>
        <w:t>3. PrEP modelling &amp; coverage denominator</w:t>
      </w:r>
    </w:p>
    <w:p w14:paraId="716FB129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Reporting PrEP coverage out of the total adult population is not very informative and risks misguiding decisions (a low % reads as “bad”); consider coverage among target populations. As a short-term option, use the Global Prevention Strategy PrEP targets as the denominator.</w:t>
      </w:r>
      <w:r>
        <w:rPr>
          <w:b/>
          <w:bCs/>
          <w:color w:val="2E5395"/>
          <w:sz w:val="18"/>
          <w:szCs w:val="18"/>
        </w:rPr>
        <w:t xml:space="preserve">  [Jeff — Logic + UI]</w:t>
      </w:r>
    </w:p>
    <w:p w14:paraId="64EC6E46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Clarify whether the PrEP number is newly initiated or currently receiving — for oral PrEP these differ greatly due to drop-out. GDoc cites Thembisa figures (reviewer-stated, unverified): ~548,000 started oral PrEP in 2026 vs ~346,000 currently using at mid-June 2026.</w:t>
      </w:r>
      <w:r>
        <w:rPr>
          <w:b/>
          <w:bCs/>
          <w:color w:val="2E5395"/>
          <w:sz w:val="18"/>
          <w:szCs w:val="18"/>
        </w:rPr>
        <w:t xml:space="preserve">  [GDoc — Logic]</w:t>
      </w:r>
    </w:p>
    <w:p w14:paraId="5D4F6159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Note that many regions are more certain about initiations than current users (tracking is harder than counting initiations); the model should be explicit about which it assumes.</w:t>
      </w:r>
      <w:r>
        <w:rPr>
          <w:b/>
          <w:bCs/>
          <w:color w:val="2E5395"/>
          <w:sz w:val="18"/>
          <w:szCs w:val="18"/>
        </w:rPr>
        <w:t xml:space="preserve">  [GDoc — Logic/Docs]</w:t>
      </w:r>
    </w:p>
    <w:p w14:paraId="49567F14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Oral PrEP and long-acting (LEN) currently appear to produce identical impact for the same volume; without a continuation-rate parameter they cannot be differentiated (reviewer-observed, unverified).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165603C0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PrEP duration varies by setting, population and product (oral vs lenacapavir); make the model's duration assumption explicit.</w:t>
      </w:r>
      <w:r>
        <w:rPr>
          <w:b/>
          <w:bCs/>
          <w:color w:val="2E5395"/>
          <w:sz w:val="18"/>
          <w:szCs w:val="18"/>
        </w:rPr>
        <w:t xml:space="preserve">  [GDoc — Logic/Docs]</w:t>
      </w:r>
    </w:p>
    <w:p w14:paraId="7CDA9C49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Ability to target interventions to specific populations (e.g. PrEP for AGYW vs FSW) — implementers face exactly this with LEN; if infeasible, explain the limitation because policymakers will expect it.</w:t>
      </w:r>
      <w:r>
        <w:rPr>
          <w:b/>
          <w:bCs/>
          <w:color w:val="2E5395"/>
          <w:sz w:val="18"/>
          <w:szCs w:val="18"/>
        </w:rPr>
        <w:t xml:space="preserve">  [GDoc, R1 — Logic + UI]</w:t>
      </w:r>
    </w:p>
    <w:p w14:paraId="69AA9DEB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long-acting/event-driven options: CAB-LA PrEP, event-driven PrEP and PEP are not included.</w:t>
      </w:r>
      <w:r>
        <w:rPr>
          <w:b/>
          <w:bCs/>
          <w:color w:val="2E5395"/>
          <w:sz w:val="18"/>
          <w:szCs w:val="18"/>
        </w:rPr>
        <w:t xml:space="preserve">  [R1 — Logic + UI]</w:t>
      </w:r>
    </w:p>
    <w:p w14:paraId="517934E2" w14:textId="77777777" w:rsidR="009B0550" w:rsidRDefault="009B0550" w:rsidP="009B0550">
      <w:pPr>
        <w:pStyle w:val="Heading1"/>
        <w:spacing w:before="320" w:after="140"/>
      </w:pPr>
      <w:r>
        <w:t>4. HIV testing parameters &amp; result plausibility</w:t>
      </w:r>
    </w:p>
    <w:p w14:paraId="31EEAD40" w14:textId="77777777" w:rsidR="009B0550" w:rsidRDefault="009B0550" w:rsidP="009B0550">
      <w:pPr>
        <w:spacing w:after="140" w:line="276" w:lineRule="auto"/>
      </w:pPr>
      <w:r>
        <w:rPr>
          <w:i/>
          <w:iCs/>
          <w:sz w:val="21"/>
          <w:szCs w:val="21"/>
        </w:rPr>
        <w:t>All figures in this section are R3's own single-parameter test observations for South Africa, reported as stated and not independently verified. They warrant a targeted review of the testing/initiation logic before wider rollout.</w:t>
      </w:r>
    </w:p>
    <w:p w14:paraId="2C79405A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Removing index testing entirely reduced initiations by only ~10% — felt low.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42A676D7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Removing 50,000 KP tests reduced initiations by ~35,000 — felt disproportionately high.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0729EE26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lastRenderedPageBreak/>
        <w:t>Reducing ANC testing coverage from 95% to 50% reduced initiations by only ~2,500 — felt low against R3's cited context of ~1M public-sector pregnancies/yr, ~275,000 pregnant WLHIV, ~215,000 known-positive pre-pregnancy, ~60,000 newly diagnosed via ANC/pregnancy testing.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6EA1EBB0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Verify that ANC testing is genuinely excluded from general facility testing; R3 flags ~14M general-facility tests in SA as implausibly high if ANC is properly excluded.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54DBAE81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Enable modelling of reduced testing frequency (not only modality) — e.g. general pop every 3 years, KP every 12 months, PrEP users less than every 3 months — as countries approach 95-95-95.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0AC2768A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Reflect the narrowed WHO position on window-period testing — show tests saved vs infections potentially missed.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614A4048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Clarify targeted vs untargeted community-based testing.</w:t>
      </w:r>
      <w:r>
        <w:rPr>
          <w:b/>
          <w:bCs/>
          <w:color w:val="2E5395"/>
          <w:sz w:val="18"/>
          <w:szCs w:val="18"/>
        </w:rPr>
        <w:t xml:space="preserve">  [R3 — UI/Logic]</w:t>
      </w:r>
    </w:p>
    <w:p w14:paraId="7890F42D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Consider distinguishing first-time vs repeat testers (or average tests per individual/episode) since yield, impact and cost differ.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6BF4635F" w14:textId="77777777" w:rsidR="009B0550" w:rsidRDefault="009B0550" w:rsidP="009B0550">
      <w:pPr>
        <w:pStyle w:val="Heading1"/>
        <w:spacing w:before="320" w:after="140"/>
      </w:pPr>
      <w:r>
        <w:t>5. PMTCT / ANC / infant cascade</w:t>
      </w:r>
    </w:p>
    <w:p w14:paraId="19952B79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Group ANC + postnatal PMTCT + EID interventions together (see also §1).</w:t>
      </w:r>
      <w:r>
        <w:rPr>
          <w:b/>
          <w:bCs/>
          <w:color w:val="2E5395"/>
          <w:sz w:val="18"/>
          <w:szCs w:val="18"/>
        </w:rPr>
        <w:t xml:space="preserve">  [Jeff — UI]</w:t>
      </w:r>
    </w:p>
    <w:p w14:paraId="0AB19375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Rename “EID” to “Infant HIV Testing” and specify the timepoint (6 weeks / 6 months / 18 months); later timepoints may be more meaningful given postnatal (breastfeeding) transmission.</w:t>
      </w:r>
      <w:r>
        <w:rPr>
          <w:b/>
          <w:bCs/>
          <w:color w:val="2E5395"/>
          <w:sz w:val="18"/>
          <w:szCs w:val="18"/>
        </w:rPr>
        <w:t xml:space="preserve">  [R3 — UI/Logic]</w:t>
      </w:r>
    </w:p>
    <w:p w14:paraId="5972A274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Clarify what ANC/PNC testing measures — a single test vs testing at specific timepoints; for advocacy, consider presenting coverage separately at first ANC test, repeat late-pregnancy/delivery test, and once-off postpartum test.</w:t>
      </w:r>
      <w:r>
        <w:rPr>
          <w:b/>
          <w:bCs/>
          <w:color w:val="2E5395"/>
          <w:sz w:val="18"/>
          <w:szCs w:val="18"/>
        </w:rPr>
        <w:t xml:space="preserve">  [R3 — UI/Logic]</w:t>
      </w:r>
    </w:p>
    <w:p w14:paraId="1DCF29C3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Specify VL monitoring timing and frequency in pregnancy/postpartum (e.g. “% third-trimester VL”, “% 6-month postpartum VL”) rather than a generic “% with a VL done”; the frequency dimension is a distinct lever (see §13).</w:t>
      </w:r>
      <w:r>
        <w:rPr>
          <w:b/>
          <w:bCs/>
          <w:color w:val="2E5395"/>
          <w:sz w:val="18"/>
          <w:szCs w:val="18"/>
        </w:rPr>
        <w:t xml:space="preserve">  [R3, DSD — UI/Logic]</w:t>
      </w:r>
    </w:p>
    <w:p w14:paraId="2F81EDB7" w14:textId="77777777" w:rsidR="009B0550" w:rsidRDefault="009B0550" w:rsidP="009B0550">
      <w:pPr>
        <w:pStyle w:val="Heading1"/>
        <w:spacing w:before="320" w:after="140"/>
      </w:pPr>
      <w:r>
        <w:t>6. Indicator definitions &amp; terminology (treatment / adherence / AHD)</w:t>
      </w:r>
    </w:p>
    <w:p w14:paraId="26895116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Rename 12MMD to 12MMS to align with simplification advocacy; ideally include both 6MMS and 12MMS, capped so coverage cannot exceed 100%.</w:t>
      </w:r>
      <w:r>
        <w:rPr>
          <w:b/>
          <w:bCs/>
          <w:color w:val="2E5395"/>
          <w:sz w:val="18"/>
          <w:szCs w:val="18"/>
        </w:rPr>
        <w:t xml:space="preserve">  [R3 — UI/Logic]</w:t>
      </w:r>
    </w:p>
    <w:p w14:paraId="7CF87708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Move away from an EAC focus toward a broader “% receiving adherence support” / “% actioned” measure that includes DSD/MMD access.</w:t>
      </w:r>
      <w:r>
        <w:rPr>
          <w:b/>
          <w:bCs/>
          <w:color w:val="2E5395"/>
          <w:sz w:val="18"/>
          <w:szCs w:val="18"/>
        </w:rPr>
        <w:t xml:space="preserve">  [R3 — UI/Logic]</w:t>
      </w:r>
    </w:p>
    <w:p w14:paraId="62FB5707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Disaggregate tracking-and-tracing by intervention/population type (e.g. “% priority populations tracked” vs “% all clients tracked”).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5F46A1C0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“% receiving CD4 testing at re-engagement” to strengthen AHD advocacy.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33B82668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For AHD, consider a few measurable proxies rather than the full package: % TPT initiated, % CrAg tested among CD4&lt;100, % facilities with urine-LAM availability.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3AA62D96" w14:textId="77777777" w:rsidR="009B0550" w:rsidRDefault="009B0550" w:rsidP="009B0550">
      <w:pPr>
        <w:pStyle w:val="Heading1"/>
        <w:spacing w:before="320" w:after="140"/>
      </w:pPr>
      <w:r>
        <w:t>7. Missing or additional interventions &amp; commodities</w:t>
      </w:r>
    </w:p>
    <w:p w14:paraId="142FAA1D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Disaggregate condoms into male and female.</w:t>
      </w:r>
      <w:r>
        <w:rPr>
          <w:b/>
          <w:bCs/>
          <w:color w:val="2E5395"/>
          <w:sz w:val="18"/>
          <w:szCs w:val="18"/>
        </w:rPr>
        <w:t xml:space="preserve">  [R1, R4 — Logic + UI]</w:t>
      </w:r>
    </w:p>
    <w:p w14:paraId="039DCD1E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safer-sex commodities: lubricant and dental dams.</w:t>
      </w:r>
      <w:r>
        <w:rPr>
          <w:b/>
          <w:bCs/>
          <w:color w:val="2E5395"/>
          <w:sz w:val="18"/>
          <w:szCs w:val="18"/>
        </w:rPr>
        <w:t xml:space="preserve">  [R4 — Logic + UI]</w:t>
      </w:r>
    </w:p>
    <w:p w14:paraId="57D29C50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an STI indicator.</w:t>
      </w:r>
      <w:r>
        <w:rPr>
          <w:b/>
          <w:bCs/>
          <w:color w:val="2E5395"/>
          <w:sz w:val="18"/>
          <w:szCs w:val="18"/>
        </w:rPr>
        <w:t xml:space="preserve">  [R1 — Logic + UI]</w:t>
      </w:r>
    </w:p>
    <w:p w14:paraId="45C38D8B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KP typologies (FSW, MSM, TG, etc.) and age/sex disaggregation.</w:t>
      </w:r>
      <w:r>
        <w:rPr>
          <w:b/>
          <w:bCs/>
          <w:color w:val="2E5395"/>
          <w:sz w:val="18"/>
          <w:szCs w:val="18"/>
        </w:rPr>
        <w:t xml:space="preserve">  [R1 — Logic + UI]</w:t>
      </w:r>
    </w:p>
    <w:p w14:paraId="7A19D739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(See §3 for CAB-LA, event-driven PrEP and PEP.)</w:t>
      </w:r>
      <w:r>
        <w:rPr>
          <w:b/>
          <w:bCs/>
          <w:color w:val="2E5395"/>
          <w:sz w:val="18"/>
          <w:szCs w:val="18"/>
        </w:rPr>
        <w:t xml:space="preserve">  [R1]</w:t>
      </w:r>
    </w:p>
    <w:p w14:paraId="4C629BB8" w14:textId="77777777" w:rsidR="009B0550" w:rsidRDefault="009B0550" w:rsidP="009B0550">
      <w:pPr>
        <w:pStyle w:val="Heading1"/>
        <w:spacing w:before="320" w:after="140"/>
      </w:pPr>
      <w:r>
        <w:t>8. Model assumptions, transparency &amp; time horizon</w:t>
      </w:r>
    </w:p>
    <w:p w14:paraId="7DFCBEFA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lastRenderedPageBreak/>
        <w:t>Add a dedicated assumptions tab/slide documenting embedded linkages — e.g. how VL coverage relates to viral suppression, and MMD linkages — and ideally the human-resource implications of each intervention.</w:t>
      </w:r>
      <w:r>
        <w:rPr>
          <w:b/>
          <w:bCs/>
          <w:color w:val="2E5395"/>
          <w:sz w:val="18"/>
          <w:szCs w:val="18"/>
        </w:rPr>
        <w:t xml:space="preserve">  [R5, Jeff — Docs/UI]</w:t>
      </w:r>
    </w:p>
    <w:p w14:paraId="6437748E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a caveat (at least in the user guide) that the one-year time horizon may overstate impact, since enrolment takes time and transmission dynamics play out over longer periods — unless already handled intrinsically in the model.</w:t>
      </w:r>
      <w:r>
        <w:rPr>
          <w:b/>
          <w:bCs/>
          <w:color w:val="2E5395"/>
          <w:sz w:val="18"/>
          <w:szCs w:val="18"/>
        </w:rPr>
        <w:t xml:space="preserve">  [GDoc — Docs/Logic]</w:t>
      </w:r>
    </w:p>
    <w:p w14:paraId="3E7F4F77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Explain the PrEP impact modelling assumptions (denominator, continuation) — Jeff flags wanting to “dig in more” on these.</w:t>
      </w:r>
      <w:r>
        <w:rPr>
          <w:b/>
          <w:bCs/>
          <w:color w:val="2E5395"/>
          <w:sz w:val="18"/>
          <w:szCs w:val="18"/>
        </w:rPr>
        <w:t xml:space="preserve">  [Jeff — Docs]</w:t>
      </w:r>
    </w:p>
    <w:p w14:paraId="351866F1" w14:textId="77777777" w:rsidR="009B0550" w:rsidRDefault="009B0550" w:rsidP="009B0550">
      <w:pPr>
        <w:pStyle w:val="Heading1"/>
        <w:spacing w:before="320" w:after="140"/>
      </w:pPr>
      <w:r>
        <w:t>9. Costing &amp; budget visibility</w:t>
      </w:r>
    </w:p>
    <w:p w14:paraId="0431F5CF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Make the funding/budget factor more visible within scenarios so cost changes against a stipulated budget are quicker to see.</w:t>
      </w:r>
      <w:r>
        <w:rPr>
          <w:b/>
          <w:bCs/>
          <w:color w:val="2E5395"/>
          <w:sz w:val="18"/>
          <w:szCs w:val="18"/>
        </w:rPr>
        <w:t xml:space="preserve">  [R2, R5 — UI]</w:t>
      </w:r>
    </w:p>
    <w:p w14:paraId="0BAFB9E7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Divide cost results by area (testing, prevention, etc.).</w:t>
      </w:r>
      <w:r>
        <w:rPr>
          <w:b/>
          <w:bCs/>
          <w:color w:val="2E5395"/>
          <w:sz w:val="18"/>
          <w:szCs w:val="18"/>
        </w:rPr>
        <w:t xml:space="preserve">  [R5 — UI]</w:t>
      </w:r>
    </w:p>
    <w:p w14:paraId="6F7B9321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Include cost-per-dose / per-unit in the scenario view so users can sense-check whether those costs still hold.</w:t>
      </w:r>
      <w:r>
        <w:rPr>
          <w:b/>
          <w:bCs/>
          <w:color w:val="2E5395"/>
          <w:sz w:val="18"/>
          <w:szCs w:val="18"/>
        </w:rPr>
        <w:t xml:space="preserve">  [R5 — UI]</w:t>
      </w:r>
    </w:p>
    <w:p w14:paraId="72C84C60" w14:textId="77777777" w:rsidR="009B0550" w:rsidRDefault="009B0550" w:rsidP="009B0550">
      <w:pPr>
        <w:pStyle w:val="Heading1"/>
        <w:spacing w:before="320" w:after="140"/>
      </w:pPr>
      <w:r>
        <w:t>10. Accessibility &amp; framing for non-technical / community users</w:t>
      </w:r>
    </w:p>
    <w:p w14:paraId="0926F497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narrative summaries alongside graphs and statistical outputs for less quantitative audiences.</w:t>
      </w:r>
      <w:r>
        <w:rPr>
          <w:b/>
          <w:bCs/>
          <w:color w:val="2E5395"/>
          <w:sz w:val="18"/>
          <w:szCs w:val="18"/>
        </w:rPr>
        <w:t xml:space="preserve">  [R4 — UI]</w:t>
      </w:r>
    </w:p>
    <w:p w14:paraId="3682061E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Separate messaging on WHAT the tool is for from HOW to use it; the current tutorial focuses on the latter, which risks community buy-in and advocacy positioning.</w:t>
      </w:r>
      <w:r>
        <w:rPr>
          <w:b/>
          <w:bCs/>
          <w:color w:val="2E5395"/>
          <w:sz w:val="18"/>
          <w:szCs w:val="18"/>
        </w:rPr>
        <w:t xml:space="preserve">  [R4 — Docs/UI]</w:t>
      </w:r>
    </w:p>
    <w:p w14:paraId="35318EC1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Consider a community-facing information session / resource mapping realistic community-facing scenarios to ground what the tool can be used for.</w:t>
      </w:r>
      <w:r>
        <w:rPr>
          <w:b/>
          <w:bCs/>
          <w:color w:val="2E5395"/>
          <w:sz w:val="18"/>
          <w:szCs w:val="18"/>
        </w:rPr>
        <w:t xml:space="preserve">  [R4 — Docs]</w:t>
      </w:r>
    </w:p>
    <w:p w14:paraId="493E647E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Note positive: mobile access worked well and the per-result info icons were valued — preserve these.</w:t>
      </w:r>
      <w:r>
        <w:rPr>
          <w:b/>
          <w:bCs/>
          <w:color w:val="2E5395"/>
          <w:sz w:val="18"/>
          <w:szCs w:val="18"/>
        </w:rPr>
        <w:t xml:space="preserve">  [R4 — UI]</w:t>
      </w:r>
    </w:p>
    <w:p w14:paraId="79A22291" w14:textId="77777777" w:rsidR="009B0550" w:rsidRDefault="009B0550" w:rsidP="009B0550">
      <w:pPr>
        <w:pStyle w:val="Heading1"/>
        <w:spacing w:before="320" w:after="140"/>
      </w:pPr>
      <w:r>
        <w:t>11. Scenario management, data updates &amp; collaboration</w:t>
      </w:r>
    </w:p>
    <w:p w14:paraId="5C150AFC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a scenario name on the scenarios tab (e.g. “high PrEP, low testing”) that flows through to the downloadable report.</w:t>
      </w:r>
      <w:r>
        <w:rPr>
          <w:b/>
          <w:bCs/>
          <w:color w:val="2E5395"/>
          <w:sz w:val="18"/>
          <w:szCs w:val="18"/>
        </w:rPr>
        <w:t xml:space="preserve">  [GDoc — UI]</w:t>
      </w:r>
    </w:p>
    <w:p w14:paraId="2E535E8F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Enable sharing of a saved settings/scenario configuration so teams can work from a common base.</w:t>
      </w:r>
      <w:r>
        <w:rPr>
          <w:b/>
          <w:bCs/>
          <w:color w:val="2E5395"/>
          <w:sz w:val="18"/>
          <w:szCs w:val="18"/>
        </w:rPr>
        <w:t xml:space="preserve">  [R2 — UI]</w:t>
      </w:r>
    </w:p>
    <w:p w14:paraId="4F5F54D6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a “reset to default values” button per country (without needing to switch country and back).</w:t>
      </w:r>
      <w:r>
        <w:rPr>
          <w:b/>
          <w:bCs/>
          <w:color w:val="2E5395"/>
          <w:sz w:val="18"/>
          <w:szCs w:val="18"/>
        </w:rPr>
        <w:t xml:space="preserve">  [GDoc — UI]</w:t>
      </w:r>
    </w:p>
    <w:p w14:paraId="17467B1F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a notes field against baseline coverage recording who last updated it and with what data source.</w:t>
      </w:r>
      <w:r>
        <w:rPr>
          <w:b/>
          <w:bCs/>
          <w:color w:val="2E5395"/>
          <w:sz w:val="18"/>
          <w:szCs w:val="18"/>
        </w:rPr>
        <w:t xml:space="preserve">  [R5 — UI]</w:t>
      </w:r>
    </w:p>
    <w:p w14:paraId="05EE24E3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Enable annual updates to the Spectrum/epidemic parameters (deaths, new infections) — open the currently-closed epidemic parameter fields for year-over-year updates.</w:t>
      </w:r>
      <w:r>
        <w:rPr>
          <w:b/>
          <w:bCs/>
          <w:color w:val="2E5395"/>
          <w:sz w:val="18"/>
          <w:szCs w:val="18"/>
        </w:rPr>
        <w:t xml:space="preserve">  [R2, R5 — UI/Logic]</w:t>
      </w:r>
    </w:p>
    <w:p w14:paraId="1C09DD07" w14:textId="77777777" w:rsidR="009B0550" w:rsidRDefault="009B0550" w:rsidP="009B0550">
      <w:pPr>
        <w:pStyle w:val="Heading1"/>
        <w:spacing w:before="320" w:after="140"/>
      </w:pPr>
      <w:r>
        <w:t>12. Baseline data accuracy, external validation &amp; rollout</w:t>
      </w:r>
    </w:p>
    <w:p w14:paraId="417110BD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Have one or two knowledgeable country experts review the baseline data before wider dissemination — clear baseline inaccuracies can undermine confidence from the outset even if the modelling approach is sound.</w:t>
      </w:r>
      <w:r>
        <w:rPr>
          <w:b/>
          <w:bCs/>
          <w:color w:val="2E5395"/>
          <w:sz w:val="18"/>
          <w:szCs w:val="18"/>
        </w:rPr>
        <w:t xml:space="preserve">  [R3]</w:t>
      </w:r>
    </w:p>
    <w:p w14:paraId="299BE92B" w14:textId="77777777" w:rsidR="009B0550" w:rsidRDefault="009B0550" w:rsidP="009B0550">
      <w:pPr>
        <w:spacing w:after="140" w:line="276" w:lineRule="auto"/>
      </w:pPr>
      <w:r>
        <w:rPr>
          <w:i/>
          <w:iCs/>
          <w:sz w:val="21"/>
          <w:szCs w:val="21"/>
        </w:rPr>
        <w:t>R3 cites the following South Africa baseline examples. These are the reviewer's assertions; both the displayed model values and R3's claimed “actual” values should be checked against the source data (parameter workbook / basic_hiv_data.csv) before either is accepted:</w:t>
      </w:r>
    </w:p>
    <w:p w14:paraId="5D4CED89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CD4 testing at ART initiation shown as ~20%, whereas R3 states current coverage is substantially higher (no figure given).</w:t>
      </w:r>
      <w:r>
        <w:rPr>
          <w:b/>
          <w:bCs/>
          <w:color w:val="2E5395"/>
          <w:sz w:val="18"/>
          <w:szCs w:val="18"/>
        </w:rPr>
        <w:t xml:space="preserve">  [R3 — verify]</w:t>
      </w:r>
    </w:p>
    <w:p w14:paraId="6B419595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 xml:space="preserve">6MMD coverage shown as ~60%, whereas R3 states actual is closer to ~5%. Flag: this large gap may be a definitional issue rather than a data error — 6-month multi-month dispensing (~60%) vs 6-month multi-month </w:t>
      </w:r>
      <w:r>
        <w:rPr>
          <w:sz w:val="21"/>
          <w:szCs w:val="21"/>
        </w:rPr>
        <w:lastRenderedPageBreak/>
        <w:t>supply/6MMS (~5%) — tying directly to R3's MMD-vs-MMS point in §6. Confirm what the parameter is defined as before treating as an error.</w:t>
      </w:r>
      <w:r>
        <w:rPr>
          <w:b/>
          <w:bCs/>
          <w:color w:val="2E5395"/>
          <w:sz w:val="18"/>
          <w:szCs w:val="18"/>
        </w:rPr>
        <w:t xml:space="preserve">  [R3 — verify]</w:t>
      </w:r>
    </w:p>
    <w:p w14:paraId="4E1455C9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General facility HIV testing volumes look overestimated if all ANC testing is genuinely excluded (see also §4).</w:t>
      </w:r>
      <w:r>
        <w:rPr>
          <w:b/>
          <w:bCs/>
          <w:color w:val="2E5395"/>
          <w:sz w:val="18"/>
          <w:szCs w:val="18"/>
        </w:rPr>
        <w:t xml:space="preserve">  [R3 — verify]</w:t>
      </w:r>
    </w:p>
    <w:p w14:paraId="7D2BE5FE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Light-touch external validation of scenario numbers and impacts before wider rollout.</w:t>
      </w:r>
      <w:r>
        <w:rPr>
          <w:b/>
          <w:bCs/>
          <w:color w:val="2E5395"/>
          <w:sz w:val="18"/>
          <w:szCs w:val="18"/>
        </w:rPr>
        <w:t xml:space="preserve">  [R3]</w:t>
      </w:r>
    </w:p>
    <w:p w14:paraId="182349A5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Design parameters that capture efficiency/targeting improvements (better targeting, reduced repeat delivery), not coverage alone — for many countries the question is how efficiently an intervention is delivered, not whether.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1CCD08E6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Pursue integration into PEPFAR / Global Fund planning and grant cycles; consider a CQUIN annual-meeting exercise output including baseline-scenario validation to drive engagement.</w:t>
      </w:r>
      <w:r>
        <w:rPr>
          <w:b/>
          <w:bCs/>
          <w:color w:val="2E5395"/>
          <w:sz w:val="18"/>
          <w:szCs w:val="18"/>
        </w:rPr>
        <w:t xml:space="preserve">  [R3]</w:t>
      </w:r>
    </w:p>
    <w:p w14:paraId="00DB1DC0" w14:textId="77777777" w:rsidR="009B0550" w:rsidRDefault="009B0550" w:rsidP="009B0550">
      <w:pPr>
        <w:pStyle w:val="Heading1"/>
        <w:spacing w:before="320" w:after="140"/>
      </w:pPr>
      <w:r>
        <w:t>13. Service-frequency simplification: VL schedules &amp; annual clinical visits (DSD analysis request)</w:t>
      </w:r>
    </w:p>
    <w:p w14:paraId="7110F915" w14:textId="77777777" w:rsidR="009B0550" w:rsidRDefault="009B0550" w:rsidP="009B0550">
      <w:pPr>
        <w:spacing w:after="140" w:line="276" w:lineRule="auto"/>
      </w:pPr>
      <w:r>
        <w:rPr>
          <w:sz w:val="21"/>
          <w:szCs w:val="21"/>
        </w:rPr>
        <w:t>This is a specific, named analysis request rather than a general suggestion, so it is set out separately. It shares the underlying theme of §4 (testing frequency) and §6 (MMS): modelling how often a service is delivered, not just whether it is covered.</w:t>
      </w:r>
    </w:p>
    <w:p w14:paraId="33308C86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Model both the timing and the frequency of viral load monitoring (not only whether a VL is done).</w:t>
      </w:r>
      <w:r>
        <w:rPr>
          <w:b/>
          <w:bCs/>
          <w:color w:val="2E5395"/>
          <w:sz w:val="18"/>
          <w:szCs w:val="18"/>
        </w:rPr>
        <w:t xml:space="preserve">  [DSD, R3 — Logic]</w:t>
      </w:r>
    </w:p>
    <w:p w14:paraId="688BB34A" w14:textId="77777777" w:rsidR="009B0550" w:rsidRDefault="009B0550" w:rsidP="009B0550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Model the impact of annual vs 6-monthly clinical visits for people stable on ART — tied to the Q2 2026 DSD newsletter policy brief on annual clinical visits, and a request to “quantify the difference” that simplified VL schedules and annual clinical visits would make.</w:t>
      </w:r>
      <w:r>
        <w:rPr>
          <w:b/>
          <w:bCs/>
          <w:color w:val="2E5395"/>
          <w:sz w:val="18"/>
          <w:szCs w:val="18"/>
        </w:rPr>
        <w:t xml:space="preserve">  [DSD — Logic]</w:t>
      </w:r>
    </w:p>
    <w:p w14:paraId="526A0A14" w14:textId="77777777" w:rsidR="009B0550" w:rsidRDefault="009B0550" w:rsidP="009B0550">
      <w:pPr>
        <w:spacing w:after="140" w:line="276" w:lineRule="auto"/>
      </w:pPr>
      <w:r>
        <w:rPr>
          <w:i/>
          <w:iCs/>
          <w:sz w:val="21"/>
          <w:szCs w:val="21"/>
        </w:rPr>
        <w:t>Feasibility note (to confirm against the logic file, not yet verified): TIER-Plus currently appears to model coverage-type levers. Representing clinical-visit frequency would require (a) visit frequency to exist as (or be derivable from) a parameter, and (b) a defined outcome pathway. The impact of reducing stable-patient visits is primarily a cost / health-system-efficiency effect (fewer visits → lower delivery cost, freed capacity) and possibly a retention effect, rather than a direct transmission effect — so “impact” must be defined before it can be quantified. Whether this is a small extension or a structural addition should be assessed before scoping.</w:t>
      </w:r>
    </w:p>
    <w:p w14:paraId="49118632" w14:textId="77777777" w:rsidR="009B0550" w:rsidRDefault="009B0550" w:rsidP="009B0550">
      <w:pPr>
        <w:spacing w:after="120"/>
      </w:pPr>
    </w:p>
    <w:p w14:paraId="4055F957" w14:textId="77777777" w:rsidR="009B0550" w:rsidRDefault="009B0550" w:rsidP="009B0550">
      <w:pPr>
        <w:spacing w:after="180"/>
      </w:pPr>
      <w:r>
        <w:rPr>
          <w:i/>
          <w:iCs/>
          <w:color w:val="555555"/>
        </w:rPr>
        <w:t>Note: “Logic”-flagged items would touch Mock-Up_logic_V2.R and are likely to need corresponding unit-test updates (per the numbered test suite). “UI”-flagged items are expected to be confined to the interface/server layer. These flags are a first-pass triage from the comments' wording only and should be confirmed against the code before scoping.</w:t>
      </w:r>
    </w:p>
    <w:p w14:paraId="4923D255" w14:textId="68A6CF1C" w:rsidR="004A7DC1" w:rsidRPr="009B0550" w:rsidRDefault="004A7DC1" w:rsidP="009B0550"/>
    <w:sectPr w:rsidR="004A7DC1" w:rsidRPr="009B055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485B"/>
    <w:multiLevelType w:val="hybridMultilevel"/>
    <w:tmpl w:val="115C5070"/>
    <w:lvl w:ilvl="0" w:tplc="5B3A1264">
      <w:start w:val="1"/>
      <w:numFmt w:val="bullet"/>
      <w:lvlText w:val="•"/>
      <w:lvlJc w:val="left"/>
      <w:pPr>
        <w:ind w:left="360" w:hanging="215"/>
      </w:pPr>
    </w:lvl>
    <w:lvl w:ilvl="1" w:tplc="FCDADFDE">
      <w:numFmt w:val="decimal"/>
      <w:lvlText w:val=""/>
      <w:lvlJc w:val="left"/>
    </w:lvl>
    <w:lvl w:ilvl="2" w:tplc="DBF6FA78">
      <w:numFmt w:val="decimal"/>
      <w:lvlText w:val=""/>
      <w:lvlJc w:val="left"/>
    </w:lvl>
    <w:lvl w:ilvl="3" w:tplc="6BB8DAB6">
      <w:numFmt w:val="decimal"/>
      <w:lvlText w:val=""/>
      <w:lvlJc w:val="left"/>
    </w:lvl>
    <w:lvl w:ilvl="4" w:tplc="1548DCD8">
      <w:numFmt w:val="decimal"/>
      <w:lvlText w:val=""/>
      <w:lvlJc w:val="left"/>
    </w:lvl>
    <w:lvl w:ilvl="5" w:tplc="F8CA05F4">
      <w:numFmt w:val="decimal"/>
      <w:lvlText w:val=""/>
      <w:lvlJc w:val="left"/>
    </w:lvl>
    <w:lvl w:ilvl="6" w:tplc="D4DEEE56">
      <w:numFmt w:val="decimal"/>
      <w:lvlText w:val=""/>
      <w:lvlJc w:val="left"/>
    </w:lvl>
    <w:lvl w:ilvl="7" w:tplc="22463DF6">
      <w:numFmt w:val="decimal"/>
      <w:lvlText w:val=""/>
      <w:lvlJc w:val="left"/>
    </w:lvl>
    <w:lvl w:ilvl="8" w:tplc="91329BB6">
      <w:numFmt w:val="decimal"/>
      <w:lvlText w:val=""/>
      <w:lvlJc w:val="left"/>
    </w:lvl>
  </w:abstractNum>
  <w:abstractNum w:abstractNumId="1" w15:restartNumberingAfterBreak="0">
    <w:nsid w:val="081C4652"/>
    <w:multiLevelType w:val="hybridMultilevel"/>
    <w:tmpl w:val="F6888462"/>
    <w:lvl w:ilvl="0" w:tplc="48CE6BD8">
      <w:start w:val="1"/>
      <w:numFmt w:val="bullet"/>
      <w:lvlText w:val="●"/>
      <w:lvlJc w:val="left"/>
      <w:pPr>
        <w:ind w:left="720" w:hanging="360"/>
      </w:pPr>
    </w:lvl>
    <w:lvl w:ilvl="1" w:tplc="CDF4A5AC">
      <w:start w:val="1"/>
      <w:numFmt w:val="bullet"/>
      <w:lvlText w:val="○"/>
      <w:lvlJc w:val="left"/>
      <w:pPr>
        <w:ind w:left="1440" w:hanging="360"/>
      </w:pPr>
    </w:lvl>
    <w:lvl w:ilvl="2" w:tplc="3C9A6E38">
      <w:start w:val="1"/>
      <w:numFmt w:val="bullet"/>
      <w:lvlText w:val="■"/>
      <w:lvlJc w:val="left"/>
      <w:pPr>
        <w:ind w:left="2160" w:hanging="360"/>
      </w:pPr>
    </w:lvl>
    <w:lvl w:ilvl="3" w:tplc="FCD07160">
      <w:start w:val="1"/>
      <w:numFmt w:val="bullet"/>
      <w:lvlText w:val="●"/>
      <w:lvlJc w:val="left"/>
      <w:pPr>
        <w:ind w:left="2880" w:hanging="360"/>
      </w:pPr>
    </w:lvl>
    <w:lvl w:ilvl="4" w:tplc="D5743B96">
      <w:start w:val="1"/>
      <w:numFmt w:val="bullet"/>
      <w:lvlText w:val="○"/>
      <w:lvlJc w:val="left"/>
      <w:pPr>
        <w:ind w:left="3600" w:hanging="360"/>
      </w:pPr>
    </w:lvl>
    <w:lvl w:ilvl="5" w:tplc="3288F41A">
      <w:start w:val="1"/>
      <w:numFmt w:val="bullet"/>
      <w:lvlText w:val="■"/>
      <w:lvlJc w:val="left"/>
      <w:pPr>
        <w:ind w:left="4320" w:hanging="360"/>
      </w:pPr>
    </w:lvl>
    <w:lvl w:ilvl="6" w:tplc="2BDE66E2">
      <w:start w:val="1"/>
      <w:numFmt w:val="bullet"/>
      <w:lvlText w:val="●"/>
      <w:lvlJc w:val="left"/>
      <w:pPr>
        <w:ind w:left="5040" w:hanging="360"/>
      </w:pPr>
    </w:lvl>
    <w:lvl w:ilvl="7" w:tplc="44F280D4">
      <w:start w:val="1"/>
      <w:numFmt w:val="bullet"/>
      <w:lvlText w:val="●"/>
      <w:lvlJc w:val="left"/>
      <w:pPr>
        <w:ind w:left="5760" w:hanging="360"/>
      </w:pPr>
    </w:lvl>
    <w:lvl w:ilvl="8" w:tplc="BE2405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293215"/>
    <w:multiLevelType w:val="hybridMultilevel"/>
    <w:tmpl w:val="13CE2046"/>
    <w:lvl w:ilvl="0" w:tplc="602E28C6">
      <w:start w:val="1"/>
      <w:numFmt w:val="bullet"/>
      <w:lvlText w:val="•"/>
      <w:lvlJc w:val="left"/>
      <w:pPr>
        <w:ind w:left="360" w:hanging="215"/>
      </w:pPr>
    </w:lvl>
    <w:lvl w:ilvl="1" w:tplc="78CCA35A">
      <w:numFmt w:val="decimal"/>
      <w:lvlText w:val=""/>
      <w:lvlJc w:val="left"/>
    </w:lvl>
    <w:lvl w:ilvl="2" w:tplc="212274D2">
      <w:numFmt w:val="decimal"/>
      <w:lvlText w:val=""/>
      <w:lvlJc w:val="left"/>
    </w:lvl>
    <w:lvl w:ilvl="3" w:tplc="1BD65EFC">
      <w:numFmt w:val="decimal"/>
      <w:lvlText w:val=""/>
      <w:lvlJc w:val="left"/>
    </w:lvl>
    <w:lvl w:ilvl="4" w:tplc="787C94E8">
      <w:numFmt w:val="decimal"/>
      <w:lvlText w:val=""/>
      <w:lvlJc w:val="left"/>
    </w:lvl>
    <w:lvl w:ilvl="5" w:tplc="1A80EDB8">
      <w:numFmt w:val="decimal"/>
      <w:lvlText w:val=""/>
      <w:lvlJc w:val="left"/>
    </w:lvl>
    <w:lvl w:ilvl="6" w:tplc="5F246728">
      <w:numFmt w:val="decimal"/>
      <w:lvlText w:val=""/>
      <w:lvlJc w:val="left"/>
    </w:lvl>
    <w:lvl w:ilvl="7" w:tplc="0AC46B84">
      <w:numFmt w:val="decimal"/>
      <w:lvlText w:val=""/>
      <w:lvlJc w:val="left"/>
    </w:lvl>
    <w:lvl w:ilvl="8" w:tplc="029C85CE">
      <w:numFmt w:val="decimal"/>
      <w:lvlText w:val=""/>
      <w:lvlJc w:val="left"/>
    </w:lvl>
  </w:abstractNum>
  <w:num w:numId="1" w16cid:durableId="1444151779">
    <w:abstractNumId w:val="1"/>
    <w:lvlOverride w:ilvl="0">
      <w:startOverride w:val="1"/>
    </w:lvlOverride>
  </w:num>
  <w:num w:numId="2" w16cid:durableId="1755471068">
    <w:abstractNumId w:val="0"/>
    <w:lvlOverride w:ilvl="0">
      <w:startOverride w:val="1"/>
    </w:lvlOverride>
  </w:num>
  <w:num w:numId="3" w16cid:durableId="151803266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DC1"/>
    <w:rsid w:val="00115DFA"/>
    <w:rsid w:val="004A7DC1"/>
    <w:rsid w:val="006B6D59"/>
    <w:rsid w:val="009B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3829B4"/>
  <w15:docId w15:val="{194FA3B8-58F0-B84A-9A5E-A61095E81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2245</Words>
  <Characters>12801</Characters>
  <Application>Microsoft Office Word</Application>
  <DocSecurity>0</DocSecurity>
  <Lines>106</Lines>
  <Paragraphs>30</Paragraphs>
  <ScaleCrop>false</ScaleCrop>
  <Company/>
  <LinksUpToDate>false</LinksUpToDate>
  <CharactersWithSpaces>15016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de Nooy</cp:lastModifiedBy>
  <cp:revision>3</cp:revision>
  <dcterms:created xsi:type="dcterms:W3CDTF">2026-07-02T08:59:00Z</dcterms:created>
  <dcterms:modified xsi:type="dcterms:W3CDTF">2026-07-02T10:48:00Z</dcterms:modified>
</cp:coreProperties>
</file>