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36"/>
          <w:szCs w:val="36"/>
        </w:rPr>
        <w:t xml:space="preserve">TIER HIV Intervention Impact Calculator</w:t>
      </w:r>
    </w:p>
    <w:p>
      <w:pPr>
        <w:spacing w:before="0" w:after="80"/>
      </w:pPr>
      <w:r>
        <w:rPr>
          <w:rFonts w:ascii="Arial" w:cs="Arial" w:eastAsia="Arial" w:hAnsi="Arial"/>
          <w:color w:val="2E75B6"/>
          <w:sz w:val="28"/>
          <w:szCs w:val="28"/>
        </w:rPr>
        <w:t xml:space="preserve">Methodology: Estimating New HIV Infections</w:t>
      </w:r>
    </w:p>
    <w:p>
      <w:pPr>
        <w:pBdr>
          <w:bottom w:val="single" w:color="2E75B6" w:sz="12" w:space="4"/>
        </w:pBdr>
        <w:spacing w:before="0" w:after="320"/>
      </w:pPr>
      <w:r>
        <w:rPr>
          <w:rFonts w:ascii="Arial" w:cs="Arial" w:eastAsia="Arial" w:hAnsi="Arial"/>
          <w:i/>
          <w:iCs/>
          <w:color w:val="595959"/>
          <w:sz w:val="22"/>
          <w:szCs w:val="22"/>
        </w:rPr>
        <w:t xml:space="preserve">Technical Reference Document</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1. Overview</w:t>
      </w:r>
    </w:p>
    <w:p>
      <w:pPr>
        <w:spacing w:before="80" w:after="120"/>
      </w:pPr>
      <w:r>
        <w:rPr>
          <w:rFonts w:ascii="Arial" w:cs="Arial" w:eastAsia="Arial" w:hAnsi="Arial"/>
          <w:color w:val="000000"/>
          <w:sz w:val="22"/>
          <w:szCs w:val="22"/>
        </w:rPr>
        <w:t xml:space="preserve">TIER uses a stratified Force-of-Infection (FOI) model to estimate new adult HIV infections under a given set of interventions. The model was chosen because it captures two key realities that a simpler single-pool approach cannot:</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Targeted interventions are more efficient than untargeted ones — delivering PrEP to a high-risk key population group averts more infections than the same number of condoms spread across the general population, because the former group faces a higher per-contact transmission rate.</w:t>
      </w:r>
    </w:p>
    <w:p>
      <w:pPr>
        <w:pStyle w:val="ListParagraph"/>
        <w:numPr>
          <w:ilvl w:val="0"/>
          <w:numId w:val="2"/>
        </w:numPr>
        <w:spacing w:before="60" w:after="60"/>
      </w:pPr>
      <w:r>
        <w:rPr>
          <w:rFonts w:ascii="Arial" w:cs="Arial" w:eastAsia="Arial" w:hAnsi="Arial"/>
          <w:sz w:val="22"/>
          <w:szCs w:val="22"/>
        </w:rPr>
        <w:t xml:space="preserve">Viral suppression and prevention operate through distinct, non-overlapping mechanisms — improved treatment cascades reduce the infectious pressure term, while prevention interventions reduce the susceptible pool, and these two effects should not be conflated or double-counted.</w:t>
      </w:r>
    </w:p>
    <w:p>
      <w:pPr>
        <w:spacing w:before="80" w:after="80"/>
      </w:pPr>
      <w:r>
        <w:t xml:space="preserve"/>
      </w:r>
    </w:p>
    <w:p>
      <w:pPr>
        <w:spacing w:before="80" w:after="120"/>
      </w:pPr>
      <w:r>
        <w:rPr>
          <w:rFonts w:ascii="Arial" w:cs="Arial" w:eastAsia="Arial" w:hAnsi="Arial"/>
          <w:color w:val="000000"/>
          <w:sz w:val="22"/>
          <w:szCs w:val="22"/>
        </w:rPr>
        <w:t xml:space="preserve">The model does not require assumptions about biological transmission probabilities. Instead, all transmission rates are back-calculated from each country’s own reported data, ensuring internal consistency regardless of the epidemic type or programme coverage level.</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2. Conceptual Framework</w:t>
      </w:r>
    </w:p>
    <w:p>
      <w:pPr>
        <w:spacing w:before="80" w:after="120"/>
      </w:pPr>
      <w:r>
        <w:rPr>
          <w:rFonts w:ascii="Arial" w:cs="Arial" w:eastAsia="Arial" w:hAnsi="Arial"/>
          <w:color w:val="000000"/>
          <w:sz w:val="22"/>
          <w:szCs w:val="22"/>
        </w:rPr>
        <w:t xml:space="preserve">New infections in a given year are modelled as the product of three quantities for each risk stratum:</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BF3FA" w:val="clear"/>
            <w:tcMar>
              <w:top w:type="dxa" w:w="120"/>
              <w:left w:type="dxa" w:w="360"/>
              <w:bottom w:type="dxa" w:w="120"/>
              <w:right w:type="dxa" w:w="360"/>
            </w:tcMar>
          </w:tcPr>
          <w:p>
            <w:r>
              <w:rPr>
                <w:rFonts w:ascii="Courier New" w:cs="Courier New" w:eastAsia="Courier New" w:hAnsi="Courier New"/>
                <w:color w:val="1F3864"/>
                <w:sz w:val="20"/>
                <w:szCs w:val="20"/>
              </w:rPr>
              <w:t xml:space="preserve">new_infections(s) = β(s) × infectious_pressure × susceptible_population(s) × (1 − prevention_protection(s))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0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5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moves it</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β(s)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Stratum-specific transmission rate — calibrated from country data</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Fixed at calibration; varies by stratum and baseline programme</w:t>
            </w:r>
          </w:p>
        </w:tc>
      </w:tr>
      <w:tr>
        <w:tc>
          <w:tcPr>
            <w:tcW w:type="dxa" w:w="18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infectious_pressure</w:t>
            </w:r>
          </w:p>
        </w:tc>
        <w:tc>
          <w:tcPr>
            <w:tcW w:type="dxa" w:w="30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Proportion of total population who are unsuppressed PLHIV</w:t>
            </w:r>
          </w:p>
        </w:tc>
        <w:tc>
          <w:tcPr>
            <w:tcW w:type="dxa" w:w="45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Improved viral suppression reduces this (treatment cascade)</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susceptible_population(s)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HIV-negative sexually active adults in stratum s</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Fixed by country demographics</w:t>
            </w:r>
          </w:p>
        </w:tc>
      </w:tr>
      <w:tr>
        <w:tc>
          <w:tcPr>
            <w:tcW w:type="dxa" w:w="18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prevention_protection(s)</w:t>
            </w:r>
          </w:p>
        </w:tc>
        <w:tc>
          <w:tcPr>
            <w:tcW w:type="dxa" w:w="30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Fraction of susceptibles protected by prevention coverage in stratum s</w:t>
            </w:r>
          </w:p>
        </w:tc>
        <w:tc>
          <w:tcPr>
            <w:tcW w:type="dxa" w:w="45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PrEP, condoms, VMMC, PEP (each stratum receives relevant interventions only)</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3. Risk Strata</w:t>
      </w:r>
    </w:p>
    <w:p>
      <w:pPr>
        <w:spacing w:before="80" w:after="120"/>
      </w:pPr>
      <w:r>
        <w:rPr>
          <w:rFonts w:ascii="Arial" w:cs="Arial" w:eastAsia="Arial" w:hAnsi="Arial"/>
          <w:color w:val="000000"/>
          <w:sz w:val="22"/>
          <w:szCs w:val="22"/>
        </w:rPr>
        <w:t xml:space="preserve">HIV-negative sexually active adults are divided into four mutually exclusive strata. Each has its own transmission rate (β) and receives different prevention interventions.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16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 size</w:t>
            </w:r>
          </w:p>
        </w:tc>
        <w:tc>
          <w:tcPr>
            <w:tcW w:type="dxa" w:w="16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Relative risk</w:t>
            </w:r>
          </w:p>
        </w:tc>
        <w:tc>
          <w:tcPr>
            <w:tcW w:type="dxa" w:w="39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Prevention interventions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High-risk (KP + partners)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of sexually active HIV-neg adults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rr_high × general (≈ 8× default)</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Oral PrEP, Lenacapavir PrEP, condoms</w:t>
            </w:r>
          </w:p>
        </w:tc>
      </w:tr>
      <w:tr>
        <w:tc>
          <w:tcPr>
            <w:tcW w:type="dxa" w:w="22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General — female</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~47% of sexually active HIV-neg adults</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1× (reference)</w:t>
            </w:r>
          </w:p>
        </w:tc>
        <w:tc>
          <w:tcPr>
            <w:tcW w:type="dxa" w:w="39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Condoms, PEP</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General — uncircumcised male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Varies by country circumcision prevalence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(reference)</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Condoms, PEP, VMMC (converts to circumcised pool)</w:t>
            </w:r>
          </w:p>
        </w:tc>
      </w:tr>
      <w:tr>
        <w:tc>
          <w:tcPr>
            <w:tcW w:type="dxa" w:w="22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General — circumcised male</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Varies by country circumcision prevalence</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(1 − vmmc_risk_reduction) × 1×</w:t>
            </w:r>
          </w:p>
        </w:tc>
        <w:tc>
          <w:tcPr>
            <w:tcW w:type="dxa" w:w="39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Lower β already encodes circumcision protection</w:t>
            </w:r>
          </w:p>
        </w:tc>
      </w:tr>
    </w:tbl>
    <w:p>
      <w:pPr>
        <w:spacing w:before="80" w:after="80"/>
      </w:pPr>
      <w:r>
        <w:t xml:space="preserve"/>
      </w:r>
    </w:p>
    <w:p>
      <w:pPr>
        <w:spacing w:before="80" w:after="120"/>
      </w:pPr>
      <w:r>
        <w:rPr>
          <w:rFonts w:ascii="Arial" w:cs="Arial" w:eastAsia="Arial" w:hAnsi="Arial"/>
          <w:color w:val="000000"/>
          <w:sz w:val="22"/>
          <w:szCs w:val="22"/>
        </w:rPr>
        <w:t xml:space="preserve">The stratum sizes are derived as follows: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BF3FA" w:val="clear"/>
            <w:tcMar>
              <w:top w:type="dxa" w:w="120"/>
              <w:left w:type="dxa" w:w="360"/>
              <w:bottom w:type="dxa" w:w="120"/>
              <w:right w:type="dxa" w:w="360"/>
            </w:tcMar>
          </w:tcPr>
          <w:p>
            <w:r>
              <w:rPr>
                <w:rFonts w:ascii="Courier New" w:cs="Courier New" w:eastAsia="Courier New" w:hAnsi="Courier New"/>
                <w:color w:val="1F3864"/>
                <w:sz w:val="20"/>
                <w:szCs w:val="20"/>
              </w:rPr>
              <w:t xml:space="preserve">n_high_risk             = sexually_active_HIV_neg × prop_high_risk
n_general               = sexually_active_HIV_neg × (1 − prop_high_risk)
n_general_female        = n_general × prop_female
n_general_male_uncirc   = n_general × prop_male × (1 − circ_prevalence)
n_general_male_circ     = n_general × prop_male × circ_prevalence</w:t>
            </w:r>
          </w:p>
        </w:tc>
      </w:tr>
    </w:tbl>
    <w:p>
      <w:pPr>
        <w:spacing w:before="80" w:after="80"/>
      </w:pPr>
      <w:r>
        <w:t xml:space="preserve"/>
      </w:r>
    </w:p>
    <w:p>
      <w:pPr>
        <w:spacing w:before="80" w:after="120"/>
      </w:pPr>
      <w:r>
        <w:rPr>
          <w:rFonts w:ascii="Arial" w:cs="Arial" w:eastAsia="Arial" w:hAnsi="Arial"/>
          <w:b/>
          <w:bCs/>
          <w:color w:val="000000"/>
          <w:sz w:val="22"/>
          <w:szCs w:val="22"/>
        </w:rPr>
        <w:t xml:space="preserve">Key parameters </w:t>
      </w:r>
      <w:r>
        <w:rPr>
          <w:rFonts w:ascii="Arial" w:cs="Arial" w:eastAsia="Arial" w:hAnsi="Arial"/>
          <w:b/>
          <w:bCs/>
          <w:color w:val="2E75B6"/>
          <w:sz w:val="22"/>
          <w:szCs w:val="22"/>
        </w:rPr>
        <w:t xml:space="preserve">prop_high_risk</w:t>
      </w:r>
      <w:r>
        <w:rPr>
          <w:rFonts w:ascii="Arial" w:cs="Arial" w:eastAsia="Arial" w:hAnsi="Arial"/>
          <w:color w:val="000000"/>
          <w:sz w:val="22"/>
          <w:szCs w:val="22"/>
        </w:rPr>
        <w:t xml:space="preserve"> (default 0.05) and </w:t>
      </w:r>
      <w:r>
        <w:rPr>
          <w:rFonts w:ascii="Arial" w:cs="Arial" w:eastAsia="Arial" w:hAnsi="Arial"/>
          <w:b/>
          <w:bCs/>
          <w:color w:val="2E75B6"/>
          <w:sz w:val="22"/>
          <w:szCs w:val="22"/>
        </w:rPr>
        <w:t xml:space="preserve">circ_prevalence</w:t>
      </w:r>
      <w:r>
        <w:rPr>
          <w:rFonts w:ascii="Arial" w:cs="Arial" w:eastAsia="Arial" w:hAnsi="Arial"/>
          <w:color w:val="000000"/>
          <w:sz w:val="22"/>
          <w:szCs w:val="22"/>
        </w:rPr>
        <w:t xml:space="preserve"> (default 0.20) can be set per country in the country CSV, and should ideally be sourced from UNAIDS Key Population Atlas estimates and national survey data respectively.</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4. Infectious Pressure</w:t>
      </w:r>
    </w:p>
    <w:p>
      <w:pPr>
        <w:spacing w:before="80" w:after="120"/>
      </w:pPr>
      <w:r>
        <w:rPr>
          <w:rFonts w:ascii="Arial" w:cs="Arial" w:eastAsia="Arial" w:hAnsi="Arial"/>
          <w:color w:val="000000"/>
          <w:sz w:val="22"/>
          <w:szCs w:val="22"/>
        </w:rPr>
        <w:t xml:space="preserve">Infectious pressure is the proportion of the total population who are able to transmit HIV — that is, who are living with HIV and not virally suppressed. This includes all three non-suppressed cascade groups: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BF3FA" w:val="clear"/>
            <w:tcMar>
              <w:top w:type="dxa" w:w="120"/>
              <w:left w:type="dxa" w:w="360"/>
              <w:bottom w:type="dxa" w:w="120"/>
              <w:right w:type="dxa" w:w="360"/>
            </w:tcMar>
          </w:tcPr>
          <w:p>
            <w:r>
              <w:rPr>
                <w:rFonts w:ascii="Courier New" w:cs="Courier New" w:eastAsia="Courier New" w:hAnsi="Courier New"/>
                <w:color w:val="1F3864"/>
                <w:sz w:val="20"/>
                <w:szCs w:val="20"/>
              </w:rPr>
              <w:t xml:space="preserve">n_unsuppressed = unsuppressed_on_ART + diagnosed_not_on_ART + undiagnosed
infectious_pressure = n_unsuppressed / total_population</w:t>
            </w:r>
          </w:p>
        </w:tc>
      </w:tr>
    </w:tbl>
    <w:p>
      <w:pPr>
        <w:spacing w:before="80" w:after="80"/>
      </w:pPr>
      <w:r>
        <w:t xml:space="preserve"/>
      </w:r>
    </w:p>
    <w:p>
      <w:pPr>
        <w:spacing w:before="80" w:after="120"/>
      </w:pPr>
      <w:r>
        <w:rPr>
          <w:rFonts w:ascii="Arial" w:cs="Arial" w:eastAsia="Arial" w:hAnsi="Arial"/>
          <w:color w:val="000000"/>
          <w:sz w:val="22"/>
          <w:szCs w:val="22"/>
        </w:rPr>
        <w:t xml:space="preserve">This is the mechanism through which the treatment cascade feeds into the infection model. When viral suppression improves — through better VL monitoring, adherence support, ART initiation, or retention interventions — the infectious pressure term falls, reducing infections across all four strata simultaneously.</w:t>
      </w:r>
    </w:p>
    <w:p>
      <w:pPr>
        <w:spacing w:before="80" w:after="80"/>
      </w:pPr>
      <w:r>
        <w:t xml:space="preserve"/>
      </w:r>
    </w:p>
    <w:p>
      <w:pPr>
        <w:spacing w:before="80" w:after="120"/>
      </w:pPr>
      <w:r>
        <w:rPr>
          <w:rFonts w:ascii="Arial" w:cs="Arial" w:eastAsia="Arial" w:hAnsi="Arial"/>
          <w:color w:val="000000"/>
          <w:sz w:val="22"/>
          <w:szCs w:val="22"/>
        </w:rPr>
        <w:t xml:space="preserve">In scenario calculations, the suppression gain from the treatment arm is passed as a marginal delta above the baseline programme, so only genuine improvements above the status quo reduce infectious pressure. The baseline unsuppressed count (from the country’s reported percent_suppressed) is always the reference point.</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5. Calibration of Transmission Rates (β)</w:t>
      </w:r>
    </w:p>
    <w:p>
      <w:pPr>
        <w:pStyle w:val="Heading2"/>
        <w:spacing w:before="240" w:after="120"/>
      </w:pPr>
      <w:r>
        <w:rPr>
          <w:rFonts w:ascii="Arial" w:cs="Arial" w:eastAsia="Arial" w:hAnsi="Arial"/>
          <w:b/>
          <w:bCs/>
          <w:color w:val="2E75B6"/>
          <w:sz w:val="24"/>
          <w:szCs w:val="24"/>
        </w:rPr>
        <w:t xml:space="preserve">5.1 Principle</w:t>
      </w:r>
    </w:p>
    <w:p>
      <w:pPr>
        <w:spacing w:before="80" w:after="120"/>
      </w:pPr>
      <w:r>
        <w:rPr>
          <w:rFonts w:ascii="Arial" w:cs="Arial" w:eastAsia="Arial" w:hAnsi="Arial"/>
          <w:color w:val="000000"/>
          <w:sz w:val="22"/>
          <w:szCs w:val="22"/>
        </w:rPr>
        <w:t xml:space="preserve">Rather than assuming biological transmission probabilities from the literature, TIER back-calculates a stratum-specific β so that the model exactly reproduces the country’s reported new_infections_per_year at baseline. This means: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The model is always internally consistent with country-reported data, regardless of epidemic type.</w:t>
      </w:r>
    </w:p>
    <w:p>
      <w:pPr>
        <w:pStyle w:val="ListParagraph"/>
        <w:numPr>
          <w:ilvl w:val="0"/>
          <w:numId w:val="2"/>
        </w:numPr>
        <w:spacing w:before="60" w:after="60"/>
      </w:pPr>
      <w:r>
        <w:rPr>
          <w:rFonts w:ascii="Arial" w:cs="Arial" w:eastAsia="Arial" w:hAnsi="Arial"/>
          <w:sz w:val="22"/>
          <w:szCs w:val="22"/>
        </w:rPr>
        <w:t xml:space="preserve">No assumption is required about the “true” per-act or per-partnership transmission probability.</w:t>
      </w:r>
    </w:p>
    <w:p>
      <w:pPr>
        <w:pStyle w:val="ListParagraph"/>
        <w:numPr>
          <w:ilvl w:val="0"/>
          <w:numId w:val="2"/>
        </w:numPr>
        <w:spacing w:before="60" w:after="60"/>
      </w:pPr>
      <w:r>
        <w:rPr>
          <w:rFonts w:ascii="Arial" w:cs="Arial" w:eastAsia="Arial" w:hAnsi="Arial"/>
          <w:sz w:val="22"/>
          <w:szCs w:val="22"/>
        </w:rPr>
        <w:t xml:space="preserve">Countries with different epidemic intensities (Botswana vs Ethiopia, for example) automatically receive different β values without manual adjustment.</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5.2 Procedure</w:t>
      </w:r>
    </w:p>
    <w:p>
      <w:pPr>
        <w:spacing w:before="80" w:after="120"/>
      </w:pPr>
      <w:r>
        <w:rPr>
          <w:rFonts w:ascii="Arial" w:cs="Arial" w:eastAsia="Arial" w:hAnsi="Arial"/>
          <w:color w:val="000000"/>
          <w:sz w:val="22"/>
          <w:szCs w:val="22"/>
        </w:rPr>
        <w:t xml:space="preserve">Infections are first allocated across strata proportionally, using relative susceptibility weights that reflect the assumed risk differentials between groups: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BF3FA" w:val="clear"/>
            <w:tcMar>
              <w:top w:type="dxa" w:w="120"/>
              <w:left w:type="dxa" w:w="360"/>
              <w:bottom w:type="dxa" w:w="120"/>
              <w:right w:type="dxa" w:w="360"/>
            </w:tcMar>
          </w:tcPr>
          <w:p>
            <w:r>
              <w:rPr>
                <w:rFonts w:ascii="Courier New" w:cs="Courier New" w:eastAsia="Courier New" w:hAnsi="Courier New"/>
                <w:color w:val="1F3864"/>
                <w:sz w:val="20"/>
                <w:szCs w:val="20"/>
              </w:rPr>
              <w:t xml:space="preserve">weight_high          = rr_high × eff_high_risk
weight_gen_female    = 1.0    × eff_gen_female
weight_gen_male_unc  = 1.0    × eff_gen_male_uncirc
weight_gen_male_circ = (1 − vmmc_risk_reduction) × eff_gen_male_circ
frac(s) = weight(s) / sum(all weights)
infections(s) = new_infections_per_year × frac(s)</w:t>
            </w:r>
          </w:p>
        </w:tc>
      </w:tr>
    </w:tbl>
    <w:p>
      <w:pPr>
        <w:spacing w:before="80" w:after="80"/>
      </w:pPr>
      <w:r>
        <w:t xml:space="preserve"/>
      </w:r>
    </w:p>
    <w:p>
      <w:pPr>
        <w:spacing w:before="80" w:after="120"/>
      </w:pPr>
      <w:r>
        <w:rPr>
          <w:rFonts w:ascii="Arial" w:cs="Arial" w:eastAsia="Arial" w:hAnsi="Arial"/>
          <w:color w:val="000000"/>
          <w:sz w:val="22"/>
          <w:szCs w:val="22"/>
        </w:rPr>
        <w:t xml:space="preserve">Note that the effective population sizes used here (eff_*) are the stratum counts after applying baseline prevention coverage. This ensures β is calibrated as a biological rate — it reflects intrinsic transmission risk, not the net rate after programme coverage is applied.</w:t>
      </w:r>
    </w:p>
    <w:p>
      <w:pPr>
        <w:spacing w:before="80" w:after="80"/>
      </w:pPr>
      <w:r>
        <w:t xml:space="preserve"/>
      </w:r>
    </w:p>
    <w:p>
      <w:pPr>
        <w:spacing w:before="80" w:after="120"/>
      </w:pPr>
      <w:r>
        <w:rPr>
          <w:rFonts w:ascii="Arial" w:cs="Arial" w:eastAsia="Arial" w:hAnsi="Arial"/>
          <w:color w:val="000000"/>
          <w:sz w:val="22"/>
          <w:szCs w:val="22"/>
        </w:rPr>
        <w:t xml:space="preserve">β for each stratum is then derived by inverting the FOI equation:</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BF3FA" w:val="clear"/>
            <w:tcMar>
              <w:top w:type="dxa" w:w="120"/>
              <w:left w:type="dxa" w:w="360"/>
              <w:bottom w:type="dxa" w:w="120"/>
              <w:right w:type="dxa" w:w="360"/>
            </w:tcMar>
          </w:tcPr>
          <w:p>
            <w:r>
              <w:rPr>
                <w:rFonts w:ascii="Courier New" w:cs="Courier New" w:eastAsia="Courier New" w:hAnsi="Courier New"/>
                <w:color w:val="1F3864"/>
                <w:sz w:val="20"/>
                <w:szCs w:val="20"/>
              </w:rPr>
              <w:t xml:space="preserve">β(s) = infections(s) / (infectious_pressure × eff_susceptible(s))</w:t>
            </w:r>
          </w:p>
        </w:tc>
      </w:tr>
    </w:tbl>
    <w:p>
      <w:pPr>
        <w:spacing w:before="80" w:after="80"/>
      </w:pPr>
      <w:r>
        <w:t xml:space="preserve"/>
      </w:r>
    </w:p>
    <w:p>
      <w:pPr>
        <w:spacing w:before="80" w:after="120"/>
      </w:pPr>
      <w:r>
        <w:rPr>
          <w:rFonts w:ascii="Arial" w:cs="Arial" w:eastAsia="Arial" w:hAnsi="Arial"/>
          <w:color w:val="000000"/>
          <w:sz w:val="22"/>
          <w:szCs w:val="22"/>
        </w:rPr>
        <w:t xml:space="preserve">By construction, running the model with baseline prevention and zero suppression delta will always reproduce new_infections_per_year exactly.</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5.3 Baseline Prevention Anchoring</w:t>
      </w:r>
    </w:p>
    <w:p>
      <w:pPr>
        <w:spacing w:before="80" w:after="120"/>
      </w:pPr>
      <w:r>
        <w:rPr>
          <w:rFonts w:ascii="Arial" w:cs="Arial" w:eastAsia="Arial" w:hAnsi="Arial"/>
          <w:color w:val="000000"/>
          <w:sz w:val="22"/>
          <w:szCs w:val="22"/>
        </w:rPr>
        <w:t xml:space="preserve">A critical subtlety in the calibration is that β must be calibrated against the effective susceptible populations after baseline prevention — not raw population counts. Without this, applying baseline prevention at runtime would double-count the protection already absorbed into β, and the baseline scenario would produce far fewer infections than observed.</w:t>
      </w:r>
    </w:p>
    <w:p>
      <w:pPr>
        <w:spacing w:before="80" w:after="80"/>
      </w:pPr>
      <w:r>
        <w:t xml:space="preserve"/>
      </w:r>
    </w:p>
    <w:p>
      <w:pPr>
        <w:spacing w:before="80" w:after="120"/>
      </w:pPr>
      <w:r>
        <w:rPr>
          <w:rFonts w:ascii="Arial" w:cs="Arial" w:eastAsia="Arial" w:hAnsi="Arial"/>
          <w:color w:val="000000"/>
          <w:sz w:val="22"/>
          <w:szCs w:val="22"/>
        </w:rPr>
        <w:t xml:space="preserve">In practice this means: when the tool loads a country, it computes the baseline prevention adjustments from the baseline intervention inputs, applies them to the strata before calibrating β, and then runs each scenario with those same baseline interventions as the reference. Scenario results therefore always represent the marginal effect of changing interventions above or below the baseline programme level.</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6. Prevention Coverage Adjustments</w:t>
      </w:r>
    </w:p>
    <w:p>
      <w:pPr>
        <w:pStyle w:val="Heading2"/>
        <w:spacing w:before="240" w:after="120"/>
      </w:pPr>
      <w:r>
        <w:rPr>
          <w:rFonts w:ascii="Arial" w:cs="Arial" w:eastAsia="Arial" w:hAnsi="Arial"/>
          <w:b/>
          <w:bCs/>
          <w:color w:val="2E75B6"/>
          <w:sz w:val="24"/>
          <w:szCs w:val="24"/>
        </w:rPr>
        <w:t xml:space="preserve">6.1 General approach</w:t>
      </w:r>
    </w:p>
    <w:p>
      <w:pPr>
        <w:spacing w:before="80" w:after="120"/>
      </w:pPr>
      <w:r>
        <w:rPr>
          <w:rFonts w:ascii="Arial" w:cs="Arial" w:eastAsia="Arial" w:hAnsi="Arial"/>
          <w:color w:val="000000"/>
          <w:sz w:val="22"/>
          <w:szCs w:val="22"/>
        </w:rPr>
        <w:t xml:space="preserve">Each prevention intervention reduces the effective susceptible pool in one or more strata. When multiple interventions cover the same stratum, their effects are combined multiplicatively (not additively) to prevent double-counting:</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BF3FA" w:val="clear"/>
            <w:tcMar>
              <w:top w:type="dxa" w:w="120"/>
              <w:left w:type="dxa" w:w="360"/>
              <w:bottom w:type="dxa" w:w="120"/>
              <w:right w:type="dxa" w:w="360"/>
            </w:tcMar>
          </w:tcPr>
          <w:p>
            <w:r>
              <w:rPr>
                <w:rFonts w:ascii="Courier New" w:cs="Courier New" w:eastAsia="Courier New" w:hAnsi="Courier New"/>
                <w:color w:val="1F3864"/>
                <w:sz w:val="20"/>
                <w:szCs w:val="20"/>
              </w:rPr>
              <w:t xml:space="preserve">residual_risk(s) = ∏ over all interventions i: (1 − coverage_i(s) × efficacy_i)
protection(s) = 1 − residual_risk(s)</w:t>
            </w:r>
          </w:p>
        </w:tc>
      </w:tr>
    </w:tbl>
    <w:p>
      <w:pPr>
        <w:spacing w:before="80" w:after="80"/>
      </w:pPr>
      <w:r>
        <w:t xml:space="preserve"/>
      </w:r>
    </w:p>
    <w:p>
      <w:pPr>
        <w:spacing w:before="80" w:after="120"/>
      </w:pPr>
      <w:r>
        <w:rPr>
          <w:rFonts w:ascii="Arial" w:cs="Arial" w:eastAsia="Arial" w:hAnsi="Arial"/>
          <w:color w:val="000000"/>
          <w:sz w:val="22"/>
          <w:szCs w:val="22"/>
        </w:rPr>
        <w:t xml:space="preserve">Coverage for each intervention within a stratum is computed as the fraction of that stratum reached by the intervention, clipped to [0, 1]. Condom reach, for example, is distributed proportionally across strata according to stratum size.</w:t>
      </w:r>
    </w:p>
    <w:p>
      <w:pPr>
        <w:spacing w:before="80" w:after="80"/>
      </w:pPr>
      <w:r>
        <w:t xml:space="preserve"/>
      </w:r>
    </w:p>
    <w:p>
      <w:pPr>
        <w:pStyle w:val="Heading2"/>
        <w:spacing w:before="240" w:after="120"/>
      </w:pPr>
      <w:r>
        <w:rPr>
          <w:rFonts w:ascii="Arial" w:cs="Arial" w:eastAsia="Arial" w:hAnsi="Arial"/>
          <w:b/>
          <w:bCs/>
          <w:color w:val="2E75B6"/>
          <w:sz w:val="24"/>
          <w:szCs w:val="24"/>
        </w:rPr>
        <w:t xml:space="preserve">6.2 Intervention-to-stratum mapping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80"/>
        <w:gridCol w:w="1880"/>
      </w:tblGrid>
      <w:tr>
        <w:tc>
          <w:tcPr>
            <w:tcW w:type="dxa" w:w="24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16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High-risk</w:t>
            </w:r>
          </w:p>
        </w:tc>
        <w:tc>
          <w:tcPr>
            <w:tcW w:type="dxa" w:w="16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 female</w:t>
            </w:r>
          </w:p>
        </w:tc>
        <w:tc>
          <w:tcPr>
            <w:tcW w:type="dxa" w:w="188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Uncirc. male</w:t>
            </w:r>
          </w:p>
        </w:tc>
        <w:tc>
          <w:tcPr>
            <w:tcW w:type="dxa" w:w="188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Circ. male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Oral PrEP</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(primary)</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Lenacapavir PrEP</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 (primary)</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88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88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Condoms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(proportional)</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(proportional)</w:t>
            </w:r>
          </w:p>
        </w:tc>
        <w:tc>
          <w:tcPr>
            <w:tcW w:type="dxa" w:w="1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(proportional)</w:t>
            </w:r>
          </w:p>
        </w:tc>
        <w:tc>
          <w:tcPr>
            <w:tcW w:type="dxa" w:w="1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PEP</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 (50% share)</w:t>
            </w:r>
          </w:p>
        </w:tc>
        <w:tc>
          <w:tcPr>
            <w:tcW w:type="dxa" w:w="188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 (50% share)</w:t>
            </w:r>
          </w:p>
        </w:tc>
        <w:tc>
          <w:tcPr>
            <w:tcW w:type="dxa" w:w="188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VMMC</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Pool transfer → circ</w:t>
            </w:r>
          </w:p>
        </w:tc>
        <w:tc>
          <w:tcPr>
            <w:tcW w:type="dxa" w:w="18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Receives transfer</w:t>
            </w:r>
          </w:p>
        </w:tc>
      </w:tr>
    </w:tbl>
    <w:p>
      <w:pPr>
        <w:spacing w:before="80" w:after="80"/>
      </w:pPr>
      <w:r>
        <w:t xml:space="preserve"/>
      </w:r>
    </w:p>
    <w:p>
      <w:pPr>
        <w:pStyle w:val="Heading2"/>
        <w:spacing w:before="240" w:after="120"/>
      </w:pPr>
      <w:r>
        <w:rPr>
          <w:rFonts w:ascii="Arial" w:cs="Arial" w:eastAsia="Arial" w:hAnsi="Arial"/>
          <w:b/>
          <w:bCs/>
          <w:color w:val="2E75B6"/>
          <w:sz w:val="24"/>
          <w:szCs w:val="24"/>
        </w:rPr>
        <w:t xml:space="preserve">6.3 VMMC: pool transfer rather than coverage multiplier</w:t>
      </w:r>
    </w:p>
    <w:p>
      <w:pPr>
        <w:spacing w:before="80" w:after="120"/>
      </w:pPr>
      <w:r>
        <w:rPr>
          <w:rFonts w:ascii="Arial" w:cs="Arial" w:eastAsia="Arial" w:hAnsi="Arial"/>
          <w:color w:val="000000"/>
          <w:sz w:val="22"/>
          <w:szCs w:val="22"/>
        </w:rPr>
        <w:t xml:space="preserve">VMMC is handled differently from other prevention interventions. Rather than applying a fractional protection to the uncircumcised male stratum, VMMC physically moves men from the uncircumcised pool (which has a higher β) to the circumcised pool (which has a lower β by the vmmc_risk_reduction factor, default 60%).</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BF3FA" w:val="clear"/>
            <w:tcMar>
              <w:top w:type="dxa" w:w="120"/>
              <w:left w:type="dxa" w:w="360"/>
              <w:bottom w:type="dxa" w:w="120"/>
              <w:right w:type="dxa" w:w="360"/>
            </w:tcMar>
          </w:tcPr>
          <w:p>
            <w:r>
              <w:rPr>
                <w:rFonts w:ascii="Courier New" w:cs="Courier New" w:eastAsia="Courier New" w:hAnsi="Courier New"/>
                <w:color w:val="1F3864"/>
                <w:sz w:val="20"/>
                <w:szCs w:val="20"/>
              </w:rPr>
              <w:t xml:space="preserve">n_newly_circumcised  = min(vmmc_scenario, n_general_male_uncirc)
n_uncirc_effective   = n_general_male_uncirc − n_newly_circumcised
n_circ_effective     = n_general_male_circ   + n_newly_circumcised</w:t>
            </w:r>
          </w:p>
        </w:tc>
      </w:tr>
    </w:tbl>
    <w:p>
      <w:pPr>
        <w:spacing w:before="80" w:after="80"/>
      </w:pPr>
      <w:r>
        <w:t xml:space="preserve"/>
      </w:r>
    </w:p>
    <w:p>
      <w:pPr>
        <w:spacing w:before="80" w:after="120"/>
      </w:pPr>
      <w:r>
        <w:rPr>
          <w:rFonts w:ascii="Arial" w:cs="Arial" w:eastAsia="Arial" w:hAnsi="Arial"/>
          <w:color w:val="000000"/>
          <w:sz w:val="22"/>
          <w:szCs w:val="22"/>
        </w:rPr>
        <w:t xml:space="preserve">This approach is more mechanistically honest: the benefit of VMMC accrues to the men who receive it by moving them to a lower-risk biological category, rather than by reducing susceptibility of the remaining uncircumcised pool. It also means VMMC impact is naturally smaller in countries with already-high circumcision prevalence, because the eligible uncircumcised pool is smaller.</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7. Scenario Calculation</w:t>
      </w:r>
    </w:p>
    <w:p>
      <w:pPr>
        <w:spacing w:before="80" w:after="120"/>
      </w:pPr>
      <w:r>
        <w:rPr>
          <w:rFonts w:ascii="Arial" w:cs="Arial" w:eastAsia="Arial" w:hAnsi="Arial"/>
          <w:color w:val="000000"/>
          <w:sz w:val="22"/>
          <w:szCs w:val="22"/>
        </w:rPr>
        <w:t xml:space="preserve">For each scenario (baseline, Scenario 1, Scenario 2), new infections are calculated in five steps: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Partition the HIV-negative sexually active population into the four strata using the country’s demographic parameters.</w:t>
      </w:r>
    </w:p>
    <w:p>
      <w:pPr>
        <w:pStyle w:val="ListParagraph"/>
        <w:numPr>
          <w:ilvl w:val="0"/>
          <w:numId w:val="2"/>
        </w:numPr>
        <w:spacing w:before="60" w:after="60"/>
      </w:pPr>
      <w:r>
        <w:rPr>
          <w:rFonts w:ascii="Arial" w:cs="Arial" w:eastAsia="Arial" w:hAnsi="Arial"/>
          <w:sz w:val="22"/>
          <w:szCs w:val="22"/>
        </w:rPr>
        <w:t xml:space="preserve">Compute baseline prevention adjustments from the baseline intervention inputs, and calibrate β against the effective (prevention-adjusted) strata so the model reproduces new_infections_per_year exactly.</w:t>
      </w:r>
    </w:p>
    <w:p>
      <w:pPr>
        <w:pStyle w:val="ListParagraph"/>
        <w:numPr>
          <w:ilvl w:val="0"/>
          <w:numId w:val="2"/>
        </w:numPr>
        <w:spacing w:before="60" w:after="60"/>
      </w:pPr>
      <w:r>
        <w:rPr>
          <w:rFonts w:ascii="Arial" w:cs="Arial" w:eastAsia="Arial" w:hAnsi="Arial"/>
          <w:sz w:val="22"/>
          <w:szCs w:val="22"/>
        </w:rPr>
        <w:t xml:space="preserve">Compute scenario prevention adjustments from the scenario intervention inputs using the same prevention coverage logic.</w:t>
      </w:r>
    </w:p>
    <w:p>
      <w:pPr>
        <w:pStyle w:val="ListParagraph"/>
        <w:numPr>
          <w:ilvl w:val="0"/>
          <w:numId w:val="2"/>
        </w:numPr>
        <w:spacing w:before="60" w:after="60"/>
      </w:pPr>
      <w:r>
        <w:rPr>
          <w:rFonts w:ascii="Arial" w:cs="Arial" w:eastAsia="Arial" w:hAnsi="Arial"/>
          <w:sz w:val="22"/>
          <w:szCs w:val="22"/>
        </w:rPr>
        <w:t xml:space="preserve">Adjust the infectious pressure term for any marginal suppression gains the treatment cascade achieves above the baseline programme.</w:t>
      </w:r>
    </w:p>
    <w:p>
      <w:pPr>
        <w:pStyle w:val="ListParagraph"/>
        <w:numPr>
          <w:ilvl w:val="0"/>
          <w:numId w:val="2"/>
        </w:numPr>
        <w:spacing w:before="60" w:after="60"/>
      </w:pPr>
      <w:r>
        <w:rPr>
          <w:rFonts w:ascii="Arial" w:cs="Arial" w:eastAsia="Arial" w:hAnsi="Arial"/>
          <w:sz w:val="22"/>
          <w:szCs w:val="22"/>
        </w:rPr>
        <w:t xml:space="preserve">Apply the FOI equation to each stratum and sum across strata for total new infections.</w:t>
      </w:r>
    </w:p>
    <w:p>
      <w:pPr>
        <w:spacing w:before="80" w:after="80"/>
      </w:pPr>
      <w:r>
        <w:t xml:space="preserve"/>
      </w:r>
    </w:p>
    <w:p>
      <w:pPr>
        <w:spacing w:before="80" w:after="120"/>
      </w:pPr>
      <w:r>
        <w:rPr>
          <w:rFonts w:ascii="Arial" w:cs="Arial" w:eastAsia="Arial" w:hAnsi="Arial"/>
          <w:color w:val="000000"/>
          <w:sz w:val="22"/>
          <w:szCs w:val="22"/>
        </w:rPr>
        <w:t xml:space="preserve">For the baseline scenario, suppression delta is set to zero by definition — the baseline cascade state is the reference from which β was calibrated. For scale-up or scale-down scenarios, the marginal change in additional_suppressed relative to the baseline run is used as the suppression delta.</w:t>
      </w:r>
    </w:p>
    <w:p>
      <w:pPr>
        <w:spacing w:before="80" w:after="80"/>
      </w:pPr>
      <w:r>
        <w:t xml:space="preserve"/>
      </w:r>
    </w:p>
    <w:p>
      <w:pPr>
        <w:spacing w:before="80" w:after="120"/>
      </w:pPr>
      <w:r>
        <w:rPr>
          <w:rFonts w:ascii="Arial" w:cs="Arial" w:eastAsia="Arial" w:hAnsi="Arial"/>
          <w:color w:val="000000"/>
          <w:sz w:val="22"/>
          <w:szCs w:val="22"/>
        </w:rPr>
        <w:t xml:space="preserve">Infections averted is reported as:</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BF3FA" w:val="clear"/>
            <w:tcMar>
              <w:top w:type="dxa" w:w="120"/>
              <w:left w:type="dxa" w:w="360"/>
              <w:bottom w:type="dxa" w:w="120"/>
              <w:right w:type="dxa" w:w="360"/>
            </w:tcMar>
          </w:tcPr>
          <w:p>
            <w:r>
              <w:rPr>
                <w:rFonts w:ascii="Courier New" w:cs="Courier New" w:eastAsia="Courier New" w:hAnsi="Courier New"/>
                <w:color w:val="1F3864"/>
                <w:sz w:val="20"/>
                <w:szCs w:val="20"/>
              </w:rPr>
              <w:t xml:space="preserve">infections_averted = new_infections_per_year − end_new_infections_scenario</w:t>
            </w:r>
          </w:p>
        </w:tc>
      </w:tr>
    </w:tbl>
    <w:p>
      <w:pPr>
        <w:spacing w:before="80" w:after="80"/>
      </w:pPr>
      <w:r>
        <w:t xml:space="preserve"/>
      </w:r>
    </w:p>
    <w:p>
      <w:pPr>
        <w:spacing w:before="80" w:after="120"/>
      </w:pPr>
      <w:r>
        <w:rPr>
          <w:rFonts w:ascii="Arial" w:cs="Arial" w:eastAsia="Arial" w:hAnsi="Arial"/>
          <w:color w:val="000000"/>
          <w:sz w:val="22"/>
          <w:szCs w:val="22"/>
        </w:rPr>
        <w:t xml:space="preserve">This is always computed relative to the observed calibration-year baseline, not relative to another scenario, so it represents the total programme benefit above the unmodified programme.</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8. Calibration Validation</w:t>
      </w:r>
    </w:p>
    <w:p>
      <w:pPr>
        <w:spacing w:before="80" w:after="120"/>
      </w:pPr>
      <w:r>
        <w:rPr>
          <w:rFonts w:ascii="Arial" w:cs="Arial" w:eastAsia="Arial" w:hAnsi="Arial"/>
          <w:color w:val="000000"/>
          <w:sz w:val="22"/>
          <w:szCs w:val="22"/>
        </w:rPr>
        <w:t xml:space="preserve">After β is calibrated for a country, four automated checks are run to flag potentially inconsistent input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3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0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Most common cause if flagged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β bounds per stratum</w:t>
            </w:r>
          </w:p>
        </w:tc>
        <w:tc>
          <w:tcPr>
            <w:tcW w:type="dxa" w:w="2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High-risk: 0.05–3.0
General: 0.005–0.5
Circ. male: 0.001–0.2</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year mismatch between incidence and cascade coverage</w:t>
            </w:r>
          </w:p>
        </w:tc>
      </w:tr>
      <w:tr>
        <w:tc>
          <w:tcPr>
            <w:tcW w:type="dxa" w:w="30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Implied annual incidence</w:t>
            </w:r>
          </w:p>
        </w:tc>
        <w:tc>
          <w:tcPr>
            <w:tcW w:type="dxa" w:w="23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&lt;0.1% or &gt;5% among HIV-negative adults</w:t>
            </w:r>
          </w:p>
        </w:tc>
        <w:tc>
          <w:tcPr>
            <w:tcW w:type="dxa" w:w="40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Prevalence and incidence drawn from different sources or years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Infections-to-unsuppressed ratio</w:t>
            </w:r>
          </w:p>
        </w:tc>
        <w:tc>
          <w:tcPr>
            <w:tcW w:type="dxa" w:w="2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&gt;0.5 infections per unsuppressed PLHIV</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Suppression rate over-reported relative to incidence data</w:t>
            </w:r>
          </w:p>
        </w:tc>
      </w:tr>
      <w:tr>
        <w:tc>
          <w:tcPr>
            <w:tcW w:type="dxa" w:w="30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High-risk stratum concentration</w:t>
            </w:r>
          </w:p>
        </w:tc>
        <w:tc>
          <w:tcPr>
            <w:tcW w:type="dxa" w:w="23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&gt;80% of infections from &lt;10% of population</w:t>
            </w:r>
          </w:p>
        </w:tc>
        <w:tc>
          <w:tcPr>
            <w:tcW w:type="dxa" w:w="40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rr_high or prop_high_risk set implausibly high; recalibrate</w:t>
            </w:r>
          </w:p>
        </w:tc>
      </w:tr>
    </w:tbl>
    <w:p>
      <w:pPr>
        <w:spacing w:before="80" w:after="80"/>
      </w:pPr>
      <w:r>
        <w:t xml:space="preserve"/>
      </w:r>
    </w:p>
    <w:p>
      <w:pPr>
        <w:spacing w:before="80" w:after="120"/>
      </w:pPr>
      <w:r>
        <w:rPr>
          <w:rFonts w:ascii="Arial" w:cs="Arial" w:eastAsia="Arial" w:hAnsi="Arial"/>
          <w:color w:val="000000"/>
          <w:sz w:val="22"/>
          <w:szCs w:val="22"/>
        </w:rPr>
        <w:t xml:space="preserve">These checks do not prevent the model from running. They produce warnings in the console and, when the calibration panel UI element is implemented, a colour-coded panel in the Results tab. A green panel confirms that all checks pass; an amber panel lists specific flags for review.</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9. Key Parameters and Recommended Data 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60"/>
        <w:gridCol w:w="3800"/>
      </w:tblGrid>
      <w:tr>
        <w:tc>
          <w:tcPr>
            <w:tcW w:type="dxa" w:w="22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7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Country override</w:t>
            </w:r>
          </w:p>
        </w:tc>
        <w:tc>
          <w:tcPr>
            <w:tcW w:type="dxa" w:w="38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source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new_infections_per_year</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Country CSV</w:t>
            </w:r>
          </w:p>
        </w:tc>
        <w:tc>
          <w:tcPr>
            <w:tcW w:type="dxa" w:w="1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CSV column</w:t>
            </w:r>
          </w:p>
        </w:tc>
        <w:tc>
          <w:tcPr>
            <w:tcW w:type="dxa" w:w="3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UNAIDS Spectrum / Naomi estimates (most recent year)</w:t>
            </w:r>
          </w:p>
        </w:tc>
      </w:tr>
      <w:tr>
        <w:tc>
          <w:tcPr>
            <w:tcW w:type="dxa" w:w="22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prop_high_risk</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0.05</w:t>
            </w:r>
          </w:p>
        </w:tc>
        <w:tc>
          <w:tcPr>
            <w:tcW w:type="dxa" w:w="17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CSV column</w:t>
            </w:r>
          </w:p>
        </w:tc>
        <w:tc>
          <w:tcPr>
            <w:tcW w:type="dxa" w:w="38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UNAIDS KP Atlas size estimates × partner multiplier (~2×)</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rr_high</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8.0</w:t>
            </w:r>
          </w:p>
        </w:tc>
        <w:tc>
          <w:tcPr>
            <w:tcW w:type="dxa" w:w="1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CSV column</w:t>
            </w:r>
          </w:p>
        </w:tc>
        <w:tc>
          <w:tcPr>
            <w:tcW w:type="dxa" w:w="3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KP cohort incidence rate ratios vs general population DHS</w:t>
            </w:r>
          </w:p>
        </w:tc>
      </w:tr>
      <w:tr>
        <w:tc>
          <w:tcPr>
            <w:tcW w:type="dxa" w:w="22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circ_prevalence</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0.20</w:t>
            </w:r>
          </w:p>
        </w:tc>
        <w:tc>
          <w:tcPr>
            <w:tcW w:type="dxa" w:w="17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CSV column</w:t>
            </w:r>
          </w:p>
        </w:tc>
        <w:tc>
          <w:tcPr>
            <w:tcW w:type="dxa" w:w="38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National DHS or population-based surveys (male circumcision module)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vmmc_risk_reduction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0.60</w:t>
            </w:r>
          </w:p>
        </w:tc>
        <w:tc>
          <w:tcPr>
            <w:tcW w:type="dxa" w:w="1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Context field</w:t>
            </w:r>
          </w:p>
        </w:tc>
        <w:tc>
          <w:tcPr>
            <w:tcW w:type="dxa" w:w="3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Orange Farm / Kisumu / Rakai RCTs (meta-analytic estimate ~60%)</w:t>
            </w:r>
          </w:p>
        </w:tc>
      </w:tr>
      <w:tr>
        <w:tc>
          <w:tcPr>
            <w:tcW w:type="dxa" w:w="22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PrEP efficacy (oral)</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0.99</w:t>
            </w:r>
          </w:p>
        </w:tc>
        <w:tc>
          <w:tcPr>
            <w:tcW w:type="dxa" w:w="17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intervention_params</w:t>
            </w:r>
          </w:p>
        </w:tc>
        <w:tc>
          <w:tcPr>
            <w:tcW w:type="dxa" w:w="38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PROUD / IPERGAY / iPrEx (near-perfect with adherence)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PrEP efficacy (LEN)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1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intervention_params</w:t>
            </w:r>
          </w:p>
        </w:tc>
        <w:tc>
          <w:tcPr>
            <w:tcW w:type="dxa" w:w="3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PURPOSE 1/2 trials (0 infections in trial arm)</w:t>
            </w:r>
          </w:p>
        </w:tc>
      </w:tr>
      <w:tr>
        <w:tc>
          <w:tcPr>
            <w:tcW w:type="dxa" w:w="22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b/>
                <w:bCs/>
                <w:color w:val="000000"/>
                <w:sz w:val="20"/>
                <w:szCs w:val="20"/>
              </w:rPr>
              <w:t xml:space="preserve">Condom efficacy</w:t>
            </w:r>
          </w:p>
        </w:tc>
        <w:tc>
          <w:tcPr>
            <w:tcW w:type="dxa" w:w="16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0.80</w:t>
            </w:r>
          </w:p>
        </w:tc>
        <w:tc>
          <w:tcPr>
            <w:tcW w:type="dxa" w:w="176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intervention_params</w:t>
            </w:r>
          </w:p>
        </w:tc>
        <w:tc>
          <w:tcPr>
            <w:tcW w:type="dxa" w:w="3800"/>
            <w:tcBorders>
              <w:top w:val="single" w:color="BDD7EE" w:sz="1"/>
              <w:left w:val="single" w:color="BDD7EE" w:sz="1"/>
              <w:bottom w:val="single" w:color="BDD7EE" w:sz="1"/>
              <w:right w:val="single" w:color="BDD7EE" w:sz="1"/>
            </w:tcBorders>
            <w:shd w:fill="F2F8FD" w:val="clear"/>
            <w:tcMar>
              <w:top w:type="dxa" w:w="80"/>
              <w:left w:type="dxa" w:w="120"/>
              <w:bottom w:type="dxa" w:w="80"/>
              <w:right w:type="dxa" w:w="120"/>
            </w:tcMar>
          </w:tcPr>
          <w:p>
            <w:r>
              <w:rPr>
                <w:rFonts w:ascii="Arial" w:cs="Arial" w:eastAsia="Arial" w:hAnsi="Arial"/>
                <w:color w:val="000000"/>
                <w:sz w:val="20"/>
                <w:szCs w:val="20"/>
              </w:rPr>
              <w:t xml:space="preserve">Weller &amp; Davis Cochrane review (consistent use)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PEP efficacy</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0.80</w:t>
            </w:r>
          </w:p>
        </w:tc>
        <w:tc>
          <w:tcPr>
            <w:tcW w:type="dxa" w:w="1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intervention_params</w:t>
            </w:r>
          </w:p>
        </w:tc>
        <w:tc>
          <w:tcPr>
            <w:tcW w:type="dxa" w:w="3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Observational studies; approximate given limited RCT evidence</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28"/>
          <w:szCs w:val="28"/>
        </w:rPr>
        <w:t xml:space="preserve">10. Limitations and Assumptions</w:t>
      </w:r>
    </w:p>
    <w:p>
      <w:pPr>
        <w:spacing w:before="80" w:after="120"/>
      </w:pPr>
      <w:r>
        <w:rPr>
          <w:rFonts w:ascii="Arial" w:cs="Arial" w:eastAsia="Arial" w:hAnsi="Arial"/>
          <w:color w:val="000000"/>
          <w:sz w:val="22"/>
          <w:szCs w:val="22"/>
        </w:rPr>
        <w:t xml:space="preserve">The following simplifications should be borne in mind when interpreting results: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No sexual mixing matrix. The model assumes strata are internally homogeneous and does not capture bridge-population dynamics (e.g., KP transmitting to general-population partners). A mixing matrix would require country-specific assortativity parameters that are generally not available at national level.</w:t>
      </w:r>
    </w:p>
    <w:p>
      <w:pPr>
        <w:pStyle w:val="ListParagraph"/>
        <w:numPr>
          <w:ilvl w:val="0"/>
          <w:numId w:val="2"/>
        </w:numPr>
        <w:spacing w:before="60" w:after="60"/>
      </w:pPr>
      <w:r>
        <w:rPr>
          <w:rFonts w:ascii="Arial" w:cs="Arial" w:eastAsia="Arial" w:hAnsi="Arial"/>
          <w:sz w:val="22"/>
          <w:szCs w:val="22"/>
        </w:rPr>
        <w:t xml:space="preserve">Static, single-year model. The model estimates infections in a single year given a fixed cascade and intervention coverage. It does not simulate epidemic trajectories, population growth, or the downstream effects of current infections on future incidence.</w:t>
      </w:r>
    </w:p>
    <w:p>
      <w:pPr>
        <w:pStyle w:val="ListParagraph"/>
        <w:numPr>
          <w:ilvl w:val="0"/>
          <w:numId w:val="2"/>
        </w:numPr>
        <w:spacing w:before="60" w:after="60"/>
      </w:pPr>
      <w:r>
        <w:rPr>
          <w:rFonts w:ascii="Arial" w:cs="Arial" w:eastAsia="Arial" w:hAnsi="Arial"/>
          <w:sz w:val="22"/>
          <w:szCs w:val="22"/>
        </w:rPr>
        <w:t xml:space="preserve">Baseline calibration year. β is calibrated against new_infections_per_year, which should ideally correspond to the same year as the cascade coverage figures (percent_diagnosed, percent_on_art, percent_suppressed). If these come from different years or sources, the implied β values may be implausible — the calibration validation checks will flag this.</w:t>
      </w:r>
    </w:p>
    <w:p>
      <w:pPr>
        <w:pStyle w:val="ListParagraph"/>
        <w:numPr>
          <w:ilvl w:val="0"/>
          <w:numId w:val="2"/>
        </w:numPr>
        <w:spacing w:before="60" w:after="60"/>
      </w:pPr>
      <w:r>
        <w:rPr>
          <w:rFonts w:ascii="Arial" w:cs="Arial" w:eastAsia="Arial" w:hAnsi="Arial"/>
          <w:sz w:val="22"/>
          <w:szCs w:val="22"/>
        </w:rPr>
        <w:t xml:space="preserve">Prevention overlaps. FSW and MSM population size estimates from the KP Atlas may partially overlap, slightly inflating prop_high_risk. No standard correction is available at country level; a conservative partner multiplier (e.g. 1.5× rather than 2.0×) can partially compensate.</w:t>
      </w:r>
    </w:p>
    <w:p>
      <w:pPr>
        <w:pStyle w:val="ListParagraph"/>
        <w:numPr>
          <w:ilvl w:val="0"/>
          <w:numId w:val="2"/>
        </w:numPr>
        <w:spacing w:before="60" w:after="60"/>
      </w:pPr>
      <w:r>
        <w:rPr>
          <w:rFonts w:ascii="Arial" w:cs="Arial" w:eastAsia="Arial" w:hAnsi="Arial"/>
          <w:sz w:val="22"/>
          <w:szCs w:val="22"/>
        </w:rPr>
        <w:t xml:space="preserve">Infant infections. Mother-to-child transmission (MTCT) is modelled separately from the FOI module via a fixed MTCT rate applied to HIV-exposed infants, and is not affected by the adult transmission parameters described here.</w:t>
      </w:r>
    </w:p>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TIER — HIV Intervention Impact Calculator  |  Infection Methodology</w:t>
    </w:r>
    <w:r>
      <w:rPr>
        <w:rFonts w:ascii="Arial" w:cs="Arial" w:eastAsia="Arial" w:hAnsi="Arial"/>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2026-03-19T14:42:22.615Z</dcterms:created>
  <dcterms:modified xsi:type="dcterms:W3CDTF">2026-03-19T14:42:22.616Z</dcterms:modified>
</cp:coreProperties>
</file>

<file path=docProps/custom.xml><?xml version="1.0" encoding="utf-8"?>
<Properties xmlns="http://schemas.openxmlformats.org/officeDocument/2006/custom-properties" xmlns:vt="http://schemas.openxmlformats.org/officeDocument/2006/docPropsVTypes"/>
</file>