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50FF" w14:textId="5F8188C7" w:rsidR="00651F3A" w:rsidRDefault="00993FFD" w:rsidP="00BF06E8">
      <w:pPr>
        <w:spacing w:after="60"/>
        <w:jc w:val="both"/>
      </w:pPr>
      <w:r>
        <w:rPr>
          <w:b/>
          <w:bCs/>
          <w:color w:val="1F3864"/>
          <w:sz w:val="32"/>
          <w:szCs w:val="32"/>
        </w:rPr>
        <w:t>TIER-Plus — User Guide</w:t>
      </w:r>
    </w:p>
    <w:p w14:paraId="0A160DD2" w14:textId="77777777" w:rsidR="00651F3A" w:rsidRDefault="00000000" w:rsidP="00BF06E8">
      <w:pPr>
        <w:spacing w:after="160"/>
        <w:jc w:val="both"/>
      </w:pPr>
      <w:r>
        <w:rPr>
          <w:i/>
          <w:iCs/>
          <w:color w:val="595959"/>
        </w:rPr>
        <w:t>A decision-support tool for trade-off analysis in HIV service planning</w:t>
      </w:r>
    </w:p>
    <w:p w14:paraId="51E0AC65" w14:textId="57421FC9" w:rsidR="00993FFD" w:rsidRDefault="00993FFD" w:rsidP="00993FFD">
      <w:pPr>
        <w:pStyle w:val="Heading2"/>
        <w:spacing w:before="100" w:after="60"/>
        <w:jc w:val="both"/>
        <w:rPr>
          <w:b/>
          <w:bCs/>
          <w:color w:val="1F3864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>What is TIER-Plus</w:t>
      </w:r>
    </w:p>
    <w:p w14:paraId="71B71FE3" w14:textId="77448E9F" w:rsidR="00651F3A" w:rsidRDefault="00993FFD" w:rsidP="002978C4">
      <w:r>
        <w:t>TIER-Plus</w:t>
      </w:r>
      <w:r w:rsidR="002F2217">
        <w:t xml:space="preserve"> </w:t>
      </w:r>
      <w:r w:rsidR="002F1EAF">
        <w:t xml:space="preserve">is an extension of the original TIER prioritization tool. It aims to enable stakeholders to compare outcome and cost trade-offs across HIV interventions though an accessible, interactive platform.  </w:t>
      </w:r>
      <w:r>
        <w:t>It takes a current programme picture and lets the user vary the volume of intervention</w:t>
      </w:r>
      <w:r w:rsidR="006800A7">
        <w:t>s</w:t>
      </w:r>
      <w:r>
        <w:t xml:space="preserve"> to </w:t>
      </w:r>
      <w:r w:rsidR="00BA6BE0">
        <w:t>compare</w:t>
      </w:r>
      <w:r>
        <w:t xml:space="preserve"> how cascade outcomes</w:t>
      </w:r>
      <w:r w:rsidR="00FD09BD">
        <w:t xml:space="preserve">, </w:t>
      </w:r>
      <w:r>
        <w:t xml:space="preserve">new infections, deaths, and total cost are </w:t>
      </w:r>
      <w:r w:rsidR="00FD09BD">
        <w:t>expected</w:t>
      </w:r>
      <w:r>
        <w:t xml:space="preserve"> to move in response.</w:t>
      </w:r>
      <w:r w:rsidR="009F2D62">
        <w:t xml:space="preserve"> </w:t>
      </w:r>
    </w:p>
    <w:p w14:paraId="0BE86777" w14:textId="77777777" w:rsidR="002978C4" w:rsidRDefault="002978C4" w:rsidP="002978C4"/>
    <w:p w14:paraId="0D446D7F" w14:textId="4BCADBF1" w:rsidR="00651F3A" w:rsidRPr="0053559E" w:rsidRDefault="00000000" w:rsidP="00BF06E8">
      <w:pPr>
        <w:spacing w:after="80" w:line="260" w:lineRule="auto"/>
        <w:jc w:val="both"/>
      </w:pPr>
      <w:r>
        <w:rPr>
          <w:b/>
          <w:bCs/>
        </w:rPr>
        <w:t xml:space="preserve">Important: </w:t>
      </w:r>
      <w:r w:rsidR="00D831C1">
        <w:rPr>
          <w:b/>
          <w:bCs/>
        </w:rPr>
        <w:t xml:space="preserve">Tier-Plus is intended as a support tool for prioritization </w:t>
      </w:r>
      <w:r w:rsidR="00694204">
        <w:rPr>
          <w:b/>
          <w:bCs/>
        </w:rPr>
        <w:t xml:space="preserve">conversations. </w:t>
      </w:r>
      <w:r w:rsidR="00694204">
        <w:t>As such,</w:t>
      </w:r>
      <w:r w:rsidR="00D831C1">
        <w:rPr>
          <w:b/>
          <w:bCs/>
        </w:rPr>
        <w:t xml:space="preserve"> </w:t>
      </w:r>
      <w:r>
        <w:t xml:space="preserve">the tool is </w:t>
      </w:r>
      <w:r>
        <w:rPr>
          <w:i/>
          <w:iCs/>
        </w:rPr>
        <w:t>indicative</w:t>
      </w:r>
      <w:r w:rsidR="00D831C1">
        <w:rPr>
          <w:i/>
          <w:iCs/>
        </w:rPr>
        <w:t xml:space="preserve"> </w:t>
      </w:r>
      <w:r>
        <w:t>of the direction and rough magnitude of impact of different choices.</w:t>
      </w:r>
      <w:r w:rsidR="00742048">
        <w:t xml:space="preserve"> To make the tool quick and easy to use, and applicable across many contexts, it does not have the full complexity of </w:t>
      </w:r>
      <w:r w:rsidR="00BA6BE0">
        <w:t>other modelling tool</w:t>
      </w:r>
      <w:r w:rsidR="0053559E">
        <w:t xml:space="preserve">s. </w:t>
      </w:r>
      <w:r>
        <w:t>Specific numbers used for budgeting, target-setting, or operational planning should come from country-led processes</w:t>
      </w:r>
      <w:r w:rsidR="00B25D16">
        <w:t>, with decision</w:t>
      </w:r>
      <w:r w:rsidR="00EC7EDE">
        <w:t>s</w:t>
      </w:r>
      <w:r w:rsidR="00B25D16">
        <w:t xml:space="preserve"> supported by this tool.</w:t>
      </w:r>
    </w:p>
    <w:p w14:paraId="15296A1F" w14:textId="77777777" w:rsidR="00651F3A" w:rsidRDefault="00000000" w:rsidP="00BF06E8">
      <w:pPr>
        <w:pStyle w:val="Heading2"/>
        <w:spacing w:before="100" w:after="60"/>
        <w:jc w:val="both"/>
      </w:pPr>
      <w:r>
        <w:rPr>
          <w:b/>
          <w:bCs/>
          <w:color w:val="1F3864"/>
          <w:sz w:val="22"/>
          <w:szCs w:val="22"/>
        </w:rPr>
        <w:t>How to use the tool</w:t>
      </w:r>
    </w:p>
    <w:p w14:paraId="70D8D796" w14:textId="09C38888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1. Set the country context. </w:t>
      </w:r>
      <w:r>
        <w:t>Enter or confirm population</w:t>
      </w:r>
      <w:r w:rsidR="00337F15">
        <w:t xml:space="preserve"> and </w:t>
      </w:r>
      <w:r w:rsidR="00CC5DA2">
        <w:t xml:space="preserve">current 95-targets </w:t>
      </w:r>
      <w:r>
        <w:t>(diagnosed, on ART, suppressed)</w:t>
      </w:r>
      <w:r w:rsidR="00CC5DA2">
        <w:t xml:space="preserve"> </w:t>
      </w:r>
      <w:r>
        <w:t>in the most recent reporting year</w:t>
      </w:r>
      <w:r w:rsidR="001528EC">
        <w:t>.</w:t>
      </w:r>
    </w:p>
    <w:p w14:paraId="49D39BC3" w14:textId="706940F5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2. Enter the baseline scenario. </w:t>
      </w:r>
      <w:r>
        <w:t>Populate each intervention with the volume</w:t>
      </w:r>
      <w:r w:rsidR="00902556">
        <w:t xml:space="preserve"> and coverage of services</w:t>
      </w:r>
      <w:r>
        <w:t xml:space="preserve"> delivered in the year prior (see “What the baseline represents” below). </w:t>
      </w:r>
    </w:p>
    <w:p w14:paraId="560B74DC" w14:textId="1377111A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3. Build a scenario. </w:t>
      </w:r>
      <w:r>
        <w:t>Adjust intervention volumes up or down from baseline. You can scale things in either direction.</w:t>
      </w:r>
    </w:p>
    <w:p w14:paraId="108F00C7" w14:textId="37D9870B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4. Compare. </w:t>
      </w:r>
      <w:r>
        <w:t xml:space="preserve">The output shows the </w:t>
      </w:r>
      <w:r w:rsidR="00FE77B4">
        <w:t xml:space="preserve">estimated </w:t>
      </w:r>
      <w:r>
        <w:t>difference</w:t>
      </w:r>
      <w:r w:rsidR="00FE77B4">
        <w:t xml:space="preserve">s between each scenario and baseline. This includes the 95-targets, expected infections, </w:t>
      </w:r>
      <w:r w:rsidR="001B7EE9">
        <w:t>infant</w:t>
      </w:r>
      <w:r w:rsidR="00FE77B4">
        <w:t xml:space="preserve"> infections</w:t>
      </w:r>
      <w:r w:rsidR="001B7EE9">
        <w:t>, deaths and budget.</w:t>
      </w:r>
      <w:r>
        <w:t xml:space="preserve"> Positive “infections averted” and “deaths averted” mean the scenario outperforms baseline. Negative values mean it does worse </w:t>
      </w:r>
      <w:r w:rsidR="0018522C">
        <w:t>-</w:t>
      </w:r>
      <w:r>
        <w:t xml:space="preserve"> useful for testing budget-cut scenarios.</w:t>
      </w:r>
    </w:p>
    <w:p w14:paraId="591D9880" w14:textId="77777777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5. Iterate. </w:t>
      </w:r>
      <w:r>
        <w:t>Run several scenarios side-by-side to see where additional money buys the most impact and where cuts are least harmful.</w:t>
      </w:r>
    </w:p>
    <w:p w14:paraId="5F7047E8" w14:textId="77777777" w:rsidR="00651F3A" w:rsidRDefault="00000000" w:rsidP="00BF06E8">
      <w:pPr>
        <w:pStyle w:val="Heading2"/>
        <w:spacing w:before="100" w:after="60"/>
        <w:jc w:val="both"/>
      </w:pPr>
      <w:r>
        <w:rPr>
          <w:b/>
          <w:bCs/>
          <w:color w:val="1F3864"/>
          <w:sz w:val="22"/>
          <w:szCs w:val="22"/>
        </w:rPr>
        <w:t>What the baseline scenario coverage represents</w:t>
      </w:r>
    </w:p>
    <w:p w14:paraId="5A281323" w14:textId="01EAE4F7" w:rsidR="00651F3A" w:rsidRDefault="00490543" w:rsidP="00BF06E8">
      <w:pPr>
        <w:spacing w:after="80" w:line="260" w:lineRule="auto"/>
        <w:jc w:val="both"/>
      </w:pPr>
      <w:r w:rsidRPr="00490543">
        <w:t xml:space="preserve">Baseline coverage values should reflect what was delivered in the most recent year. It serves as a reference point against which alternative scenarios can be compared - </w:t>
      </w:r>
      <w:r w:rsidR="009C4B85" w:rsidRPr="00490543">
        <w:t>i.e.</w:t>
      </w:r>
      <w:r w:rsidRPr="00490543">
        <w:t xml:space="preserve"> if we had the same implementation as last year what impact can we expect and how might this differ with alternative services. Additionally, baseline data is </w:t>
      </w:r>
      <w:r w:rsidR="009C4B85" w:rsidRPr="00490543">
        <w:t>incorporated</w:t>
      </w:r>
      <w:r w:rsidRPr="00490543">
        <w:t xml:space="preserve"> for model calibration, and hence serves an important </w:t>
      </w:r>
      <w:r w:rsidR="009C4B85" w:rsidRPr="00490543">
        <w:t>purpose</w:t>
      </w:r>
      <w:r w:rsidRPr="00490543">
        <w:t>.</w:t>
      </w:r>
      <w:r w:rsidR="009C4B85">
        <w:t xml:space="preserve"> </w:t>
      </w:r>
      <w:r>
        <w:t>All numerical inputs are annual counts of people reached / units delivered, except where the input is explicitly described as a percentage.</w:t>
      </w:r>
    </w:p>
    <w:p w14:paraId="4E7319C7" w14:textId="2C2291C5" w:rsidR="00651F3A" w:rsidRDefault="00BC29F7" w:rsidP="00BF06E8">
      <w:pPr>
        <w:pStyle w:val="Heading2"/>
        <w:spacing w:before="100" w:after="60"/>
        <w:jc w:val="both"/>
      </w:pPr>
      <w:r>
        <w:rPr>
          <w:b/>
          <w:bCs/>
          <w:color w:val="1F3864"/>
          <w:sz w:val="22"/>
          <w:szCs w:val="22"/>
        </w:rPr>
        <w:t>Intervention definitions and data requirements</w:t>
      </w:r>
    </w:p>
    <w:p w14:paraId="30B0CEFF" w14:textId="77777777" w:rsidR="00651F3A" w:rsidRDefault="00000000" w:rsidP="00BF06E8">
      <w:pPr>
        <w:spacing w:after="40" w:line="260" w:lineRule="auto"/>
        <w:jc w:val="both"/>
      </w:pPr>
      <w:r>
        <w:rPr>
          <w:b/>
          <w:bCs/>
          <w:color w:val="1F3864"/>
        </w:rPr>
        <w:t>Prevention</w:t>
      </w:r>
    </w:p>
    <w:p w14:paraId="0A01CF1A" w14:textId="3D729D3A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Oral </w:t>
      </w:r>
      <w:proofErr w:type="spellStart"/>
      <w:r>
        <w:rPr>
          <w:b/>
          <w:bCs/>
        </w:rPr>
        <w:t>PrEP</w:t>
      </w:r>
      <w:proofErr w:type="spellEnd"/>
      <w:r>
        <w:rPr>
          <w:b/>
          <w:bCs/>
        </w:rPr>
        <w:t xml:space="preserve"> — </w:t>
      </w:r>
      <w:r>
        <w:t xml:space="preserve">Number of </w:t>
      </w:r>
      <w:r w:rsidR="00BC29F7">
        <w:t xml:space="preserve">individuals </w:t>
      </w:r>
      <w:r w:rsidR="00B77C83">
        <w:t xml:space="preserve">currently receiving and/or </w:t>
      </w:r>
      <w:r w:rsidR="00BC29F7">
        <w:t xml:space="preserve">initiated on </w:t>
      </w:r>
      <w:r>
        <w:t xml:space="preserve">oral </w:t>
      </w:r>
      <w:proofErr w:type="spellStart"/>
      <w:r>
        <w:t>PrEP.</w:t>
      </w:r>
      <w:proofErr w:type="spellEnd"/>
      <w:r>
        <w:t xml:space="preserve"> </w:t>
      </w:r>
    </w:p>
    <w:p w14:paraId="0272D059" w14:textId="5752B491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Long-acting </w:t>
      </w:r>
      <w:proofErr w:type="spellStart"/>
      <w:r>
        <w:rPr>
          <w:b/>
          <w:bCs/>
        </w:rPr>
        <w:t>PrEP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lenacapavir</w:t>
      </w:r>
      <w:proofErr w:type="spellEnd"/>
      <w:r>
        <w:rPr>
          <w:b/>
          <w:bCs/>
        </w:rPr>
        <w:t xml:space="preserve">) — </w:t>
      </w:r>
      <w:r w:rsidR="00B77C83">
        <w:t xml:space="preserve">Number of individuals currently receiving and/or initiated on </w:t>
      </w:r>
      <w:r>
        <w:t xml:space="preserve">long-acting injectable </w:t>
      </w:r>
      <w:proofErr w:type="spellStart"/>
      <w:r>
        <w:t>PrEP.</w:t>
      </w:r>
      <w:proofErr w:type="spellEnd"/>
    </w:p>
    <w:p w14:paraId="09AF86C8" w14:textId="1AE61178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Condoms — </w:t>
      </w:r>
      <w:r>
        <w:t xml:space="preserve">Total number of condoms distributed in the year. </w:t>
      </w:r>
    </w:p>
    <w:p w14:paraId="2DD24CB9" w14:textId="1CF53A49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VMMC — </w:t>
      </w:r>
      <w:r>
        <w:t xml:space="preserve">Voluntary medical male circumcisions performed in the year. </w:t>
      </w:r>
    </w:p>
    <w:p w14:paraId="6E1C7D76" w14:textId="1E030712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Infant prophylaxis — </w:t>
      </w:r>
      <w:r w:rsidR="009C3360">
        <w:t>Percentage of</w:t>
      </w:r>
      <w:r>
        <w:t xml:space="preserve"> HIV-exposed infants receiving </w:t>
      </w:r>
      <w:r w:rsidR="00082C1A">
        <w:t xml:space="preserve">HIV </w:t>
      </w:r>
      <w:r>
        <w:t>prophylaxis (e.g. NVP)</w:t>
      </w:r>
      <w:r w:rsidR="00082C1A">
        <w:t xml:space="preserve"> to reduce vertical transmission.</w:t>
      </w:r>
    </w:p>
    <w:p w14:paraId="56060530" w14:textId="77777777" w:rsidR="00651F3A" w:rsidRDefault="00000000" w:rsidP="00BF06E8">
      <w:pPr>
        <w:spacing w:before="80" w:after="40" w:line="260" w:lineRule="auto"/>
        <w:jc w:val="both"/>
      </w:pPr>
      <w:r>
        <w:rPr>
          <w:b/>
          <w:bCs/>
          <w:color w:val="1F3864"/>
        </w:rPr>
        <w:t>Testing and diagnosis</w:t>
      </w:r>
    </w:p>
    <w:p w14:paraId="4001DCE0" w14:textId="4D2E40C8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Facility-based testing (general) — </w:t>
      </w:r>
      <w:r w:rsidR="0093122A">
        <w:t xml:space="preserve">Number of </w:t>
      </w:r>
      <w:r>
        <w:t xml:space="preserve">HIV tests performed at health facilities </w:t>
      </w:r>
      <w:r w:rsidR="00ED6353">
        <w:t xml:space="preserve">(excl. </w:t>
      </w:r>
      <w:r>
        <w:t>ANC</w:t>
      </w:r>
      <w:r w:rsidR="00ED6353">
        <w:t>)</w:t>
      </w:r>
    </w:p>
    <w:p w14:paraId="2283606F" w14:textId="56998CA1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Community testing — </w:t>
      </w:r>
      <w:r w:rsidR="0093122A" w:rsidRPr="0093122A">
        <w:t>Number of</w:t>
      </w:r>
      <w:r w:rsidR="0093122A">
        <w:rPr>
          <w:b/>
          <w:bCs/>
        </w:rPr>
        <w:t xml:space="preserve"> </w:t>
      </w:r>
      <w:r>
        <w:t xml:space="preserve">HIV tests performed in community settings. </w:t>
      </w:r>
    </w:p>
    <w:p w14:paraId="25173ABF" w14:textId="54196ED9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Index testing — </w:t>
      </w:r>
      <w:r w:rsidR="0093122A" w:rsidRPr="00F5211D">
        <w:t>Number of tests conducted among partners</w:t>
      </w:r>
      <w:r w:rsidR="00F5211D" w:rsidRPr="00F5211D">
        <w:t xml:space="preserve"> of </w:t>
      </w:r>
      <w:r w:rsidRPr="00F5211D">
        <w:t xml:space="preserve">newly-diagnosed </w:t>
      </w:r>
      <w:r w:rsidR="00D70A45">
        <w:t>p</w:t>
      </w:r>
      <w:r w:rsidR="00F5211D">
        <w:t>eople living with HIV</w:t>
      </w:r>
    </w:p>
    <w:p w14:paraId="421D9EA3" w14:textId="67DDB90D" w:rsidR="00F4278B" w:rsidRDefault="00F4278B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>Key populations:</w:t>
      </w:r>
      <w:r>
        <w:t xml:space="preserve"> Number of HIV tests performed </w:t>
      </w:r>
      <w:r w:rsidR="004D7547">
        <w:t xml:space="preserve">among key populations </w:t>
      </w:r>
      <w:r w:rsidR="00745D0A">
        <w:t xml:space="preserve">or through STI serviced </w:t>
      </w:r>
      <w:r w:rsidR="004D7547">
        <w:t>(</w:t>
      </w:r>
      <w:r w:rsidR="00745D0A">
        <w:t xml:space="preserve">excluding adolescents).  </w:t>
      </w:r>
    </w:p>
    <w:p w14:paraId="1688110C" w14:textId="50DD7278" w:rsidR="00A90CFF" w:rsidRDefault="00A90CFF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>Facility HIVST:</w:t>
      </w:r>
      <w:r>
        <w:t xml:space="preserve"> Number of HIV self-tests distributed at facilities.</w:t>
      </w:r>
    </w:p>
    <w:p w14:paraId="4CF6E636" w14:textId="2A0E4343" w:rsidR="00A90CFF" w:rsidRDefault="00A90CFF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Community’s HIVSTs: </w:t>
      </w:r>
      <w:r>
        <w:t>Number of HIV self-tests distributed in the community.</w:t>
      </w:r>
    </w:p>
    <w:p w14:paraId="229C7DC7" w14:textId="12F0411E" w:rsidR="001168E8" w:rsidRDefault="001168E8" w:rsidP="001168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Early Infant Diagnosis (EID) — </w:t>
      </w:r>
      <w:r w:rsidRPr="001168E8">
        <w:t>Percentage of HIV exposed infants receiving HIV testing.</w:t>
      </w:r>
      <w:r>
        <w:rPr>
          <w:b/>
          <w:bCs/>
        </w:rPr>
        <w:t xml:space="preserve"> </w:t>
      </w:r>
    </w:p>
    <w:p w14:paraId="0735829D" w14:textId="2C9E03A6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ANC HIV testing — </w:t>
      </w:r>
      <w:r w:rsidR="00A90CFF">
        <w:t>Percentage of pregnant women receiving ANC HIV testing.</w:t>
      </w:r>
    </w:p>
    <w:p w14:paraId="66CBD7E9" w14:textId="00C1C248" w:rsidR="00A90CFF" w:rsidRDefault="00A90CFF" w:rsidP="00A90CFF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lastRenderedPageBreak/>
        <w:t>P</w:t>
      </w:r>
      <w:r w:rsidRPr="00A90CFF">
        <w:rPr>
          <w:b/>
          <w:bCs/>
        </w:rPr>
        <w:t xml:space="preserve">NC HIV testing — </w:t>
      </w:r>
      <w:r>
        <w:t xml:space="preserve">Percentage of </w:t>
      </w:r>
      <w:r w:rsidR="0078237D">
        <w:t>postpartum</w:t>
      </w:r>
      <w:r>
        <w:t xml:space="preserve"> women</w:t>
      </w:r>
      <w:r w:rsidR="0078237D">
        <w:t xml:space="preserve"> (not known to be living with HIV)</w:t>
      </w:r>
      <w:r>
        <w:t xml:space="preserve"> receiving PNC HIV testing.</w:t>
      </w:r>
    </w:p>
    <w:p w14:paraId="7F4D1DFC" w14:textId="77777777" w:rsidR="00651F3A" w:rsidRDefault="00000000" w:rsidP="00BF06E8">
      <w:pPr>
        <w:spacing w:before="80" w:after="40" w:line="260" w:lineRule="auto"/>
        <w:jc w:val="both"/>
      </w:pPr>
      <w:r>
        <w:rPr>
          <w:b/>
          <w:bCs/>
          <w:color w:val="1F3864"/>
        </w:rPr>
        <w:t>Treatment, retention and monitoring</w:t>
      </w:r>
    </w:p>
    <w:p w14:paraId="6649619F" w14:textId="2B28FF64" w:rsidR="00003EB1" w:rsidRDefault="00003EB1" w:rsidP="00003EB1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Routine VL monitoring — </w:t>
      </w:r>
      <w:r>
        <w:t>Percentage of people on ART receiving routine viral load testing.</w:t>
      </w:r>
    </w:p>
    <w:p w14:paraId="17C30063" w14:textId="4CD8F920" w:rsidR="00C75C54" w:rsidRPr="00003EB1" w:rsidRDefault="00C75C54" w:rsidP="00C75C5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ANC and PNC VL testing — </w:t>
      </w:r>
      <w:r w:rsidR="008D6B90" w:rsidRPr="008D6B90">
        <w:t>Coverage of pregnant and postpartum women living with HIV who receive viral load testing.</w:t>
      </w:r>
      <w:r w:rsidR="008D6B90">
        <w:rPr>
          <w:b/>
          <w:bCs/>
        </w:rPr>
        <w:t xml:space="preserve"> </w:t>
      </w:r>
    </w:p>
    <w:p w14:paraId="4C843C6A" w14:textId="024778A3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>Multi-month dispensing / DSD (3-month, 6-month</w:t>
      </w:r>
      <w:r w:rsidR="00EB31A5">
        <w:rPr>
          <w:b/>
          <w:bCs/>
        </w:rPr>
        <w:t>, 12-month, ART pick-ups</w:t>
      </w:r>
      <w:r>
        <w:rPr>
          <w:b/>
          <w:bCs/>
        </w:rPr>
        <w:t xml:space="preserve">) — </w:t>
      </w:r>
      <w:r>
        <w:t xml:space="preserve">Number of stable ART clients enrolled in differentiated service delivery. </w:t>
      </w:r>
    </w:p>
    <w:p w14:paraId="31AB4355" w14:textId="013F15BB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Enhanced Adherence Counselling (EAC) — </w:t>
      </w:r>
      <w:r w:rsidR="00854C37">
        <w:t xml:space="preserve">Percentage of individuals identified as unsuppressed (through a recent viral load) </w:t>
      </w:r>
      <w:r w:rsidR="00BF0597">
        <w:t>receiving advanced adherence counselling</w:t>
      </w:r>
    </w:p>
    <w:p w14:paraId="298D2136" w14:textId="77777777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Tracking and tracing — </w:t>
      </w:r>
      <w:r>
        <w:t>Outreach to people lost to follow-up to bring them back into care. Applied after DSD has already prevented some LTFU, against the remaining LTFU pool.</w:t>
      </w:r>
    </w:p>
    <w:p w14:paraId="263FE085" w14:textId="77777777" w:rsidR="00651F3A" w:rsidRDefault="00000000" w:rsidP="00BF06E8">
      <w:pPr>
        <w:spacing w:before="80" w:after="40" w:line="260" w:lineRule="auto"/>
        <w:jc w:val="both"/>
      </w:pPr>
      <w:r>
        <w:rPr>
          <w:b/>
          <w:bCs/>
          <w:color w:val="1F3864"/>
        </w:rPr>
        <w:t>Advanced HIV disease</w:t>
      </w:r>
    </w:p>
    <w:p w14:paraId="7B95283A" w14:textId="3B075DE0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>CD4 testing —</w:t>
      </w:r>
      <w:r w:rsidR="0053304F">
        <w:rPr>
          <w:b/>
          <w:bCs/>
        </w:rPr>
        <w:t xml:space="preserve"> Coverage of</w:t>
      </w:r>
      <w:r>
        <w:rPr>
          <w:b/>
          <w:bCs/>
        </w:rPr>
        <w:t xml:space="preserve"> </w:t>
      </w:r>
      <w:r>
        <w:t xml:space="preserve">CD4 testing </w:t>
      </w:r>
      <w:r w:rsidR="0053304F">
        <w:t xml:space="preserve">among </w:t>
      </w:r>
      <w:r w:rsidR="0051283A">
        <w:t>individuals</w:t>
      </w:r>
      <w:r w:rsidR="0053304F">
        <w:t xml:space="preserve"> initiating </w:t>
      </w:r>
      <w:r w:rsidR="0051283A">
        <w:t>ART</w:t>
      </w:r>
      <w:r>
        <w:t xml:space="preserve"> at ART to identify advanced disease. Required to “unlock” the AHD package</w:t>
      </w:r>
      <w:r w:rsidR="0051283A">
        <w:t xml:space="preserve">. </w:t>
      </w:r>
    </w:p>
    <w:p w14:paraId="24353813" w14:textId="67361639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  <w:bCs/>
        </w:rPr>
        <w:t xml:space="preserve">AHD package — </w:t>
      </w:r>
      <w:r>
        <w:t xml:space="preserve">Number of AHD-diagnosed clients receiving the package of care. </w:t>
      </w:r>
    </w:p>
    <w:p w14:paraId="28B5063F" w14:textId="77777777" w:rsidR="00651F3A" w:rsidRDefault="00000000" w:rsidP="00BF06E8">
      <w:pPr>
        <w:pStyle w:val="Heading2"/>
        <w:spacing w:before="100" w:after="60"/>
        <w:jc w:val="both"/>
      </w:pPr>
      <w:r>
        <w:rPr>
          <w:b/>
          <w:bCs/>
          <w:color w:val="1F3864"/>
          <w:sz w:val="22"/>
          <w:szCs w:val="22"/>
        </w:rPr>
        <w:t>What the tool does not do</w:t>
      </w:r>
    </w:p>
    <w:p w14:paraId="43BD7474" w14:textId="77777777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It does not project multi-year dynamics; each run is a single-year calculation.</w:t>
      </w:r>
    </w:p>
    <w:p w14:paraId="5629709D" w14:textId="464CE3D4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It does not model resistance, age structure</w:t>
      </w:r>
      <w:r w:rsidR="006163BF">
        <w:t xml:space="preserve">, </w:t>
      </w:r>
      <w:r>
        <w:t>or sub-national heterogeneity.</w:t>
      </w:r>
    </w:p>
    <w:p w14:paraId="0ED21526" w14:textId="77777777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It does not optimise; it calculates the consequences of a chosen mix, leaving the decision to the user.</w:t>
      </w:r>
    </w:p>
    <w:p w14:paraId="2C820BAD" w14:textId="65FC92C8" w:rsidR="00651F3A" w:rsidRDefault="00000000" w:rsidP="00BF06E8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 xml:space="preserve">It </w:t>
      </w:r>
      <w:r w:rsidR="004D17F8">
        <w:t xml:space="preserve">represents a complementary tool </w:t>
      </w:r>
      <w:r>
        <w:t xml:space="preserve">complement </w:t>
      </w:r>
      <w:r w:rsidR="004D17F8">
        <w:t>for</w:t>
      </w:r>
      <w:r>
        <w:t xml:space="preserve"> country-led analysis and </w:t>
      </w:r>
      <w:r w:rsidR="004D17F8">
        <w:t xml:space="preserve">other </w:t>
      </w:r>
      <w:r>
        <w:t>validated modelling tools.</w:t>
      </w:r>
    </w:p>
    <w:p w14:paraId="1406C085" w14:textId="77777777" w:rsidR="00651F3A" w:rsidRDefault="00651F3A" w:rsidP="00BF06E8">
      <w:pPr>
        <w:pBdr>
          <w:bottom w:val="single" w:sz="6" w:space="1" w:color="BFBFBF"/>
        </w:pBdr>
        <w:spacing w:before="40" w:after="40"/>
        <w:jc w:val="both"/>
      </w:pPr>
    </w:p>
    <w:p w14:paraId="62146B88" w14:textId="77777777" w:rsidR="00651F3A" w:rsidRDefault="00000000" w:rsidP="00BF06E8">
      <w:pPr>
        <w:spacing w:before="60"/>
        <w:jc w:val="both"/>
      </w:pPr>
      <w:r>
        <w:rPr>
          <w:i/>
          <w:iCs/>
          <w:color w:val="595959"/>
          <w:sz w:val="18"/>
          <w:szCs w:val="18"/>
        </w:rPr>
        <w:t>Use the tool to compare directions and trade-offs. Use country processes and validated models for the exact numbers in your plan.</w:t>
      </w:r>
    </w:p>
    <w:sectPr w:rsidR="00651F3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12702"/>
    <w:multiLevelType w:val="hybridMultilevel"/>
    <w:tmpl w:val="68D8A426"/>
    <w:lvl w:ilvl="0" w:tplc="EF5AFE5E">
      <w:start w:val="1"/>
      <w:numFmt w:val="bullet"/>
      <w:lvlText w:val="•"/>
      <w:lvlJc w:val="left"/>
      <w:pPr>
        <w:ind w:left="360" w:hanging="240"/>
      </w:pPr>
    </w:lvl>
    <w:lvl w:ilvl="1" w:tplc="E7FE930E">
      <w:numFmt w:val="decimal"/>
      <w:lvlText w:val=""/>
      <w:lvlJc w:val="left"/>
    </w:lvl>
    <w:lvl w:ilvl="2" w:tplc="E5880FC0">
      <w:numFmt w:val="decimal"/>
      <w:lvlText w:val=""/>
      <w:lvlJc w:val="left"/>
    </w:lvl>
    <w:lvl w:ilvl="3" w:tplc="939082C8">
      <w:numFmt w:val="decimal"/>
      <w:lvlText w:val=""/>
      <w:lvlJc w:val="left"/>
    </w:lvl>
    <w:lvl w:ilvl="4" w:tplc="BBA4FC58">
      <w:numFmt w:val="decimal"/>
      <w:lvlText w:val=""/>
      <w:lvlJc w:val="left"/>
    </w:lvl>
    <w:lvl w:ilvl="5" w:tplc="65A0446A">
      <w:numFmt w:val="decimal"/>
      <w:lvlText w:val=""/>
      <w:lvlJc w:val="left"/>
    </w:lvl>
    <w:lvl w:ilvl="6" w:tplc="EDFC7C2A">
      <w:numFmt w:val="decimal"/>
      <w:lvlText w:val=""/>
      <w:lvlJc w:val="left"/>
    </w:lvl>
    <w:lvl w:ilvl="7" w:tplc="E682CA8E">
      <w:numFmt w:val="decimal"/>
      <w:lvlText w:val=""/>
      <w:lvlJc w:val="left"/>
    </w:lvl>
    <w:lvl w:ilvl="8" w:tplc="37C84048">
      <w:numFmt w:val="decimal"/>
      <w:lvlText w:val=""/>
      <w:lvlJc w:val="left"/>
    </w:lvl>
  </w:abstractNum>
  <w:abstractNum w:abstractNumId="1" w15:restartNumberingAfterBreak="0">
    <w:nsid w:val="4F3145C1"/>
    <w:multiLevelType w:val="hybridMultilevel"/>
    <w:tmpl w:val="6874B830"/>
    <w:lvl w:ilvl="0" w:tplc="C2A6D43A">
      <w:start w:val="1"/>
      <w:numFmt w:val="bullet"/>
      <w:lvlText w:val="●"/>
      <w:lvlJc w:val="left"/>
      <w:pPr>
        <w:ind w:left="720" w:hanging="360"/>
      </w:pPr>
    </w:lvl>
    <w:lvl w:ilvl="1" w:tplc="75EE9196">
      <w:start w:val="1"/>
      <w:numFmt w:val="bullet"/>
      <w:lvlText w:val="○"/>
      <w:lvlJc w:val="left"/>
      <w:pPr>
        <w:ind w:left="1440" w:hanging="360"/>
      </w:pPr>
    </w:lvl>
    <w:lvl w:ilvl="2" w:tplc="BDD88A9E">
      <w:start w:val="1"/>
      <w:numFmt w:val="bullet"/>
      <w:lvlText w:val="■"/>
      <w:lvlJc w:val="left"/>
      <w:pPr>
        <w:ind w:left="2160" w:hanging="360"/>
      </w:pPr>
    </w:lvl>
    <w:lvl w:ilvl="3" w:tplc="77FA497C">
      <w:start w:val="1"/>
      <w:numFmt w:val="bullet"/>
      <w:lvlText w:val="●"/>
      <w:lvlJc w:val="left"/>
      <w:pPr>
        <w:ind w:left="2880" w:hanging="360"/>
      </w:pPr>
    </w:lvl>
    <w:lvl w:ilvl="4" w:tplc="9F72760A">
      <w:start w:val="1"/>
      <w:numFmt w:val="bullet"/>
      <w:lvlText w:val="○"/>
      <w:lvlJc w:val="left"/>
      <w:pPr>
        <w:ind w:left="3600" w:hanging="360"/>
      </w:pPr>
    </w:lvl>
    <w:lvl w:ilvl="5" w:tplc="D19AAE80">
      <w:start w:val="1"/>
      <w:numFmt w:val="bullet"/>
      <w:lvlText w:val="■"/>
      <w:lvlJc w:val="left"/>
      <w:pPr>
        <w:ind w:left="4320" w:hanging="360"/>
      </w:pPr>
    </w:lvl>
    <w:lvl w:ilvl="6" w:tplc="DF28C5B8">
      <w:start w:val="1"/>
      <w:numFmt w:val="bullet"/>
      <w:lvlText w:val="●"/>
      <w:lvlJc w:val="left"/>
      <w:pPr>
        <w:ind w:left="5040" w:hanging="360"/>
      </w:pPr>
    </w:lvl>
    <w:lvl w:ilvl="7" w:tplc="DB06FA7E">
      <w:start w:val="1"/>
      <w:numFmt w:val="bullet"/>
      <w:lvlText w:val="●"/>
      <w:lvlJc w:val="left"/>
      <w:pPr>
        <w:ind w:left="5760" w:hanging="360"/>
      </w:pPr>
    </w:lvl>
    <w:lvl w:ilvl="8" w:tplc="5810B208">
      <w:start w:val="1"/>
      <w:numFmt w:val="bullet"/>
      <w:lvlText w:val="●"/>
      <w:lvlJc w:val="left"/>
      <w:pPr>
        <w:ind w:left="6480" w:hanging="360"/>
      </w:pPr>
    </w:lvl>
  </w:abstractNum>
  <w:num w:numId="1" w16cid:durableId="1363507367">
    <w:abstractNumId w:val="1"/>
    <w:lvlOverride w:ilvl="0">
      <w:startOverride w:val="1"/>
    </w:lvlOverride>
  </w:num>
  <w:num w:numId="2" w16cid:durableId="2047099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F3A"/>
    <w:rsid w:val="00003EB1"/>
    <w:rsid w:val="00052A0D"/>
    <w:rsid w:val="00082C1A"/>
    <w:rsid w:val="001168E8"/>
    <w:rsid w:val="001528EC"/>
    <w:rsid w:val="00160BCF"/>
    <w:rsid w:val="001708CC"/>
    <w:rsid w:val="0018522C"/>
    <w:rsid w:val="001B7EE9"/>
    <w:rsid w:val="00202949"/>
    <w:rsid w:val="002978C4"/>
    <w:rsid w:val="002F1EAF"/>
    <w:rsid w:val="002F2217"/>
    <w:rsid w:val="00337F15"/>
    <w:rsid w:val="003B7DC6"/>
    <w:rsid w:val="00490543"/>
    <w:rsid w:val="004D17F8"/>
    <w:rsid w:val="004D7547"/>
    <w:rsid w:val="0051283A"/>
    <w:rsid w:val="0053304F"/>
    <w:rsid w:val="0053559E"/>
    <w:rsid w:val="00604E41"/>
    <w:rsid w:val="006163BF"/>
    <w:rsid w:val="00651F3A"/>
    <w:rsid w:val="006800A7"/>
    <w:rsid w:val="00694204"/>
    <w:rsid w:val="006B6D59"/>
    <w:rsid w:val="00742048"/>
    <w:rsid w:val="00745D0A"/>
    <w:rsid w:val="0078237D"/>
    <w:rsid w:val="00854C37"/>
    <w:rsid w:val="008D6B90"/>
    <w:rsid w:val="00902556"/>
    <w:rsid w:val="0093122A"/>
    <w:rsid w:val="00961DEA"/>
    <w:rsid w:val="00975D98"/>
    <w:rsid w:val="00993FFD"/>
    <w:rsid w:val="009C3360"/>
    <w:rsid w:val="009C4B85"/>
    <w:rsid w:val="009F2D62"/>
    <w:rsid w:val="009F4914"/>
    <w:rsid w:val="00A90CFF"/>
    <w:rsid w:val="00B25D16"/>
    <w:rsid w:val="00B77C83"/>
    <w:rsid w:val="00BA6BE0"/>
    <w:rsid w:val="00BC29F7"/>
    <w:rsid w:val="00BF0597"/>
    <w:rsid w:val="00BF06E8"/>
    <w:rsid w:val="00C6613D"/>
    <w:rsid w:val="00C75C54"/>
    <w:rsid w:val="00C9275C"/>
    <w:rsid w:val="00CC5DA2"/>
    <w:rsid w:val="00D10D7A"/>
    <w:rsid w:val="00D3452C"/>
    <w:rsid w:val="00D70A45"/>
    <w:rsid w:val="00D831C1"/>
    <w:rsid w:val="00EB31A5"/>
    <w:rsid w:val="00EC7EDE"/>
    <w:rsid w:val="00ED6353"/>
    <w:rsid w:val="00F30B27"/>
    <w:rsid w:val="00F4278B"/>
    <w:rsid w:val="00F5211D"/>
    <w:rsid w:val="00FD09BD"/>
    <w:rsid w:val="00FE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DE3065"/>
  <w15:docId w15:val="{194FA3B8-58F0-B84A-9A5E-A61095E8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 Prioritisation Tool — User Guide</dc:title>
  <dc:creator>HIV Prioritisation Tool</dc:creator>
  <cp:lastModifiedBy>Alex de Nooy</cp:lastModifiedBy>
  <cp:revision>64</cp:revision>
  <dcterms:created xsi:type="dcterms:W3CDTF">2026-06-01T11:16:00Z</dcterms:created>
  <dcterms:modified xsi:type="dcterms:W3CDTF">2026-06-16T08:22:00Z</dcterms:modified>
</cp:coreProperties>
</file>