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rFonts w:ascii="Arial" w:cs="Arial" w:eastAsia="Arial" w:hAnsi="Arial"/>
          <w:b/>
          <w:bCs/>
          <w:color w:val="0F6E56"/>
          <w:sz w:val="26"/>
          <w:szCs w:val="26"/>
        </w:rPr>
        <w:t xml:space="preserve">Test yield and volume dilution</w:t>
      </w:r>
    </w:p>
    <w:p>
      <w:pPr>
        <w:spacing w:before="0" w:after="160"/>
      </w:pPr>
      <w:r>
        <w:rPr>
          <w:rFonts w:ascii="Arial" w:cs="Arial" w:eastAsia="Arial" w:hAnsi="Arial"/>
          <w:sz w:val="22"/>
          <w:szCs w:val="22"/>
        </w:rPr>
        <w:t xml:space="preserve">HIV testing programmes report positivity (test yield) as the share of tests returning a positive result. This is a useful summary of how efficiently a testing strategy finds undiagnosed PLHIV. However, yield is not fixed: as testing volume expands beyond what a programme has historically delivered, the pool of easy-to-find positives is progressively exhausted and the marginal yield on additional tests falls. The model captures this dynamic through a volume-based dilution mechanism.</w:t>
      </w:r>
    </w:p>
    <w:p>
      <w:pPr>
        <w:pStyle w:val="Heading3"/>
      </w:pPr>
      <w:r>
        <w:rPr>
          <w:rFonts w:ascii="Arial" w:cs="Arial" w:eastAsia="Arial" w:hAnsi="Arial"/>
          <w:b/>
          <w:bCs/>
          <w:color w:val="5F5E5A"/>
          <w:sz w:val="24"/>
          <w:szCs w:val="24"/>
        </w:rPr>
        <w:t xml:space="preserve">Base test yield</w:t>
      </w:r>
    </w:p>
    <w:p>
      <w:pPr>
        <w:spacing w:before="0" w:after="120"/>
      </w:pPr>
      <w:r>
        <w:rPr>
          <w:rFonts w:ascii="Arial" w:cs="Arial" w:eastAsia="Arial" w:hAnsi="Arial"/>
          <w:sz w:val="22"/>
          <w:szCs w:val="22"/>
        </w:rPr>
        <w:t xml:space="preserve">The starting point for all positivity calculations is the base test yield. Where country-level data are available, the model uses the prior-year average test positivity rate reported in the country CSV (column: avg_test_yield, stored as a percentage and converted to a proportion internally). Where this figure is absent, the model falls back to a dynamic estimate derived from the undiagnosed and lost-to-follow-up (LTFU) populations relative to the sexually active adult population, capped at 10% to avoid implausibly high estimates in very high-burden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18"/>
              <w:bottom w:val="none" w:color="FFFFFF" w:sz="0"/>
              <w:right w:val="none" w:color="FFFFFF" w:sz="0"/>
            </w:tcBorders>
            <w:shd w:fill="E1F5EE" w:val="clear"/>
            <w:tcMar>
              <w:top w:type="dxa" w:w="80"/>
              <w:left w:type="dxa" w:w="200"/>
              <w:bottom w:type="dxa" w:w="80"/>
              <w:right w:type="dxa" w:w="120"/>
            </w:tcMar>
          </w:tcPr>
          <w:p>
            <w:r>
              <w:rPr>
                <w:rFonts w:ascii="Arial" w:cs="Arial" w:eastAsia="Arial" w:hAnsi="Arial"/>
                <w:b/>
                <w:bCs/>
                <w:sz w:val="22"/>
                <w:szCs w:val="22"/>
              </w:rPr>
              <w:t xml:space="preserve">Base yield source hierarchy: </w:t>
            </w:r>
            <w:r>
              <w:rPr>
                <w:rFonts w:ascii="Arial" w:cs="Arial" w:eastAsia="Arial" w:hAnsi="Arial"/>
                <w:sz w:val="22"/>
                <w:szCs w:val="22"/>
              </w:rPr>
              <w:t xml:space="preserve">(1) prior-year country average from CSV  →  (2) dynamic estimate = (undiagnosed + LTFU) / sexually active, capped at 10%</w:t>
            </w:r>
          </w:p>
        </w:tc>
      </w:tr>
    </w:tbl>
    <w:p>
      <w:pPr>
        <w:spacing w:before="80" w:after="80"/>
      </w:pPr>
      <w:r>
        <w:rPr>
          <w:rFonts w:ascii="Arial" w:cs="Arial" w:eastAsia="Arial" w:hAnsi="Arial"/>
          <w:sz w:val="22"/>
          <w:szCs w:val="22"/>
        </w:rPr>
        <w:t xml:space="preserve"/>
      </w:r>
    </w:p>
    <w:p>
      <w:pPr>
        <w:spacing w:before="0" w:after="160"/>
      </w:pPr>
      <w:r>
        <w:rPr>
          <w:rFonts w:ascii="Arial" w:cs="Arial" w:eastAsia="Arial" w:hAnsi="Arial"/>
          <w:sz w:val="22"/>
          <w:szCs w:val="22"/>
        </w:rPr>
        <w:t xml:space="preserve">Each testing modality then applies a yield multiplier on top of the base yield (sourced from the intervention parameters file) to reflect the differential efficiency of targeted versus general testing strategies. For example, network/index testing and key population testing carry higher multipliers than general facility-based testing, because they actively recruit from networks where HIV prevalence is elevated.</w:t>
      </w:r>
    </w:p>
    <w:p>
      <w:pPr>
        <w:pStyle w:val="Heading3"/>
      </w:pPr>
      <w:r>
        <w:rPr>
          <w:rFonts w:ascii="Arial" w:cs="Arial" w:eastAsia="Arial" w:hAnsi="Arial"/>
          <w:b/>
          <w:bCs/>
          <w:color w:val="5F5E5A"/>
          <w:sz w:val="24"/>
          <w:szCs w:val="24"/>
        </w:rPr>
        <w:t xml:space="preserve">Volume dilution</w:t>
      </w:r>
    </w:p>
    <w:p>
      <w:pPr>
        <w:spacing w:before="0" w:after="120"/>
      </w:pPr>
      <w:r>
        <w:rPr>
          <w:rFonts w:ascii="Arial" w:cs="Arial" w:eastAsia="Arial" w:hAnsi="Arial"/>
          <w:sz w:val="22"/>
          <w:szCs w:val="22"/>
        </w:rPr>
        <w:t xml:space="preserve">When total planned test volume across all modalities exceeds 150% of the prior-year volume (the dilution threshold), yield is expected to decline because the programme is reaching into progressively lower-prevalence populations. The model implements this as a single global dilution factor applied uniformly to every modality.</w:t>
      </w:r>
    </w:p>
    <w:p>
      <w:pPr>
        <w:spacing w:before="0" w:after="160"/>
      </w:pPr>
      <w:r>
        <w:rPr>
          <w:rFonts w:ascii="Arial" w:cs="Arial" w:eastAsia="Arial" w:hAnsi="Arial"/>
          <w:b/>
          <w:bCs/>
          <w:sz w:val="22"/>
          <w:szCs w:val="22"/>
        </w:rPr>
        <w:t xml:space="preserve">Why a global factor rather than per-modality adjustment?  </w:t>
      </w:r>
      <w:r>
        <w:rPr>
          <w:rFonts w:ascii="Arial" w:cs="Arial" w:eastAsia="Arial" w:hAnsi="Arial"/>
          <w:sz w:val="22"/>
          <w:szCs w:val="22"/>
        </w:rPr>
        <w:t xml:space="preserve">A naïve sequential approach — where tests above the threshold receive half yield and those below receive full yield, processed modality by modality — penalises whichever modalities happen to be processed later in the calculation loop. High-yield targeted approaches (index testing, KP services) would be unfairly diluted simply because general facility testing was processed first. The global factor resolves this by computing a single weighted-average scalar from total planned volume before the loop runs, then applying it to every modality equally. The relative advantage of high-yield targeted testing is fully preserved.</w:t>
      </w:r>
    </w:p>
    <w:p>
      <w:pPr>
        <w:pStyle w:val="Heading3"/>
      </w:pPr>
      <w:r>
        <w:rPr>
          <w:rFonts w:ascii="Arial" w:cs="Arial" w:eastAsia="Arial" w:hAnsi="Arial"/>
          <w:b/>
          <w:bCs/>
          <w:color w:val="5F5E5A"/>
          <w:sz w:val="24"/>
          <w:szCs w:val="24"/>
        </w:rPr>
        <w:t xml:space="preserve">Dilution factor derivation</w:t>
      </w:r>
    </w:p>
    <w:p>
      <w:pPr>
        <w:spacing w:before="0" w:after="120"/>
      </w:pPr>
      <w:r>
        <w:rPr>
          <w:rFonts w:ascii="Arial" w:cs="Arial" w:eastAsia="Arial" w:hAnsi="Arial"/>
          <w:sz w:val="22"/>
          <w:szCs w:val="22"/>
        </w:rPr>
        <w:t xml:space="preserve">The dilution threshold is set at 150% of prior-year total tests. Tests up to the threshold contribute at full base yield; tests beyond the threshold contribute at half base yield. The factor is expressed as a volume-weighted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2"/>
                <w:szCs w:val="22"/>
              </w:rPr>
              <w:t xml:space="preserve">T₀</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2"/>
                <w:szCs w:val="22"/>
              </w:rPr>
              <w:t xml:space="preserve">Prior-year total tests (from CSV: total_tests_prev_year)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2"/>
                <w:szCs w:val="22"/>
              </w:rPr>
              <w:t xml:space="preserve">Threshold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2"/>
                <w:szCs w:val="22"/>
              </w:rPr>
              <w:t xml:space="preserve">T₀ × 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2"/>
                <w:szCs w:val="22"/>
              </w:rPr>
              <w:t xml:space="preserve">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2"/>
                <w:szCs w:val="22"/>
              </w:rPr>
              <w:t xml:space="preserve">Total planned tests across all modalities (sum of scenario inputs)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2"/>
                <w:szCs w:val="22"/>
              </w:rPr>
              <w:t xml:space="preserve">Factor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2"/>
                <w:szCs w:val="22"/>
              </w:rPr>
              <w:t xml:space="preserve">(Threshold + (V − Threshold) × 0.5) / V   —   when V &gt;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2"/>
                <w:szCs w:val="22"/>
              </w:rPr>
              <w:t xml:space="preserve">Factor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2"/>
                <w:szCs w:val="22"/>
              </w:rPr>
              <w:t xml:space="preserve">1.0   —   when V ≤ Threshold (no dilution)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2"/>
                <w:szCs w:val="22"/>
              </w:rPr>
              <w:t xml:space="preserve">Factor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2"/>
                <w:szCs w:val="22"/>
              </w:rPr>
              <w:t xml:space="preserve">1.0   —   when prior-year data not supplied (no adjustment applied)</w:t>
            </w:r>
          </w:p>
        </w:tc>
      </w:tr>
    </w:tbl>
    <w:p>
      <w:pPr>
        <w:spacing w:before="12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Because the factor is a weighted average, it approaches 0.5 asymptotically as volume grows very large — it does not produce an abrupt step. At exactly 2× the threshold (e.g. 300,000 tests against a prior-year volume of 100,000):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18"/>
              <w:bottom w:val="none" w:color="FFFFFF" w:sz="0"/>
              <w:right w:val="none" w:color="FFFFFF" w:sz="0"/>
            </w:tcBorders>
            <w:shd w:fill="E1F5EE" w:val="clear"/>
            <w:tcMar>
              <w:top w:type="dxa" w:w="80"/>
              <w:left w:type="dxa" w:w="200"/>
              <w:bottom w:type="dxa" w:w="80"/>
              <w:right w:type="dxa" w:w="120"/>
            </w:tcMar>
          </w:tcPr>
          <w:p>
            <w:r>
              <w:rPr>
                <w:rFonts w:ascii="Arial" w:cs="Arial" w:eastAsia="Arial" w:hAnsi="Arial"/>
                <w:sz w:val="22"/>
                <w:szCs w:val="22"/>
              </w:rPr>
              <w:t xml:space="preserve">Factor = (150,000 + 150,000 × 0.5) / 300,000 = 225,000 / 300,000 = 0.75</w:t>
            </w:r>
          </w:p>
        </w:tc>
      </w:tr>
      <w:tr>
        <w:tc>
          <w:tcPr>
            <w:tcW w:type="dxa" w:w="9360"/>
            <w:tcBorders>
              <w:top w:val="none" w:color="FFFFFF" w:sz="0"/>
              <w:left w:val="single" w:color="0F6E56" w:sz="18"/>
              <w:bottom w:val="none" w:color="FFFFFF" w:sz="0"/>
              <w:right w:val="none" w:color="FFFFFF" w:sz="0"/>
            </w:tcBorders>
            <w:shd w:fill="E1F5EE" w:val="clear"/>
            <w:tcMar>
              <w:top w:type="dxa" w:w="80"/>
              <w:left w:type="dxa" w:w="200"/>
              <w:bottom w:type="dxa" w:w="80"/>
              <w:right w:type="dxa" w:w="120"/>
            </w:tcMar>
          </w:tcPr>
          <w:p>
            <w:r>
              <w:rPr>
                <w:rFonts w:ascii="Arial" w:cs="Arial" w:eastAsia="Arial" w:hAnsi="Arial"/>
                <w:sz w:val="22"/>
                <w:szCs w:val="22"/>
              </w:rPr>
              <w:t xml:space="preserve">Effective yield = base yield × 0.75   (not 0.5, because the first 150,000 tests still receive full yield)</w:t>
            </w:r>
          </w:p>
        </w:tc>
      </w:tr>
    </w:tbl>
    <w:p>
      <w:pPr>
        <w:spacing w:before="8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The dilution factor is calculated once per scenario, before the intervention loop, and stored as yield_dilution_factor. Within the loop, the positives attributed to each testing modality are calculated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18"/>
              <w:bottom w:val="none" w:color="FFFFFF" w:sz="0"/>
              <w:right w:val="none" w:color="FFFFFF" w:sz="0"/>
            </w:tcBorders>
            <w:shd w:fill="E1F5EE" w:val="clear"/>
            <w:tcMar>
              <w:top w:type="dxa" w:w="80"/>
              <w:left w:type="dxa" w:w="200"/>
              <w:bottom w:type="dxa" w:w="80"/>
              <w:right w:type="dxa" w:w="120"/>
            </w:tcMar>
          </w:tcPr>
          <w:p>
            <w:r>
              <w:rPr>
                <w:rFonts w:ascii="Arial" w:cs="Arial" w:eastAsia="Arial" w:hAnsi="Arial"/>
                <w:sz w:val="22"/>
                <w:szCs w:val="22"/>
              </w:rPr>
              <w:t xml:space="preserve">positive tests = tests performed × (base yield × modality multiplier) × yield_dilution_factor × modality efficacy</w:t>
            </w:r>
          </w:p>
        </w:tc>
      </w:tr>
    </w:tbl>
    <w:p>
      <w:pPr>
        <w:spacing w:before="120" w:after="80"/>
      </w:pPr>
      <w:r>
        <w:rPr>
          <w:rFonts w:ascii="Arial" w:cs="Arial" w:eastAsia="Arial" w:hAnsi="Arial"/>
          <w:sz w:val="22"/>
          <w:szCs w:val="22"/>
        </w:rPr>
        <w:t xml:space="preserve"/>
      </w:r>
    </w:p>
    <w:p>
      <w:pPr>
        <w:pStyle w:val="Heading3"/>
      </w:pPr>
      <w:r>
        <w:rPr>
          <w:rFonts w:ascii="Arial" w:cs="Arial" w:eastAsia="Arial" w:hAnsi="Arial"/>
          <w:b/>
          <w:bCs/>
          <w:color w:val="5F5E5A"/>
          <w:sz w:val="24"/>
          <w:szCs w:val="24"/>
        </w:rPr>
        <w:t xml:space="preserve">Limitations and assumptions</w:t>
      </w:r>
    </w:p>
    <w:p>
      <w:pPr>
        <w:pStyle w:val="ListParagraph"/>
        <w:numPr>
          <w:ilvl w:val="0"/>
          <w:numId w:val="2"/>
        </w:numPr>
        <w:spacing w:before="0" w:after="60"/>
      </w:pPr>
      <w:r>
        <w:rPr>
          <w:rFonts w:ascii="Arial" w:cs="Arial" w:eastAsia="Arial" w:hAnsi="Arial"/>
          <w:sz w:val="22"/>
          <w:szCs w:val="22"/>
        </w:rPr>
        <w:t xml:space="preserve">The 150% threshold and 50% marginal yield assumption are parameter choices, not empirically calibrated values. Both can be adjusted in the code if country- or programme-specific evidence is available.</w:t>
      </w:r>
    </w:p>
    <w:p>
      <w:pPr>
        <w:pStyle w:val="ListParagraph"/>
        <w:numPr>
          <w:ilvl w:val="0"/>
          <w:numId w:val="2"/>
        </w:numPr>
        <w:spacing w:before="0" w:after="60"/>
      </w:pPr>
      <w:r>
        <w:rPr>
          <w:rFonts w:ascii="Arial" w:cs="Arial" w:eastAsia="Arial" w:hAnsi="Arial"/>
          <w:sz w:val="22"/>
          <w:szCs w:val="22"/>
        </w:rPr>
        <w:t xml:space="preserve">Dilution is applied uniformly across modalities. The model does not attempt to model saturation within a specific modality (e.g. exhaustion of the index-testing contact pool), only aggregate programme-level saturation.</w:t>
      </w:r>
    </w:p>
    <w:p>
      <w:pPr>
        <w:pStyle w:val="ListParagraph"/>
        <w:numPr>
          <w:ilvl w:val="0"/>
          <w:numId w:val="2"/>
        </w:numPr>
        <w:spacing w:before="0" w:after="60"/>
      </w:pPr>
      <w:r>
        <w:rPr>
          <w:rFonts w:ascii="Arial" w:cs="Arial" w:eastAsia="Arial" w:hAnsi="Arial"/>
          <w:sz w:val="22"/>
          <w:szCs w:val="22"/>
        </w:rPr>
        <w:t xml:space="preserve">If prior-year test volume is not provided in the CSV, no dilution is applied and yield is held constant regardless of scenario volume. Supplying this figure is recommended for any scenario where testing scale-up is substantial.</w:t>
      </w:r>
    </w:p>
    <w:p>
      <w:pPr>
        <w:pStyle w:val="ListParagraph"/>
        <w:numPr>
          <w:ilvl w:val="0"/>
          <w:numId w:val="2"/>
        </w:numPr>
        <w:spacing w:before="0" w:after="60"/>
      </w:pPr>
      <w:r>
        <w:rPr>
          <w:rFonts w:ascii="Arial" w:cs="Arial" w:eastAsia="Arial" w:hAnsi="Arial"/>
          <w:sz w:val="22"/>
          <w:szCs w:val="22"/>
        </w:rPr>
        <w:t xml:space="preserve">The modality multipliers (yield_multiplier in the intervention parameters file) are applied before dilution. They shift the starting yield up or down relative to the country average, but are subject to the same proportional dilution as all other modalities.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2C2C2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80" w:after="120"/>
      <w:outlineLvl w:val="1"/>
    </w:pPr>
    <w:rPr>
      <w:rFonts w:ascii="Arial" w:cs="Arial" w:eastAsia="Arial" w:hAnsi="Arial"/>
      <w:b/>
      <w:bCs/>
      <w:color w:val="0F6E5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2026-03-26T14:52:11.948Z</dcterms:created>
  <dcterms:modified xsi:type="dcterms:W3CDTF">2026-03-26T14:52:11.948Z</dcterms:modified>
</cp:coreProperties>
</file>

<file path=docProps/custom.xml><?xml version="1.0" encoding="utf-8"?>
<Properties xmlns="http://schemas.openxmlformats.org/officeDocument/2006/custom-properties" xmlns:vt="http://schemas.openxmlformats.org/officeDocument/2006/docPropsVTypes"/>
</file>