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B9790A"/>
          <w:sz w:val="18"/>
          <w:szCs w:val="18"/>
        </w:rPr>
        <w:t xml:space="preserve">FUEL DASHBOARD · REGIONE SPOTLIGHT</w:t>
      </w:r>
    </w:p>
    <w:p>
      <w:pPr>
        <w:spacing w:after="100" w:before="400"/>
      </w:pPr>
      <w:r>
        <w:rPr>
          <w:rFonts w:ascii="Cambria" w:cs="Cambria" w:eastAsia="Cambria" w:hAnsi="Cambria"/>
          <w:b/>
          <w:bCs/>
          <w:color w:val="14120F"/>
          <w:sz w:val="60"/>
          <w:szCs w:val="60"/>
        </w:rPr>
        <w:t xml:space="preserve">Trentino-Alto Adige's Methane Premium Is Quietly Shrinking</w:t>
      </w:r>
    </w:p>
    <w:p>
      <w:pPr>
        <w:spacing w:after="320"/>
      </w:pPr>
      <w:r>
        <w:rPr>
          <w:rFonts w:ascii="Calibri" w:cs="Calibri" w:eastAsia="Calibri" w:hAnsi="Calibri"/>
          <w:b w:val="false"/>
          <w:bCs w:val="false"/>
          <w:i/>
          <w:iCs/>
          <w:color w:val="5B564C"/>
          <w:sz w:val="24"/>
          <w:szCs w:val="24"/>
        </w:rPr>
        <w:t xml:space="preserve">Petrol and diesel keep climbing in lockstep with the national market, but the region's historically expensive natural gas is losing its edge as prices catch up everywhere else.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BENZINA</w:t>
            </w:r>
          </w:p>
          <w:p>
            <w:pPr>
              <w:spacing w:before="60"/>
            </w:pPr>
            <w:r>
              <w:rPr>
                <w:rFonts w:ascii="Calibri" w:cs="Calibri" w:eastAsia="Calibri" w:hAnsi="Calibri"/>
                <w:b/>
                <w:bCs/>
                <w:color w:val="14120F"/>
                <w:sz w:val="28"/>
                <w:szCs w:val="28"/>
              </w:rPr>
              <w:t xml:space="preserve">€2.187</w:t>
            </w:r>
          </w:p>
          <w:p>
            <w:pPr>
              <w:spacing w:before="40"/>
            </w:pPr>
            <w:r>
              <w:rPr>
                <w:rFonts w:ascii="Calibri" w:cs="Calibri" w:eastAsia="Calibri" w:hAnsi="Calibri"/>
                <w:color w:val="5B564C"/>
                <w:sz w:val="17"/>
                <w:szCs w:val="17"/>
              </w:rPr>
              <w:t xml:space="preserve">petrol</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GASOLIO</w:t>
            </w:r>
          </w:p>
          <w:p>
            <w:pPr>
              <w:spacing w:before="60"/>
            </w:pPr>
            <w:r>
              <w:rPr>
                <w:rFonts w:ascii="Calibri" w:cs="Calibri" w:eastAsia="Calibri" w:hAnsi="Calibri"/>
                <w:b/>
                <w:bCs/>
                <w:color w:val="14120F"/>
                <w:sz w:val="28"/>
                <w:szCs w:val="28"/>
              </w:rPr>
              <w:t xml:space="preserve">€2.307</w:t>
            </w:r>
          </w:p>
          <w:p>
            <w:pPr>
              <w:spacing w:before="40"/>
            </w:pPr>
            <w:r>
              <w:rPr>
                <w:rFonts w:ascii="Calibri" w:cs="Calibri" w:eastAsia="Calibri" w:hAnsi="Calibri"/>
                <w:color w:val="5B564C"/>
                <w:sz w:val="17"/>
                <w:szCs w:val="17"/>
              </w:rPr>
              <w:t xml:space="preserve">diesel</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GPL</w:t>
            </w:r>
          </w:p>
          <w:p>
            <w:pPr>
              <w:spacing w:before="60"/>
            </w:pPr>
            <w:r>
              <w:rPr>
                <w:rFonts w:ascii="Calibri" w:cs="Calibri" w:eastAsia="Calibri" w:hAnsi="Calibri"/>
                <w:b/>
                <w:bCs/>
                <w:color w:val="14120F"/>
                <w:sz w:val="28"/>
                <w:szCs w:val="28"/>
              </w:rPr>
              <w:t xml:space="preserve">€0.802</w:t>
            </w:r>
          </w:p>
          <w:p>
            <w:pPr>
              <w:spacing w:before="40"/>
            </w:pPr>
            <w:r>
              <w:rPr>
                <w:rFonts w:ascii="Calibri" w:cs="Calibri" w:eastAsia="Calibri" w:hAnsi="Calibri"/>
                <w:color w:val="5B564C"/>
                <w:sz w:val="17"/>
                <w:szCs w:val="17"/>
              </w:rPr>
              <w:t xml:space="preserve">LPG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METANO</w:t>
            </w:r>
          </w:p>
          <w:p>
            <w:pPr>
              <w:spacing w:before="60"/>
            </w:pPr>
            <w:r>
              <w:rPr>
                <w:rFonts w:ascii="Calibri" w:cs="Calibri" w:eastAsia="Calibri" w:hAnsi="Calibri"/>
                <w:b/>
                <w:bCs/>
                <w:color w:val="14120F"/>
                <w:sz w:val="28"/>
                <w:szCs w:val="28"/>
              </w:rPr>
              <w:t xml:space="preserve">€1.966</w:t>
            </w:r>
          </w:p>
          <w:p>
            <w:pPr>
              <w:spacing w:before="40"/>
            </w:pPr>
            <w:r>
              <w:rPr>
                <w:rFonts w:ascii="Calibri" w:cs="Calibri" w:eastAsia="Calibri" w:hAnsi="Calibri"/>
                <w:color w:val="5B564C"/>
                <w:sz w:val="17"/>
                <w:szCs w:val="17"/>
              </w:rPr>
              <w:t xml:space="preserve">CNG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5B564C"/>
          <w:sz w:val="18"/>
          <w:szCs w:val="18"/>
        </w:rPr>
        <w:t xml:space="preserve">Registered stations: 392 · Reporting today: 372 (95%) · Sep 16</w:t>
      </w:r>
    </w:p>
    <w:p>
      <w:r>
        <w:br w:type="page"/>
      </w:r>
    </w:p>
    <w:p>
      <w:pPr>
        <w:spacing w:after="80"/>
      </w:pPr>
      <w:r>
        <w:rPr>
          <w:rFonts w:ascii="Calibri" w:cs="Calibri" w:eastAsia="Calibri" w:hAnsi="Calibri"/>
          <w:b/>
          <w:bCs/>
          <w:color w:val="B9790A"/>
          <w:sz w:val="18"/>
          <w:szCs w:val="18"/>
        </w:rPr>
        <w:t xml:space="preserve">EXECUTIVE SUMMARY</w:t>
      </w:r>
    </w:p>
    <w:p>
      <w:pPr>
        <w:spacing w:after="180" w:before="0"/>
      </w:pPr>
      <w:r>
        <w:rPr>
          <w:rFonts w:ascii="Cambria" w:cs="Cambria" w:eastAsia="Cambria" w:hAnsi="Cambria"/>
          <w:b/>
          <w:bCs/>
          <w:color w:val="14120F"/>
          <w:sz w:val="34"/>
          <w:szCs w:val="34"/>
        </w:rPr>
        <w:t xml:space="preserve">Trentino-Alto Adige at a glance</w:t>
      </w:r>
    </w:p>
    <w:p>
      <w:pPr>
        <w:spacing w:after="200"/>
      </w:pPr>
      <w:r>
        <w:rPr>
          <w:rFonts w:ascii="Calibri" w:cs="Calibri" w:eastAsia="Calibri" w:hAnsi="Calibri"/>
          <w:b w:val="false"/>
          <w:bCs w:val="false"/>
          <w:i w:val="false"/>
          <w:iCs w:val="false"/>
          <w:color w:val="14120F"/>
          <w:sz w:val="22"/>
          <w:szCs w:val="22"/>
        </w:rPr>
        <w:t xml:space="preserve">As of September 16, drivers in Trentino-Alto Adige paid €2.1872/L for self-service Benzina, €2.3068/L for Gasolio, €0.8024/L for GPL and €1.966/L for Metano — all four fuels above the national self-service average that day, with petrol and diesel up roughly six-tenths of a cent from the day before and GPL and Metano essentially flat. Across the region's 392 registered stations, 372 reported prices, a 94.9% reporting rate that beats the national average of 90.2% and edged up by one more station than the previous day.</w:t>
      </w:r>
    </w:p>
    <w:p>
      <w:pPr>
        <w:spacing w:after="200"/>
      </w:pPr>
      <w:r>
        <w:rPr>
          <w:rFonts w:ascii="Calibri" w:cs="Calibri" w:eastAsia="Calibri" w:hAnsi="Calibri"/>
          <w:b w:val="false"/>
          <w:bCs w:val="false"/>
          <w:i w:val="false"/>
          <w:iCs w:val="false"/>
          <w:color w:val="14120F"/>
          <w:sz w:val="22"/>
          <w:szCs w:val="22"/>
        </w:rPr>
        <w:t xml:space="preserve">The daily numbers only tell half the story. Pulled back to the nine tracked weeks since July 20, Benzina and Gasolio in Trentino-Alto Adige have risen almost exactly in step with the national market — up 7.6% and 3.9% regionally versus 7.9% and 3.9% nationally. GPL and Metano are where the region is genuinely diverging: local LPG has crept up 1.4% while the national LPG average has actually slipped slightly, and — the standout finding this week — Trentino-Alto Adige's usually steep Metano premium over the rest of Italy has narrowed by more than a third since late July, as national methane prices surge faster than the region's own.</w:t>
      </w:r>
    </w:p>
    <w:p>
      <w:pPr>
        <w:spacing w:after="200" w:before="200"/>
        <w:jc w:val="center"/>
      </w:pPr>
      <w:r>
        <w:rPr>
          <w:rFonts w:ascii="Cambria" w:cs="Cambria" w:eastAsia="Cambria" w:hAnsi="Cambria"/>
          <w:b/>
          <w:bCs/>
          <w:i/>
          <w:iCs/>
          <w:color w:val="B9790A"/>
          <w:sz w:val="30"/>
          <w:szCs w:val="30"/>
        </w:rPr>
        <w:t xml:space="preserve">Trentino-Alto Adige's methane premium over the rest of Italy has narrowed from nearly 20% to about 12.5% since late July — not because local prices fell, but because the national average is catching up nearly twice as fast.</w:t>
      </w:r>
    </w:p>
    <w:p>
      <w:r>
        <w:br w:type="page"/>
      </w:r>
    </w:p>
    <w:p>
      <w:pPr>
        <w:spacing w:after="80"/>
      </w:pPr>
      <w:r>
        <w:rPr>
          <w:rFonts w:ascii="Calibri" w:cs="Calibri" w:eastAsia="Calibri" w:hAnsi="Calibri"/>
          <w:b/>
          <w:bCs/>
          <w:color w:val="B9790A"/>
          <w:sz w:val="18"/>
          <w:szCs w:val="18"/>
        </w:rPr>
        <w:t xml:space="preserve">FUEL SPOTLIGHT · BENZINA (petrol)</w:t>
      </w:r>
    </w:p>
    <w:p>
      <w:pPr>
        <w:spacing w:after="180" w:before="0"/>
      </w:pPr>
      <w:r>
        <w:rPr>
          <w:rFonts w:ascii="Cambria" w:cs="Cambria" w:eastAsia="Cambria" w:hAnsi="Cambria"/>
          <w:b/>
          <w:bCs/>
          <w:color w:val="2A78D6"/>
          <w:sz w:val="34"/>
          <w:szCs w:val="34"/>
        </w:rPr>
        <w:t xml:space="preserve">Petrol Extends Its Nine-Week Climb, Still a Premium Pump</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€2.187</w:t>
            </w:r>
          </w:p>
          <w:p>
            <w:pPr>
              <w:spacing w:before="40"/>
            </w:pPr>
            <w:r>
              <w:rPr>
                <w:rFonts w:ascii="Calibri" w:cs="Calibri" w:eastAsia="Calibri" w:hAnsi="Calibri"/>
                <w:color w:val="5B564C"/>
                <w:sz w:val="17"/>
                <w:szCs w:val="17"/>
              </w:rPr>
              <w:t xml:space="preserve">Sep 16</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+0.013 €/L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+7.6%</w:t>
            </w:r>
          </w:p>
          <w:p>
            <w:pPr>
              <w:spacing w:before="40"/>
            </w:pPr>
            <w:r>
              <w:rPr>
                <w:rFonts w:ascii="Calibri" w:cs="Calibri" w:eastAsia="Calibri" w:hAnsi="Calibri"/>
                <w:color w:val="5B564C"/>
                <w:sz w:val="17"/>
                <w:szCs w:val="17"/>
              </w:rPr>
              <w:t xml:space="preserve">Trentino-Alto Adige,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+7.9%</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Self-service Benzina in Trentino-Alto Adige closed at €2.1872/L on September 16, up €0.0132 (+0.61%) from €2.1740/L the day before. That puts the region 2.04% above the national self-service average of €2.1435/L on the same day — a gap that has held fairly steady through the recent run-up, meaning local pumps aren't pulling further away from the rest of the country, just riding the same wave a little higher.</w:t>
      </w:r>
    </w:p>
    <w:p>
      <w:pPr>
        <w:spacing w:after="200"/>
      </w:pPr>
      <w:r>
        <w:rPr>
          <w:rFonts w:ascii="Calibri" w:cs="Calibri" w:eastAsia="Calibri" w:hAnsi="Calibri"/>
          <w:b w:val="false"/>
          <w:bCs w:val="false"/>
          <w:i w:val="false"/>
          <w:iCs w:val="false"/>
          <w:color w:val="14120F"/>
          <w:sz w:val="22"/>
          <w:szCs w:val="22"/>
        </w:rPr>
        <w:t xml:space="preserve">Zooming out to the full nine-week window, regional Benzina has climbed from €2.0210/L in the week of July 20 (W30) to €2.1747/L in the week of September 14 (W38) — a 7.6% increase. Nationally, the same period saw self-service petrol rise 7.9%, from €1.9756/L to €2.1309/L. The two curves are close enough to call this a genuinely national trend rather than a regional story: petrol has been getting steadily more expensive everywhere since late summer, and Trentino-Alto Adige is simply tracking it, week for week, without much local distortion.</w:t>
      </w:r>
    </w:p>
    <w:p>
      <w:pPr>
        <w:spacing w:after="120"/>
      </w:pPr>
      <w:r>
        <w:rPr>
          <w:rFonts w:ascii="Calibri" w:cs="Calibri" w:eastAsia="Calibri" w:hAnsi="Calibri"/>
          <w:b/>
          <w:bCs/>
          <w:i w:val="false"/>
          <w:iCs w:val="false"/>
          <w:color w:val="5B564C"/>
          <w:sz w:val="18"/>
          <w:szCs w:val="18"/>
        </w:rPr>
        <w:t xml:space="preserve">Weekly self-service average, Trentino-Alto Adige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Benzina — Region</w:t>
            </w:r>
          </w:p>
        </w:tc>
        <w:tc>
          <w:tcPr>
            <w:tcW w:type="dxa" w:w="2400"/>
            <w:shd w:fill="F0EDE6" w:val="clear"/>
          </w:tcPr>
          <w:p>
            <w:r>
              <w:rPr>
                <w:rFonts w:ascii="Calibri" w:cs="Calibri" w:eastAsia="Calibri" w:hAnsi="Calibri"/>
                <w:b/>
                <w:bCs/>
                <w:sz w:val="18"/>
                <w:szCs w:val="18"/>
              </w:rPr>
              <w:t xml:space="preserve">Benzina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2A78D6"/>
                <w:sz w:val="18"/>
                <w:szCs w:val="18"/>
              </w:rPr>
              <w:t xml:space="preserve">€2.021</w:t>
            </w:r>
          </w:p>
        </w:tc>
        <w:tc>
          <w:tcPr>
            <w:tcW w:type="dxa" w:w="2400"/>
          </w:tcPr>
          <w:p>
            <w:r>
              <w:rPr>
                <w:rFonts w:ascii="Calibri" w:cs="Calibri" w:eastAsia="Calibri" w:hAnsi="Calibri"/>
                <w:color w:val="14120F"/>
                <w:sz w:val="18"/>
                <w:szCs w:val="18"/>
              </w:rPr>
              <w:t xml:space="preserve">€1.976</w:t>
            </w:r>
          </w:p>
        </w:tc>
        <w:tc>
          <w:tcPr>
            <w:tcW w:type="dxa" w:w="2400"/>
          </w:tcPr>
          <w:p>
            <w:r>
              <w:rPr>
                <w:rFonts w:ascii="Calibri" w:cs="Calibri" w:eastAsia="Calibri" w:hAnsi="Calibri"/>
                <w:color w:val="14120F"/>
                <w:sz w:val="18"/>
                <w:szCs w:val="18"/>
              </w:rPr>
              <w:t xml:space="preserve">↑ +0.045 €/L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2A78D6"/>
                <w:sz w:val="18"/>
                <w:szCs w:val="18"/>
              </w:rPr>
              <w:t xml:space="preserve">€2.046</w:t>
            </w:r>
          </w:p>
        </w:tc>
        <w:tc>
          <w:tcPr>
            <w:tcW w:type="dxa" w:w="2400"/>
          </w:tcPr>
          <w:p>
            <w:r>
              <w:rPr>
                <w:rFonts w:ascii="Calibri" w:cs="Calibri" w:eastAsia="Calibri" w:hAnsi="Calibri"/>
                <w:color w:val="14120F"/>
                <w:sz w:val="18"/>
                <w:szCs w:val="18"/>
              </w:rPr>
              <w:t xml:space="preserve">€2.003</w:t>
            </w:r>
          </w:p>
        </w:tc>
        <w:tc>
          <w:tcPr>
            <w:tcW w:type="dxa" w:w="2400"/>
          </w:tcPr>
          <w:p>
            <w:r>
              <w:rPr>
                <w:rFonts w:ascii="Calibri" w:cs="Calibri" w:eastAsia="Calibri" w:hAnsi="Calibri"/>
                <w:color w:val="14120F"/>
                <w:sz w:val="18"/>
                <w:szCs w:val="18"/>
              </w:rPr>
              <w:t xml:space="preserve">↑ +0.043 €/L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2A78D6"/>
                <w:sz w:val="18"/>
                <w:szCs w:val="18"/>
              </w:rPr>
              <w:t xml:space="preserve">€2.051</w:t>
            </w:r>
          </w:p>
        </w:tc>
        <w:tc>
          <w:tcPr>
            <w:tcW w:type="dxa" w:w="2400"/>
          </w:tcPr>
          <w:p>
            <w:r>
              <w:rPr>
                <w:rFonts w:ascii="Calibri" w:cs="Calibri" w:eastAsia="Calibri" w:hAnsi="Calibri"/>
                <w:color w:val="14120F"/>
                <w:sz w:val="18"/>
                <w:szCs w:val="18"/>
              </w:rPr>
              <w:t xml:space="preserve">€2.006</w:t>
            </w:r>
          </w:p>
        </w:tc>
        <w:tc>
          <w:tcPr>
            <w:tcW w:type="dxa" w:w="2400"/>
          </w:tcPr>
          <w:p>
            <w:r>
              <w:rPr>
                <w:rFonts w:ascii="Calibri" w:cs="Calibri" w:eastAsia="Calibri" w:hAnsi="Calibri"/>
                <w:color w:val="14120F"/>
                <w:sz w:val="18"/>
                <w:szCs w:val="18"/>
              </w:rPr>
              <w:t xml:space="preserve">↑ +0.046 €/L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2A78D6"/>
                <w:sz w:val="18"/>
                <w:szCs w:val="18"/>
              </w:rPr>
              <w:t xml:space="preserve">€2.046</w:t>
            </w:r>
          </w:p>
        </w:tc>
        <w:tc>
          <w:tcPr>
            <w:tcW w:type="dxa" w:w="2400"/>
          </w:tcPr>
          <w:p>
            <w:r>
              <w:rPr>
                <w:rFonts w:ascii="Calibri" w:cs="Calibri" w:eastAsia="Calibri" w:hAnsi="Calibri"/>
                <w:color w:val="14120F"/>
                <w:sz w:val="18"/>
                <w:szCs w:val="18"/>
              </w:rPr>
              <w:t xml:space="preserve">€2.001</w:t>
            </w:r>
          </w:p>
        </w:tc>
        <w:tc>
          <w:tcPr>
            <w:tcW w:type="dxa" w:w="2400"/>
          </w:tcPr>
          <w:p>
            <w:r>
              <w:rPr>
                <w:rFonts w:ascii="Calibri" w:cs="Calibri" w:eastAsia="Calibri" w:hAnsi="Calibri"/>
                <w:color w:val="14120F"/>
                <w:sz w:val="18"/>
                <w:szCs w:val="18"/>
              </w:rPr>
              <w:t xml:space="preserve">↑ +0.045 €/L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2A78D6"/>
                <w:sz w:val="18"/>
                <w:szCs w:val="18"/>
              </w:rPr>
              <w:t xml:space="preserve">€2.058</w:t>
            </w:r>
          </w:p>
        </w:tc>
        <w:tc>
          <w:tcPr>
            <w:tcW w:type="dxa" w:w="2400"/>
          </w:tcPr>
          <w:p>
            <w:r>
              <w:rPr>
                <w:rFonts w:ascii="Calibri" w:cs="Calibri" w:eastAsia="Calibri" w:hAnsi="Calibri"/>
                <w:color w:val="14120F"/>
                <w:sz w:val="18"/>
                <w:szCs w:val="18"/>
              </w:rPr>
              <w:t xml:space="preserve">€2.013</w:t>
            </w:r>
          </w:p>
        </w:tc>
        <w:tc>
          <w:tcPr>
            <w:tcW w:type="dxa" w:w="2400"/>
          </w:tcPr>
          <w:p>
            <w:r>
              <w:rPr>
                <w:rFonts w:ascii="Calibri" w:cs="Calibri" w:eastAsia="Calibri" w:hAnsi="Calibri"/>
                <w:color w:val="14120F"/>
                <w:sz w:val="18"/>
                <w:szCs w:val="18"/>
              </w:rPr>
              <w:t xml:space="preserve">↑ +0.046 €/L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2A78D6"/>
                <w:sz w:val="18"/>
                <w:szCs w:val="18"/>
              </w:rPr>
              <w:t xml:space="preserve">€2.074</w:t>
            </w:r>
          </w:p>
        </w:tc>
        <w:tc>
          <w:tcPr>
            <w:tcW w:type="dxa" w:w="2400"/>
          </w:tcPr>
          <w:p>
            <w:r>
              <w:rPr>
                <w:rFonts w:ascii="Calibri" w:cs="Calibri" w:eastAsia="Calibri" w:hAnsi="Calibri"/>
                <w:color w:val="14120F"/>
                <w:sz w:val="18"/>
                <w:szCs w:val="18"/>
              </w:rPr>
              <w:t xml:space="preserve">€2.027</w:t>
            </w:r>
          </w:p>
        </w:tc>
        <w:tc>
          <w:tcPr>
            <w:tcW w:type="dxa" w:w="2400"/>
          </w:tcPr>
          <w:p>
            <w:r>
              <w:rPr>
                <w:rFonts w:ascii="Calibri" w:cs="Calibri" w:eastAsia="Calibri" w:hAnsi="Calibri"/>
                <w:color w:val="14120F"/>
                <w:sz w:val="18"/>
                <w:szCs w:val="18"/>
              </w:rPr>
              <w:t xml:space="preserve">↑ +0.047 €/L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2A78D6"/>
                <w:sz w:val="18"/>
                <w:szCs w:val="18"/>
              </w:rPr>
              <w:t xml:space="preserve">€2.084</w:t>
            </w:r>
          </w:p>
        </w:tc>
        <w:tc>
          <w:tcPr>
            <w:tcW w:type="dxa" w:w="2400"/>
          </w:tcPr>
          <w:p>
            <w:r>
              <w:rPr>
                <w:rFonts w:ascii="Calibri" w:cs="Calibri" w:eastAsia="Calibri" w:hAnsi="Calibri"/>
                <w:color w:val="14120F"/>
                <w:sz w:val="18"/>
                <w:szCs w:val="18"/>
              </w:rPr>
              <w:t xml:space="preserve">€2.039</w:t>
            </w:r>
          </w:p>
        </w:tc>
        <w:tc>
          <w:tcPr>
            <w:tcW w:type="dxa" w:w="2400"/>
          </w:tcPr>
          <w:p>
            <w:r>
              <w:rPr>
                <w:rFonts w:ascii="Calibri" w:cs="Calibri" w:eastAsia="Calibri" w:hAnsi="Calibri"/>
                <w:color w:val="14120F"/>
                <w:sz w:val="18"/>
                <w:szCs w:val="18"/>
              </w:rPr>
              <w:t xml:space="preserve">↑ +0.046 €/L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2A78D6"/>
                <w:sz w:val="18"/>
                <w:szCs w:val="18"/>
              </w:rPr>
              <w:t xml:space="preserve">€2.135</w:t>
            </w:r>
          </w:p>
        </w:tc>
        <w:tc>
          <w:tcPr>
            <w:tcW w:type="dxa" w:w="2400"/>
          </w:tcPr>
          <w:p>
            <w:r>
              <w:rPr>
                <w:rFonts w:ascii="Calibri" w:cs="Calibri" w:eastAsia="Calibri" w:hAnsi="Calibri"/>
                <w:color w:val="14120F"/>
                <w:sz w:val="18"/>
                <w:szCs w:val="18"/>
              </w:rPr>
              <w:t xml:space="preserve">€2.090</w:t>
            </w:r>
          </w:p>
        </w:tc>
        <w:tc>
          <w:tcPr>
            <w:tcW w:type="dxa" w:w="2400"/>
          </w:tcPr>
          <w:p>
            <w:r>
              <w:rPr>
                <w:rFonts w:ascii="Calibri" w:cs="Calibri" w:eastAsia="Calibri" w:hAnsi="Calibri"/>
                <w:color w:val="14120F"/>
                <w:sz w:val="18"/>
                <w:szCs w:val="18"/>
              </w:rPr>
              <w:t xml:space="preserve">↑ +0.044 €/L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2A78D6"/>
                <w:sz w:val="18"/>
                <w:szCs w:val="18"/>
              </w:rPr>
              <w:t xml:space="preserve">€2.175</w:t>
            </w:r>
          </w:p>
        </w:tc>
        <w:tc>
          <w:tcPr>
            <w:tcW w:type="dxa" w:w="2400"/>
          </w:tcPr>
          <w:p>
            <w:r>
              <w:rPr>
                <w:rFonts w:ascii="Calibri" w:cs="Calibri" w:eastAsia="Calibri" w:hAnsi="Calibri"/>
                <w:color w:val="14120F"/>
                <w:sz w:val="18"/>
                <w:szCs w:val="18"/>
              </w:rPr>
              <w:t xml:space="preserve">€2.131</w:t>
            </w:r>
          </w:p>
        </w:tc>
        <w:tc>
          <w:tcPr>
            <w:tcW w:type="dxa" w:w="2400"/>
          </w:tcPr>
          <w:p>
            <w:r>
              <w:rPr>
                <w:rFonts w:ascii="Calibri" w:cs="Calibri" w:eastAsia="Calibri" w:hAnsi="Calibri"/>
                <w:color w:val="14120F"/>
                <w:sz w:val="18"/>
                <w:szCs w:val="18"/>
              </w:rPr>
              <w:t xml:space="preserve">↑ +0.044 €/L</w:t>
            </w:r>
          </w:p>
        </w:tc>
      </w:tr>
    </w:tbl>
    <w:p>
      <w:r>
        <w:br w:type="page"/>
      </w:r>
    </w:p>
    <w:p>
      <w:pPr>
        <w:spacing w:after="80"/>
      </w:pPr>
      <w:r>
        <w:rPr>
          <w:rFonts w:ascii="Calibri" w:cs="Calibri" w:eastAsia="Calibri" w:hAnsi="Calibri"/>
          <w:b/>
          <w:bCs/>
          <w:color w:val="B9790A"/>
          <w:sz w:val="18"/>
          <w:szCs w:val="18"/>
        </w:rPr>
        <w:t xml:space="preserve">FUEL SPOTLIGHT · GASOLIO (diesel)</w:t>
      </w:r>
    </w:p>
    <w:p>
      <w:pPr>
        <w:spacing w:after="180" w:before="0"/>
      </w:pPr>
      <w:r>
        <w:rPr>
          <w:rFonts w:ascii="Cambria" w:cs="Cambria" w:eastAsia="Cambria" w:hAnsi="Cambria"/>
          <w:b/>
          <w:bCs/>
          <w:color w:val="1BAF7A"/>
          <w:sz w:val="34"/>
          <w:szCs w:val="34"/>
        </w:rPr>
        <w:t xml:space="preserve">Diesel's Steady Summer Climb Mirrors the National Curve Almost Exactly</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€2.307</w:t>
            </w:r>
          </w:p>
          <w:p>
            <w:pPr>
              <w:spacing w:before="40"/>
            </w:pPr>
            <w:r>
              <w:rPr>
                <w:rFonts w:ascii="Calibri" w:cs="Calibri" w:eastAsia="Calibri" w:hAnsi="Calibri"/>
                <w:color w:val="5B564C"/>
                <w:sz w:val="17"/>
                <w:szCs w:val="17"/>
              </w:rPr>
              <w:t xml:space="preserve">Sep 16</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+0.014 €/L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+3.9%</w:t>
            </w:r>
          </w:p>
          <w:p>
            <w:pPr>
              <w:spacing w:before="40"/>
            </w:pPr>
            <w:r>
              <w:rPr>
                <w:rFonts w:ascii="Calibri" w:cs="Calibri" w:eastAsia="Calibri" w:hAnsi="Calibri"/>
                <w:color w:val="5B564C"/>
                <w:sz w:val="17"/>
                <w:szCs w:val="17"/>
              </w:rPr>
              <w:t xml:space="preserve">Trentino-Alto Adige,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+3.9%</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Diesel in the region reached €2.3068/L self-service on September 16, up €0.0140 (+0.61%) day-over-day from €2.2928/L, and 1.50% above the national self-service figure of €2.2728/L for the same date. Like petrol, that premium over the national average has stayed narrow and stable rather than widening — Trentino-Alto Adige diesel is expensive relative to the rest of Italy, but not becoming more so.</w:t>
      </w:r>
    </w:p>
    <w:p>
      <w:pPr>
        <w:spacing w:after="200"/>
      </w:pPr>
      <w:r>
        <w:rPr>
          <w:rFonts w:ascii="Calibri" w:cs="Calibri" w:eastAsia="Calibri" w:hAnsi="Calibri"/>
          <w:b w:val="false"/>
          <w:bCs w:val="false"/>
          <w:i w:val="false"/>
          <w:iCs w:val="false"/>
          <w:color w:val="14120F"/>
          <w:sz w:val="22"/>
          <w:szCs w:val="22"/>
        </w:rPr>
        <w:t xml:space="preserve">Over the nine tracked weeks, regional Gasolio rose from €2.2063/L (W30) to €2.2927/L (W38), a 3.9% increase, against a near-identical 3.85% national rise from €2.1747/L to €2.2585/L over the same stretch. Diesel is the fuel where region and nation move most in sync this year: the weekly series barely diverges at any point between July and September, suggesting diesel pricing here is driven almost entirely by the same wholesale and refining pressures affecting the whole country, with no meaningful local premium expansion to flag.</w:t>
      </w:r>
    </w:p>
    <w:p>
      <w:pPr>
        <w:spacing w:after="120"/>
      </w:pPr>
      <w:r>
        <w:rPr>
          <w:rFonts w:ascii="Calibri" w:cs="Calibri" w:eastAsia="Calibri" w:hAnsi="Calibri"/>
          <w:b/>
          <w:bCs/>
          <w:i w:val="false"/>
          <w:iCs w:val="false"/>
          <w:color w:val="5B564C"/>
          <w:sz w:val="18"/>
          <w:szCs w:val="18"/>
        </w:rPr>
        <w:t xml:space="preserve">Weekly self-service average, Trentino-Alto Adige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Gasolio — Region</w:t>
            </w:r>
          </w:p>
        </w:tc>
        <w:tc>
          <w:tcPr>
            <w:tcW w:type="dxa" w:w="2400"/>
            <w:shd w:fill="F0EDE6" w:val="clear"/>
          </w:tcPr>
          <w:p>
            <w:r>
              <w:rPr>
                <w:rFonts w:ascii="Calibri" w:cs="Calibri" w:eastAsia="Calibri" w:hAnsi="Calibri"/>
                <w:b/>
                <w:bCs/>
                <w:sz w:val="18"/>
                <w:szCs w:val="18"/>
              </w:rPr>
              <w:t xml:space="preserve">Gasolio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1BAF7A"/>
                <w:sz w:val="18"/>
                <w:szCs w:val="18"/>
              </w:rPr>
              <w:t xml:space="preserve">€2.206</w:t>
            </w:r>
          </w:p>
        </w:tc>
        <w:tc>
          <w:tcPr>
            <w:tcW w:type="dxa" w:w="2400"/>
          </w:tcPr>
          <w:p>
            <w:r>
              <w:rPr>
                <w:rFonts w:ascii="Calibri" w:cs="Calibri" w:eastAsia="Calibri" w:hAnsi="Calibri"/>
                <w:color w:val="14120F"/>
                <w:sz w:val="18"/>
                <w:szCs w:val="18"/>
              </w:rPr>
              <w:t xml:space="preserve">€2.175</w:t>
            </w:r>
          </w:p>
        </w:tc>
        <w:tc>
          <w:tcPr>
            <w:tcW w:type="dxa" w:w="2400"/>
          </w:tcPr>
          <w:p>
            <w:r>
              <w:rPr>
                <w:rFonts w:ascii="Calibri" w:cs="Calibri" w:eastAsia="Calibri" w:hAnsi="Calibri"/>
                <w:color w:val="14120F"/>
                <w:sz w:val="18"/>
                <w:szCs w:val="18"/>
              </w:rPr>
              <w:t xml:space="preserve">↑ +0.032 €/L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1BAF7A"/>
                <w:sz w:val="18"/>
                <w:szCs w:val="18"/>
              </w:rPr>
              <w:t xml:space="preserve">€2.170</w:t>
            </w:r>
          </w:p>
        </w:tc>
        <w:tc>
          <w:tcPr>
            <w:tcW w:type="dxa" w:w="2400"/>
          </w:tcPr>
          <w:p>
            <w:r>
              <w:rPr>
                <w:rFonts w:ascii="Calibri" w:cs="Calibri" w:eastAsia="Calibri" w:hAnsi="Calibri"/>
                <w:color w:val="14120F"/>
                <w:sz w:val="18"/>
                <w:szCs w:val="18"/>
              </w:rPr>
              <w:t xml:space="preserve">€2.136</w:t>
            </w:r>
          </w:p>
        </w:tc>
        <w:tc>
          <w:tcPr>
            <w:tcW w:type="dxa" w:w="2400"/>
          </w:tcPr>
          <w:p>
            <w:r>
              <w:rPr>
                <w:rFonts w:ascii="Calibri" w:cs="Calibri" w:eastAsia="Calibri" w:hAnsi="Calibri"/>
                <w:color w:val="14120F"/>
                <w:sz w:val="18"/>
                <w:szCs w:val="18"/>
              </w:rPr>
              <w:t xml:space="preserve">↑ +0.034 €/L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1BAF7A"/>
                <w:sz w:val="18"/>
                <w:szCs w:val="18"/>
              </w:rPr>
              <w:t xml:space="preserve">€2.153</w:t>
            </w:r>
          </w:p>
        </w:tc>
        <w:tc>
          <w:tcPr>
            <w:tcW w:type="dxa" w:w="2400"/>
          </w:tcPr>
          <w:p>
            <w:r>
              <w:rPr>
                <w:rFonts w:ascii="Calibri" w:cs="Calibri" w:eastAsia="Calibri" w:hAnsi="Calibri"/>
                <w:color w:val="14120F"/>
                <w:sz w:val="18"/>
                <w:szCs w:val="18"/>
              </w:rPr>
              <w:t xml:space="preserve">€2.118</w:t>
            </w:r>
          </w:p>
        </w:tc>
        <w:tc>
          <w:tcPr>
            <w:tcW w:type="dxa" w:w="2400"/>
          </w:tcPr>
          <w:p>
            <w:r>
              <w:rPr>
                <w:rFonts w:ascii="Calibri" w:cs="Calibri" w:eastAsia="Calibri" w:hAnsi="Calibri"/>
                <w:color w:val="14120F"/>
                <w:sz w:val="18"/>
                <w:szCs w:val="18"/>
              </w:rPr>
              <w:t xml:space="preserve">↑ +0.035 €/L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1BAF7A"/>
                <w:sz w:val="18"/>
                <w:szCs w:val="18"/>
              </w:rPr>
              <w:t xml:space="preserve">€2.149</w:t>
            </w:r>
          </w:p>
        </w:tc>
        <w:tc>
          <w:tcPr>
            <w:tcW w:type="dxa" w:w="2400"/>
          </w:tcPr>
          <w:p>
            <w:r>
              <w:rPr>
                <w:rFonts w:ascii="Calibri" w:cs="Calibri" w:eastAsia="Calibri" w:hAnsi="Calibri"/>
                <w:color w:val="14120F"/>
                <w:sz w:val="18"/>
                <w:szCs w:val="18"/>
              </w:rPr>
              <w:t xml:space="preserve">€2.113</w:t>
            </w:r>
          </w:p>
        </w:tc>
        <w:tc>
          <w:tcPr>
            <w:tcW w:type="dxa" w:w="2400"/>
          </w:tcPr>
          <w:p>
            <w:r>
              <w:rPr>
                <w:rFonts w:ascii="Calibri" w:cs="Calibri" w:eastAsia="Calibri" w:hAnsi="Calibri"/>
                <w:color w:val="14120F"/>
                <w:sz w:val="18"/>
                <w:szCs w:val="18"/>
              </w:rPr>
              <w:t xml:space="preserve">↑ +0.036 €/L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1BAF7A"/>
                <w:sz w:val="18"/>
                <w:szCs w:val="18"/>
              </w:rPr>
              <w:t xml:space="preserve">€2.179</w:t>
            </w:r>
          </w:p>
        </w:tc>
        <w:tc>
          <w:tcPr>
            <w:tcW w:type="dxa" w:w="2400"/>
          </w:tcPr>
          <w:p>
            <w:r>
              <w:rPr>
                <w:rFonts w:ascii="Calibri" w:cs="Calibri" w:eastAsia="Calibri" w:hAnsi="Calibri"/>
                <w:color w:val="14120F"/>
                <w:sz w:val="18"/>
                <w:szCs w:val="18"/>
              </w:rPr>
              <w:t xml:space="preserve">€2.141</w:t>
            </w:r>
          </w:p>
        </w:tc>
        <w:tc>
          <w:tcPr>
            <w:tcW w:type="dxa" w:w="2400"/>
          </w:tcPr>
          <w:p>
            <w:r>
              <w:rPr>
                <w:rFonts w:ascii="Calibri" w:cs="Calibri" w:eastAsia="Calibri" w:hAnsi="Calibri"/>
                <w:color w:val="14120F"/>
                <w:sz w:val="18"/>
                <w:szCs w:val="18"/>
              </w:rPr>
              <w:t xml:space="preserve">↑ +0.038 €/L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1BAF7A"/>
                <w:sz w:val="18"/>
                <w:szCs w:val="18"/>
              </w:rPr>
              <w:t xml:space="preserve">€2.199</w:t>
            </w:r>
          </w:p>
        </w:tc>
        <w:tc>
          <w:tcPr>
            <w:tcW w:type="dxa" w:w="2400"/>
          </w:tcPr>
          <w:p>
            <w:r>
              <w:rPr>
                <w:rFonts w:ascii="Calibri" w:cs="Calibri" w:eastAsia="Calibri" w:hAnsi="Calibri"/>
                <w:color w:val="14120F"/>
                <w:sz w:val="18"/>
                <w:szCs w:val="18"/>
              </w:rPr>
              <w:t xml:space="preserve">€2.162</w:t>
            </w:r>
          </w:p>
        </w:tc>
        <w:tc>
          <w:tcPr>
            <w:tcW w:type="dxa" w:w="2400"/>
          </w:tcPr>
          <w:p>
            <w:r>
              <w:rPr>
                <w:rFonts w:ascii="Calibri" w:cs="Calibri" w:eastAsia="Calibri" w:hAnsi="Calibri"/>
                <w:color w:val="14120F"/>
                <w:sz w:val="18"/>
                <w:szCs w:val="18"/>
              </w:rPr>
              <w:t xml:space="preserve">↑ +0.038 €/L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1BAF7A"/>
                <w:sz w:val="18"/>
                <w:szCs w:val="18"/>
              </w:rPr>
              <w:t xml:space="preserve">€2.203</w:t>
            </w:r>
          </w:p>
        </w:tc>
        <w:tc>
          <w:tcPr>
            <w:tcW w:type="dxa" w:w="2400"/>
          </w:tcPr>
          <w:p>
            <w:r>
              <w:rPr>
                <w:rFonts w:ascii="Calibri" w:cs="Calibri" w:eastAsia="Calibri" w:hAnsi="Calibri"/>
                <w:color w:val="14120F"/>
                <w:sz w:val="18"/>
                <w:szCs w:val="18"/>
              </w:rPr>
              <w:t xml:space="preserve">€2.166</w:t>
            </w:r>
          </w:p>
        </w:tc>
        <w:tc>
          <w:tcPr>
            <w:tcW w:type="dxa" w:w="2400"/>
          </w:tcPr>
          <w:p>
            <w:r>
              <w:rPr>
                <w:rFonts w:ascii="Calibri" w:cs="Calibri" w:eastAsia="Calibri" w:hAnsi="Calibri"/>
                <w:color w:val="14120F"/>
                <w:sz w:val="18"/>
                <w:szCs w:val="18"/>
              </w:rPr>
              <w:t xml:space="preserve">↑ +0.037 €/L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1BAF7A"/>
                <w:sz w:val="18"/>
                <w:szCs w:val="18"/>
              </w:rPr>
              <w:t xml:space="preserve">€2.250</w:t>
            </w:r>
          </w:p>
        </w:tc>
        <w:tc>
          <w:tcPr>
            <w:tcW w:type="dxa" w:w="2400"/>
          </w:tcPr>
          <w:p>
            <w:r>
              <w:rPr>
                <w:rFonts w:ascii="Calibri" w:cs="Calibri" w:eastAsia="Calibri" w:hAnsi="Calibri"/>
                <w:color w:val="14120F"/>
                <w:sz w:val="18"/>
                <w:szCs w:val="18"/>
              </w:rPr>
              <w:t xml:space="preserve">€2.216</w:t>
            </w:r>
          </w:p>
        </w:tc>
        <w:tc>
          <w:tcPr>
            <w:tcW w:type="dxa" w:w="2400"/>
          </w:tcPr>
          <w:p>
            <w:r>
              <w:rPr>
                <w:rFonts w:ascii="Calibri" w:cs="Calibri" w:eastAsia="Calibri" w:hAnsi="Calibri"/>
                <w:color w:val="14120F"/>
                <w:sz w:val="18"/>
                <w:szCs w:val="18"/>
              </w:rPr>
              <w:t xml:space="preserve">↑ +0.034 €/L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1BAF7A"/>
                <w:sz w:val="18"/>
                <w:szCs w:val="18"/>
              </w:rPr>
              <w:t xml:space="preserve">€2.293</w:t>
            </w:r>
          </w:p>
        </w:tc>
        <w:tc>
          <w:tcPr>
            <w:tcW w:type="dxa" w:w="2400"/>
          </w:tcPr>
          <w:p>
            <w:r>
              <w:rPr>
                <w:rFonts w:ascii="Calibri" w:cs="Calibri" w:eastAsia="Calibri" w:hAnsi="Calibri"/>
                <w:color w:val="14120F"/>
                <w:sz w:val="18"/>
                <w:szCs w:val="18"/>
              </w:rPr>
              <w:t xml:space="preserve">€2.259</w:t>
            </w:r>
          </w:p>
        </w:tc>
        <w:tc>
          <w:tcPr>
            <w:tcW w:type="dxa" w:w="2400"/>
          </w:tcPr>
          <w:p>
            <w:r>
              <w:rPr>
                <w:rFonts w:ascii="Calibri" w:cs="Calibri" w:eastAsia="Calibri" w:hAnsi="Calibri"/>
                <w:color w:val="14120F"/>
                <w:sz w:val="18"/>
                <w:szCs w:val="18"/>
              </w:rPr>
              <w:t xml:space="preserve">↑ +0.034 €/L</w:t>
            </w:r>
          </w:p>
        </w:tc>
      </w:tr>
    </w:tbl>
    <w:p>
      <w:r>
        <w:br w:type="page"/>
      </w:r>
    </w:p>
    <w:p>
      <w:pPr>
        <w:spacing w:after="80"/>
      </w:pPr>
      <w:r>
        <w:rPr>
          <w:rFonts w:ascii="Calibri" w:cs="Calibri" w:eastAsia="Calibri" w:hAnsi="Calibri"/>
          <w:b/>
          <w:bCs/>
          <w:color w:val="B9790A"/>
          <w:sz w:val="18"/>
          <w:szCs w:val="18"/>
        </w:rPr>
        <w:t xml:space="preserve">FUEL SPOTLIGHT · GPL (LPG)</w:t>
      </w:r>
    </w:p>
    <w:p>
      <w:pPr>
        <w:spacing w:after="180" w:before="0"/>
      </w:pPr>
      <w:r>
        <w:rPr>
          <w:rFonts w:ascii="Cambria" w:cs="Cambria" w:eastAsia="Cambria" w:hAnsi="Cambria"/>
          <w:b/>
          <w:bCs/>
          <w:color w:val="C98500"/>
          <w:sz w:val="34"/>
          <w:szCs w:val="34"/>
        </w:rPr>
        <w:t xml:space="preserve">LPG Holds Nearly Flat Locally While the National Average Quietly Slips</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€0.802</w:t>
            </w:r>
          </w:p>
          <w:p>
            <w:pPr>
              <w:spacing w:before="40"/>
            </w:pPr>
            <w:r>
              <w:rPr>
                <w:rFonts w:ascii="Calibri" w:cs="Calibri" w:eastAsia="Calibri" w:hAnsi="Calibri"/>
                <w:color w:val="5B564C"/>
                <w:sz w:val="17"/>
                <w:szCs w:val="17"/>
              </w:rPr>
              <w:t xml:space="preserve">Sep 16</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+0.002 €/L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+1.4%</w:t>
            </w:r>
          </w:p>
          <w:p>
            <w:pPr>
              <w:spacing w:before="40"/>
            </w:pPr>
            <w:r>
              <w:rPr>
                <w:rFonts w:ascii="Calibri" w:cs="Calibri" w:eastAsia="Calibri" w:hAnsi="Calibri"/>
                <w:color w:val="5B564C"/>
                <w:sz w:val="17"/>
                <w:szCs w:val="17"/>
              </w:rPr>
              <w:t xml:space="preserve">Trentino-Alto Adige,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-0.6%</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GPL edged up to €0.8024/L self-service on September 16, a modest €0.0020 (+0.25%) gain from €0.8004/L the previous day. That leaves it 6.22% above the national self-service average of €0.7554/L — proportionally the widest gap of any of the four fuels, even though LPG remains by far the cheapest option at the pump in absolute terms.</w:t>
      </w:r>
    </w:p>
    <w:p>
      <w:pPr>
        <w:spacing w:after="200"/>
      </w:pPr>
      <w:r>
        <w:rPr>
          <w:rFonts w:ascii="Calibri" w:cs="Calibri" w:eastAsia="Calibri" w:hAnsi="Calibri"/>
          <w:b w:val="false"/>
          <w:bCs w:val="false"/>
          <w:i w:val="false"/>
          <w:iCs w:val="false"/>
          <w:color w:val="14120F"/>
          <w:sz w:val="22"/>
          <w:szCs w:val="22"/>
        </w:rPr>
        <w:t xml:space="preserve">The multi-week picture is where GPL gets interesting: regional LPG rose 1.4% over the nine weeks tracked, from €0.7912/L (W30) to €0.8024/L (W38), while the national LPG average actually fell 0.6%, from €0.7592/L to €0.7547/L, over the identical period. That's the only fuel of the four where region and nation moved in opposite directions — Trentino-Alto Adige's LPG got a little more expensive at the same time the rest of Italy's got a little cheaper, quietly widening what was already the largest proportional regional premium in the dataset.</w:t>
      </w:r>
    </w:p>
    <w:p>
      <w:pPr>
        <w:spacing w:after="120"/>
      </w:pPr>
      <w:r>
        <w:rPr>
          <w:rFonts w:ascii="Calibri" w:cs="Calibri" w:eastAsia="Calibri" w:hAnsi="Calibri"/>
          <w:b/>
          <w:bCs/>
          <w:i w:val="false"/>
          <w:iCs w:val="false"/>
          <w:color w:val="5B564C"/>
          <w:sz w:val="18"/>
          <w:szCs w:val="18"/>
        </w:rPr>
        <w:t xml:space="preserve">Weekly self-service average, Trentino-Alto Adige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GPL — Region</w:t>
            </w:r>
          </w:p>
        </w:tc>
        <w:tc>
          <w:tcPr>
            <w:tcW w:type="dxa" w:w="2400"/>
            <w:shd w:fill="F0EDE6" w:val="clear"/>
          </w:tcPr>
          <w:p>
            <w:r>
              <w:rPr>
                <w:rFonts w:ascii="Calibri" w:cs="Calibri" w:eastAsia="Calibri" w:hAnsi="Calibri"/>
                <w:b/>
                <w:bCs/>
                <w:sz w:val="18"/>
                <w:szCs w:val="18"/>
              </w:rPr>
              <w:t xml:space="preserve">GPL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C98500"/>
                <w:sz w:val="18"/>
                <w:szCs w:val="18"/>
              </w:rPr>
              <w:t xml:space="preserve">€0.791</w:t>
            </w:r>
          </w:p>
        </w:tc>
        <w:tc>
          <w:tcPr>
            <w:tcW w:type="dxa" w:w="2400"/>
          </w:tcPr>
          <w:p>
            <w:r>
              <w:rPr>
                <w:rFonts w:ascii="Calibri" w:cs="Calibri" w:eastAsia="Calibri" w:hAnsi="Calibri"/>
                <w:color w:val="14120F"/>
                <w:sz w:val="18"/>
                <w:szCs w:val="18"/>
              </w:rPr>
              <w:t xml:space="preserve">€0.759</w:t>
            </w:r>
          </w:p>
        </w:tc>
        <w:tc>
          <w:tcPr>
            <w:tcW w:type="dxa" w:w="2400"/>
          </w:tcPr>
          <w:p>
            <w:r>
              <w:rPr>
                <w:rFonts w:ascii="Calibri" w:cs="Calibri" w:eastAsia="Calibri" w:hAnsi="Calibri"/>
                <w:color w:val="14120F"/>
                <w:sz w:val="18"/>
                <w:szCs w:val="18"/>
              </w:rPr>
              <w:t xml:space="preserve">↑ +0.032 €/L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C98500"/>
                <w:sz w:val="18"/>
                <w:szCs w:val="18"/>
              </w:rPr>
              <w:t xml:space="preserve">€0.793</w:t>
            </w:r>
          </w:p>
        </w:tc>
        <w:tc>
          <w:tcPr>
            <w:tcW w:type="dxa" w:w="2400"/>
          </w:tcPr>
          <w:p>
            <w:r>
              <w:rPr>
                <w:rFonts w:ascii="Calibri" w:cs="Calibri" w:eastAsia="Calibri" w:hAnsi="Calibri"/>
                <w:color w:val="14120F"/>
                <w:sz w:val="18"/>
                <w:szCs w:val="18"/>
              </w:rPr>
              <w:t xml:space="preserve">€0.757</w:t>
            </w:r>
          </w:p>
        </w:tc>
        <w:tc>
          <w:tcPr>
            <w:tcW w:type="dxa" w:w="2400"/>
          </w:tcPr>
          <w:p>
            <w:r>
              <w:rPr>
                <w:rFonts w:ascii="Calibri" w:cs="Calibri" w:eastAsia="Calibri" w:hAnsi="Calibri"/>
                <w:color w:val="14120F"/>
                <w:sz w:val="18"/>
                <w:szCs w:val="18"/>
              </w:rPr>
              <w:t xml:space="preserve">↑ +0.036 €/L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C98500"/>
                <w:sz w:val="18"/>
                <w:szCs w:val="18"/>
              </w:rPr>
              <w:t xml:space="preserve">€0.792</w:t>
            </w:r>
          </w:p>
        </w:tc>
        <w:tc>
          <w:tcPr>
            <w:tcW w:type="dxa" w:w="2400"/>
          </w:tcPr>
          <w:p>
            <w:r>
              <w:rPr>
                <w:rFonts w:ascii="Calibri" w:cs="Calibri" w:eastAsia="Calibri" w:hAnsi="Calibri"/>
                <w:color w:val="14120F"/>
                <w:sz w:val="18"/>
                <w:szCs w:val="18"/>
              </w:rPr>
              <w:t xml:space="preserve">€0.756</w:t>
            </w:r>
          </w:p>
        </w:tc>
        <w:tc>
          <w:tcPr>
            <w:tcW w:type="dxa" w:w="2400"/>
          </w:tcPr>
          <w:p>
            <w:r>
              <w:rPr>
                <w:rFonts w:ascii="Calibri" w:cs="Calibri" w:eastAsia="Calibri" w:hAnsi="Calibri"/>
                <w:color w:val="14120F"/>
                <w:sz w:val="18"/>
                <w:szCs w:val="18"/>
              </w:rPr>
              <w:t xml:space="preserve">↑ +0.036 €/L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C98500"/>
                <w:sz w:val="18"/>
                <w:szCs w:val="18"/>
              </w:rPr>
              <w:t xml:space="preserve">€0.793</w:t>
            </w:r>
          </w:p>
        </w:tc>
        <w:tc>
          <w:tcPr>
            <w:tcW w:type="dxa" w:w="2400"/>
          </w:tcPr>
          <w:p>
            <w:r>
              <w:rPr>
                <w:rFonts w:ascii="Calibri" w:cs="Calibri" w:eastAsia="Calibri" w:hAnsi="Calibri"/>
                <w:color w:val="14120F"/>
                <w:sz w:val="18"/>
                <w:szCs w:val="18"/>
              </w:rPr>
              <w:t xml:space="preserve">€0.757</w:t>
            </w:r>
          </w:p>
        </w:tc>
        <w:tc>
          <w:tcPr>
            <w:tcW w:type="dxa" w:w="2400"/>
          </w:tcPr>
          <w:p>
            <w:r>
              <w:rPr>
                <w:rFonts w:ascii="Calibri" w:cs="Calibri" w:eastAsia="Calibri" w:hAnsi="Calibri"/>
                <w:color w:val="14120F"/>
                <w:sz w:val="18"/>
                <w:szCs w:val="18"/>
              </w:rPr>
              <w:t xml:space="preserve">↑ +0.037 €/L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C98500"/>
                <w:sz w:val="18"/>
                <w:szCs w:val="18"/>
              </w:rPr>
              <w:t xml:space="preserve">€0.792</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+0.037 €/L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C98500"/>
                <w:sz w:val="18"/>
                <w:szCs w:val="18"/>
              </w:rPr>
              <w:t xml:space="preserve">€0.797</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+0.043 €/L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C98500"/>
                <w:sz w:val="18"/>
                <w:szCs w:val="18"/>
              </w:rPr>
              <w:t xml:space="preserve">€0.800</w:t>
            </w:r>
          </w:p>
        </w:tc>
        <w:tc>
          <w:tcPr>
            <w:tcW w:type="dxa" w:w="2400"/>
          </w:tcPr>
          <w:p>
            <w:r>
              <w:rPr>
                <w:rFonts w:ascii="Calibri" w:cs="Calibri" w:eastAsia="Calibri" w:hAnsi="Calibri"/>
                <w:color w:val="14120F"/>
                <w:sz w:val="18"/>
                <w:szCs w:val="18"/>
              </w:rPr>
              <w:t xml:space="preserve">€0.754</w:t>
            </w:r>
          </w:p>
        </w:tc>
        <w:tc>
          <w:tcPr>
            <w:tcW w:type="dxa" w:w="2400"/>
          </w:tcPr>
          <w:p>
            <w:r>
              <w:rPr>
                <w:rFonts w:ascii="Calibri" w:cs="Calibri" w:eastAsia="Calibri" w:hAnsi="Calibri"/>
                <w:color w:val="14120F"/>
                <w:sz w:val="18"/>
                <w:szCs w:val="18"/>
              </w:rPr>
              <w:t xml:space="preserve">↑ +0.046 €/L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C98500"/>
                <w:sz w:val="18"/>
                <w:szCs w:val="18"/>
              </w:rPr>
              <w:t xml:space="preserve">€0.804</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+0.049 €/L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C98500"/>
                <w:sz w:val="18"/>
                <w:szCs w:val="18"/>
              </w:rPr>
              <w:t xml:space="preserve">€0.802</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+0.048 €/L</w:t>
            </w:r>
          </w:p>
        </w:tc>
      </w:tr>
    </w:tbl>
    <w:p>
      <w:r>
        <w:br w:type="page"/>
      </w:r>
    </w:p>
    <w:p>
      <w:pPr>
        <w:spacing w:after="80"/>
      </w:pPr>
      <w:r>
        <w:rPr>
          <w:rFonts w:ascii="Calibri" w:cs="Calibri" w:eastAsia="Calibri" w:hAnsi="Calibri"/>
          <w:b/>
          <w:bCs/>
          <w:color w:val="B9790A"/>
          <w:sz w:val="18"/>
          <w:szCs w:val="18"/>
        </w:rPr>
        <w:t xml:space="preserve">FUEL SPOTLIGHT · METANO (CNG)</w:t>
      </w:r>
    </w:p>
    <w:p>
      <w:pPr>
        <w:spacing w:after="180" w:before="0"/>
      </w:pPr>
      <w:r>
        <w:rPr>
          <w:rFonts w:ascii="Cambria" w:cs="Cambria" w:eastAsia="Cambria" w:hAnsi="Cambria"/>
          <w:b/>
          <w:bCs/>
          <w:color w:val="1F9C1F"/>
          <w:sz w:val="34"/>
          <w:szCs w:val="34"/>
        </w:rPr>
        <w:t xml:space="preserve">The Region's Big Methane Premium Keeps Shrinking as the Nation Catches Up</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€1.966</w:t>
            </w:r>
          </w:p>
          <w:p>
            <w:pPr>
              <w:spacing w:before="40"/>
            </w:pPr>
            <w:r>
              <w:rPr>
                <w:rFonts w:ascii="Calibri" w:cs="Calibri" w:eastAsia="Calibri" w:hAnsi="Calibri"/>
                <w:color w:val="5B564C"/>
                <w:sz w:val="17"/>
                <w:szCs w:val="17"/>
              </w:rPr>
              <w:t xml:space="preserve">Sep 16</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0.000 €/L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+9.3%</w:t>
            </w:r>
          </w:p>
          <w:p>
            <w:pPr>
              <w:spacing w:before="40"/>
            </w:pPr>
            <w:r>
              <w:rPr>
                <w:rFonts w:ascii="Calibri" w:cs="Calibri" w:eastAsia="Calibri" w:hAnsi="Calibri"/>
                <w:color w:val="5B564C"/>
                <w:sz w:val="17"/>
                <w:szCs w:val="17"/>
              </w:rPr>
              <w:t xml:space="preserve">Trentino-Alto Adige,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+16.5%</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Self-service Metano held flat at €1.966/L on September 16, unchanged from the day before, but still 11.65% above the national self-service average of €1.7608/L — by a wide margin the largest gap of any fuel this region carries relative to the rest of Italy.</w:t>
      </w:r>
    </w:p>
    <w:p>
      <w:pPr>
        <w:spacing w:after="200"/>
      </w:pPr>
      <w:r>
        <w:rPr>
          <w:rFonts w:ascii="Calibri" w:cs="Calibri" w:eastAsia="Calibri" w:hAnsi="Calibri"/>
          <w:b w:val="false"/>
          <w:bCs w:val="false"/>
          <w:i w:val="false"/>
          <w:iCs w:val="false"/>
          <w:color w:val="14120F"/>
          <w:sz w:val="22"/>
          <w:szCs w:val="22"/>
        </w:rPr>
        <w:t xml:space="preserve">That gap, though, is closing fast. In the week of July 20, Trentino-Alto Adige's average Metano price of €1.7993/L sat 19.96% above the national average of €1.4999/L. By the week of September 14, the region's price had risen to €1.966/L (+9.3% over the nine weeks) while the national average surged to €1.7477/L (+16.5% over the same span) — nearly double the region's rate of increase. The result: the regional premium has narrowed from roughly 20% to about 12.5%, a relative drop of more than a third. Metano is the fastest-moving fuel nationally this quarter by a wide margin, and Trentino-Alto Adige's historic status as an expensive outlier for natural gas is measurably eroding as the rest of the country's methane prices rush to catch up.</w:t>
      </w:r>
    </w:p>
    <w:p>
      <w:pPr>
        <w:spacing w:after="120"/>
      </w:pPr>
      <w:r>
        <w:rPr>
          <w:rFonts w:ascii="Calibri" w:cs="Calibri" w:eastAsia="Calibri" w:hAnsi="Calibri"/>
          <w:b/>
          <w:bCs/>
          <w:i w:val="false"/>
          <w:iCs w:val="false"/>
          <w:color w:val="5B564C"/>
          <w:sz w:val="18"/>
          <w:szCs w:val="18"/>
        </w:rPr>
        <w:t xml:space="preserve">Weekly self-service average, Trentino-Alto Adige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Metano — Region</w:t>
            </w:r>
          </w:p>
        </w:tc>
        <w:tc>
          <w:tcPr>
            <w:tcW w:type="dxa" w:w="2400"/>
            <w:shd w:fill="F0EDE6" w:val="clear"/>
          </w:tcPr>
          <w:p>
            <w:r>
              <w:rPr>
                <w:rFonts w:ascii="Calibri" w:cs="Calibri" w:eastAsia="Calibri" w:hAnsi="Calibri"/>
                <w:b/>
                <w:bCs/>
                <w:sz w:val="18"/>
                <w:szCs w:val="18"/>
              </w:rPr>
              <w:t xml:space="preserve">Metano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1F9C1F"/>
                <w:sz w:val="18"/>
                <w:szCs w:val="18"/>
              </w:rPr>
              <w:t xml:space="preserve">€1.799</w:t>
            </w:r>
          </w:p>
        </w:tc>
        <w:tc>
          <w:tcPr>
            <w:tcW w:type="dxa" w:w="2400"/>
          </w:tcPr>
          <w:p>
            <w:r>
              <w:rPr>
                <w:rFonts w:ascii="Calibri" w:cs="Calibri" w:eastAsia="Calibri" w:hAnsi="Calibri"/>
                <w:color w:val="14120F"/>
                <w:sz w:val="18"/>
                <w:szCs w:val="18"/>
              </w:rPr>
              <w:t xml:space="preserve">€1.500</w:t>
            </w:r>
          </w:p>
        </w:tc>
        <w:tc>
          <w:tcPr>
            <w:tcW w:type="dxa" w:w="2400"/>
          </w:tcPr>
          <w:p>
            <w:r>
              <w:rPr>
                <w:rFonts w:ascii="Calibri" w:cs="Calibri" w:eastAsia="Calibri" w:hAnsi="Calibri"/>
                <w:color w:val="14120F"/>
                <w:sz w:val="18"/>
                <w:szCs w:val="18"/>
              </w:rPr>
              <w:t xml:space="preserve">↑ +0.299 €/L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1F9C1F"/>
                <w:sz w:val="18"/>
                <w:szCs w:val="18"/>
              </w:rPr>
              <w:t xml:space="preserve">€1.799</w:t>
            </w:r>
          </w:p>
        </w:tc>
        <w:tc>
          <w:tcPr>
            <w:tcW w:type="dxa" w:w="2400"/>
          </w:tcPr>
          <w:p>
            <w:r>
              <w:rPr>
                <w:rFonts w:ascii="Calibri" w:cs="Calibri" w:eastAsia="Calibri" w:hAnsi="Calibri"/>
                <w:color w:val="14120F"/>
                <w:sz w:val="18"/>
                <w:szCs w:val="18"/>
              </w:rPr>
              <w:t xml:space="preserve">€1.518</w:t>
            </w:r>
          </w:p>
        </w:tc>
        <w:tc>
          <w:tcPr>
            <w:tcW w:type="dxa" w:w="2400"/>
          </w:tcPr>
          <w:p>
            <w:r>
              <w:rPr>
                <w:rFonts w:ascii="Calibri" w:cs="Calibri" w:eastAsia="Calibri" w:hAnsi="Calibri"/>
                <w:color w:val="14120F"/>
                <w:sz w:val="18"/>
                <w:szCs w:val="18"/>
              </w:rPr>
              <w:t xml:space="preserve">↑ +0.282 €/L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1F9C1F"/>
                <w:sz w:val="18"/>
                <w:szCs w:val="18"/>
              </w:rPr>
              <w:t xml:space="preserve">€1.799</w:t>
            </w:r>
          </w:p>
        </w:tc>
        <w:tc>
          <w:tcPr>
            <w:tcW w:type="dxa" w:w="2400"/>
          </w:tcPr>
          <w:p>
            <w:r>
              <w:rPr>
                <w:rFonts w:ascii="Calibri" w:cs="Calibri" w:eastAsia="Calibri" w:hAnsi="Calibri"/>
                <w:color w:val="14120F"/>
                <w:sz w:val="18"/>
                <w:szCs w:val="18"/>
              </w:rPr>
              <w:t xml:space="preserve">€1.551</w:t>
            </w:r>
          </w:p>
        </w:tc>
        <w:tc>
          <w:tcPr>
            <w:tcW w:type="dxa" w:w="2400"/>
          </w:tcPr>
          <w:p>
            <w:r>
              <w:rPr>
                <w:rFonts w:ascii="Calibri" w:cs="Calibri" w:eastAsia="Calibri" w:hAnsi="Calibri"/>
                <w:color w:val="14120F"/>
                <w:sz w:val="18"/>
                <w:szCs w:val="18"/>
              </w:rPr>
              <w:t xml:space="preserve">↑ +0.248 €/L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1F9C1F"/>
                <w:sz w:val="18"/>
                <w:szCs w:val="18"/>
              </w:rPr>
              <w:t xml:space="preserve">€1.799</w:t>
            </w:r>
          </w:p>
        </w:tc>
        <w:tc>
          <w:tcPr>
            <w:tcW w:type="dxa" w:w="2400"/>
          </w:tcPr>
          <w:p>
            <w:r>
              <w:rPr>
                <w:rFonts w:ascii="Calibri" w:cs="Calibri" w:eastAsia="Calibri" w:hAnsi="Calibri"/>
                <w:color w:val="14120F"/>
                <w:sz w:val="18"/>
                <w:szCs w:val="18"/>
              </w:rPr>
              <w:t xml:space="preserve">€1.570</w:t>
            </w:r>
          </w:p>
        </w:tc>
        <w:tc>
          <w:tcPr>
            <w:tcW w:type="dxa" w:w="2400"/>
          </w:tcPr>
          <w:p>
            <w:r>
              <w:rPr>
                <w:rFonts w:ascii="Calibri" w:cs="Calibri" w:eastAsia="Calibri" w:hAnsi="Calibri"/>
                <w:color w:val="14120F"/>
                <w:sz w:val="18"/>
                <w:szCs w:val="18"/>
              </w:rPr>
              <w:t xml:space="preserve">↑ +0.229 €/L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1F9C1F"/>
                <w:sz w:val="18"/>
                <w:szCs w:val="18"/>
              </w:rPr>
              <w:t xml:space="preserve">€1.832</w:t>
            </w:r>
          </w:p>
        </w:tc>
        <w:tc>
          <w:tcPr>
            <w:tcW w:type="dxa" w:w="2400"/>
          </w:tcPr>
          <w:p>
            <w:r>
              <w:rPr>
                <w:rFonts w:ascii="Calibri" w:cs="Calibri" w:eastAsia="Calibri" w:hAnsi="Calibri"/>
                <w:color w:val="14120F"/>
                <w:sz w:val="18"/>
                <w:szCs w:val="18"/>
              </w:rPr>
              <w:t xml:space="preserve">€1.581</w:t>
            </w:r>
          </w:p>
        </w:tc>
        <w:tc>
          <w:tcPr>
            <w:tcW w:type="dxa" w:w="2400"/>
          </w:tcPr>
          <w:p>
            <w:r>
              <w:rPr>
                <w:rFonts w:ascii="Calibri" w:cs="Calibri" w:eastAsia="Calibri" w:hAnsi="Calibri"/>
                <w:color w:val="14120F"/>
                <w:sz w:val="18"/>
                <w:szCs w:val="18"/>
              </w:rPr>
              <w:t xml:space="preserve">↑ +0.251 €/L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1F9C1F"/>
                <w:sz w:val="18"/>
                <w:szCs w:val="18"/>
              </w:rPr>
              <w:t xml:space="preserve">€1.832</w:t>
            </w:r>
          </w:p>
        </w:tc>
        <w:tc>
          <w:tcPr>
            <w:tcW w:type="dxa" w:w="2400"/>
          </w:tcPr>
          <w:p>
            <w:r>
              <w:rPr>
                <w:rFonts w:ascii="Calibri" w:cs="Calibri" w:eastAsia="Calibri" w:hAnsi="Calibri"/>
                <w:color w:val="14120F"/>
                <w:sz w:val="18"/>
                <w:szCs w:val="18"/>
              </w:rPr>
              <w:t xml:space="preserve">€1.589</w:t>
            </w:r>
          </w:p>
        </w:tc>
        <w:tc>
          <w:tcPr>
            <w:tcW w:type="dxa" w:w="2400"/>
          </w:tcPr>
          <w:p>
            <w:r>
              <w:rPr>
                <w:rFonts w:ascii="Calibri" w:cs="Calibri" w:eastAsia="Calibri" w:hAnsi="Calibri"/>
                <w:color w:val="14120F"/>
                <w:sz w:val="18"/>
                <w:szCs w:val="18"/>
              </w:rPr>
              <w:t xml:space="preserve">↑ +0.243 €/L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1F9C1F"/>
                <w:sz w:val="18"/>
                <w:szCs w:val="18"/>
              </w:rPr>
              <w:t xml:space="preserve">€1.854</w:t>
            </w:r>
          </w:p>
        </w:tc>
        <w:tc>
          <w:tcPr>
            <w:tcW w:type="dxa" w:w="2400"/>
          </w:tcPr>
          <w:p>
            <w:r>
              <w:rPr>
                <w:rFonts w:ascii="Calibri" w:cs="Calibri" w:eastAsia="Calibri" w:hAnsi="Calibri"/>
                <w:color w:val="14120F"/>
                <w:sz w:val="18"/>
                <w:szCs w:val="18"/>
              </w:rPr>
              <w:t xml:space="preserve">€1.616</w:t>
            </w:r>
          </w:p>
        </w:tc>
        <w:tc>
          <w:tcPr>
            <w:tcW w:type="dxa" w:w="2400"/>
          </w:tcPr>
          <w:p>
            <w:r>
              <w:rPr>
                <w:rFonts w:ascii="Calibri" w:cs="Calibri" w:eastAsia="Calibri" w:hAnsi="Calibri"/>
                <w:color w:val="14120F"/>
                <w:sz w:val="18"/>
                <w:szCs w:val="18"/>
              </w:rPr>
              <w:t xml:space="preserve">↑ +0.239 €/L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1F9C1F"/>
                <w:sz w:val="18"/>
                <w:szCs w:val="18"/>
              </w:rPr>
              <w:t xml:space="preserve">€1.918</w:t>
            </w:r>
          </w:p>
        </w:tc>
        <w:tc>
          <w:tcPr>
            <w:tcW w:type="dxa" w:w="2400"/>
          </w:tcPr>
          <w:p>
            <w:r>
              <w:rPr>
                <w:rFonts w:ascii="Calibri" w:cs="Calibri" w:eastAsia="Calibri" w:hAnsi="Calibri"/>
                <w:color w:val="14120F"/>
                <w:sz w:val="18"/>
                <w:szCs w:val="18"/>
              </w:rPr>
              <w:t xml:space="preserve">€1.702</w:t>
            </w:r>
          </w:p>
        </w:tc>
        <w:tc>
          <w:tcPr>
            <w:tcW w:type="dxa" w:w="2400"/>
          </w:tcPr>
          <w:p>
            <w:r>
              <w:rPr>
                <w:rFonts w:ascii="Calibri" w:cs="Calibri" w:eastAsia="Calibri" w:hAnsi="Calibri"/>
                <w:color w:val="14120F"/>
                <w:sz w:val="18"/>
                <w:szCs w:val="18"/>
              </w:rPr>
              <w:t xml:space="preserve">↑ +0.216 €/L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1F9C1F"/>
                <w:sz w:val="18"/>
                <w:szCs w:val="18"/>
              </w:rPr>
              <w:t xml:space="preserve">€1.966</w:t>
            </w:r>
          </w:p>
        </w:tc>
        <w:tc>
          <w:tcPr>
            <w:tcW w:type="dxa" w:w="2400"/>
          </w:tcPr>
          <w:p>
            <w:r>
              <w:rPr>
                <w:rFonts w:ascii="Calibri" w:cs="Calibri" w:eastAsia="Calibri" w:hAnsi="Calibri"/>
                <w:color w:val="14120F"/>
                <w:sz w:val="18"/>
                <w:szCs w:val="18"/>
              </w:rPr>
              <w:t xml:space="preserve">€1.748</w:t>
            </w:r>
          </w:p>
        </w:tc>
        <w:tc>
          <w:tcPr>
            <w:tcW w:type="dxa" w:w="2400"/>
          </w:tcPr>
          <w:p>
            <w:r>
              <w:rPr>
                <w:rFonts w:ascii="Calibri" w:cs="Calibri" w:eastAsia="Calibri" w:hAnsi="Calibri"/>
                <w:color w:val="14120F"/>
                <w:sz w:val="18"/>
                <w:szCs w:val="18"/>
              </w:rPr>
              <w:t xml:space="preserve">↑ +0.218 €/L</w:t>
            </w:r>
          </w:p>
        </w:tc>
      </w:tr>
    </w:tbl>
    <w:p>
      <w:r>
        <w:br w:type="page"/>
      </w:r>
    </w:p>
    <w:p>
      <w:pPr>
        <w:spacing w:after="80"/>
      </w:pPr>
      <w:r>
        <w:rPr>
          <w:rFonts w:ascii="Calibri" w:cs="Calibri" w:eastAsia="Calibri" w:hAnsi="Calibri"/>
          <w:b/>
          <w:bCs/>
          <w:color w:val="B9790A"/>
          <w:sz w:val="18"/>
          <w:szCs w:val="18"/>
        </w:rPr>
        <w:t xml:space="preserve">STATION NETWORK</w:t>
      </w:r>
    </w:p>
    <w:p>
      <w:pPr>
        <w:spacing w:after="180" w:before="0"/>
      </w:pPr>
      <w:r>
        <w:rPr>
          <w:rFonts w:ascii="Cambria" w:cs="Cambria" w:eastAsia="Cambria" w:hAnsi="Cambria"/>
          <w:b/>
          <w:bCs/>
          <w:color w:val="14120F"/>
          <w:sz w:val="34"/>
          <w:szCs w:val="34"/>
        </w:rPr>
        <w:t xml:space="preserve">A High-Reporting Region: 372 of 392 Stations Checked In Today</w:t>
      </w:r>
    </w:p>
    <w:p>
      <w:pPr>
        <w:spacing w:after="200"/>
      </w:pPr>
      <w:r>
        <w:rPr>
          <w:rFonts w:ascii="Calibri" w:cs="Calibri" w:eastAsia="Calibri" w:hAnsi="Calibri"/>
          <w:b w:val="false"/>
          <w:bCs w:val="false"/>
          <w:i w:val="false"/>
          <w:iCs w:val="false"/>
          <w:color w:val="14120F"/>
          <w:sz w:val="22"/>
          <w:szCs w:val="22"/>
        </w:rPr>
        <w:t xml:space="preserve">Trentino-Alto Adige has 392 registered fuel stations, of which 372 reported prices on September 16 — a 94.9% reporting rate, one station higher than the 371 that reported the day before. That compares favorably to the national reporting rate of 90.2% (21,645 of 24,000 registered stations), making this one of the more reliably-covered regions in the dataset on any given day.</w:t>
      </w:r>
    </w:p>
    <w:p>
      <w:pPr>
        <w:spacing w:after="200"/>
      </w:pPr>
      <w:r>
        <w:rPr>
          <w:rFonts w:ascii="Calibri" w:cs="Calibri" w:eastAsia="Calibri" w:hAnsi="Calibri"/>
          <w:b w:val="false"/>
          <w:bCs w:val="false"/>
          <w:i w:val="false"/>
          <w:iCs w:val="false"/>
          <w:color w:val="14120F"/>
          <w:sz w:val="22"/>
          <w:szCs w:val="22"/>
        </w:rPr>
        <w:t xml:space="preserve">A high and stable reporting rate matters for how much weight to put on the region's daily figures: with roughly 95% of registered stations checking in consistently, the daily and weekly averages presented here are unlikely to be skewed by a handful of stragglers dropping in and out of the sample, unlike lower-reporting regions where day-to-day swings can partly reflect which stations happened to report rather than genuine price movement.</w:t>
      </w:r>
    </w:p>
    <w:p>
      <w:r>
        <w:br w:type="page"/>
      </w:r>
    </w:p>
    <w:p>
      <w:pPr>
        <w:spacing w:after="80"/>
      </w:pPr>
      <w:r>
        <w:rPr>
          <w:rFonts w:ascii="Calibri" w:cs="Calibri" w:eastAsia="Calibri" w:hAnsi="Calibri"/>
          <w:b/>
          <w:bCs/>
          <w:color w:val="B9790A"/>
          <w:sz w:val="18"/>
          <w:szCs w:val="18"/>
        </w:rPr>
        <w:t xml:space="preserve">HOW THIS REPORT IS BUILT</w:t>
      </w:r>
    </w:p>
    <w:p>
      <w:pPr>
        <w:spacing w:after="180" w:before="0"/>
      </w:pPr>
      <w:r>
        <w:rPr>
          <w:rFonts w:ascii="Cambria" w:cs="Cambria" w:eastAsia="Cambria" w:hAnsi="Cambria"/>
          <w:b/>
          <w:bCs/>
          <w:color w:val="14120F"/>
          <w:sz w:val="34"/>
          <w:szCs w:val="34"/>
        </w:rPr>
        <w:t xml:space="preserve">How This Report Gets Made: No Spreadsheet, No Analyst, No Manual Step</w:t>
      </w:r>
    </w:p>
    <w:p>
      <w:pPr>
        <w:spacing w:after="200"/>
      </w:pPr>
      <w:r>
        <w:rPr>
          <w:rFonts w:ascii="Calibri" w:cs="Calibri" w:eastAsia="Calibri" w:hAnsi="Calibri"/>
          <w:b w:val="false"/>
          <w:bCs w:val="false"/>
          <w:i w:val="false"/>
          <w:iCs w:val="false"/>
          <w:color w:val="14120F"/>
          <w:sz w:val="22"/>
          <w:szCs w:val="22"/>
        </w:rPr>
        <w:t xml:space="preserve">Every part of this report — pulling the day's price and registry data, computing the weekly regional and national trend series, rotating deterministically through Italy's 20 regions by calendar date, and writing the analysis above in plain English — runs automatically, once a day, without a person opening a spreadsheet or copying a number by hand. The pipeline is built entirely with Claude Code: an AI coding agent wrote the scripts that fetch and reconcile the MIMIT price feeds, wrote the region-selection logic that guarantees every region gets its turn on a fixed cycle, and generates this narrative fresh each day directly from that day's real figures.</w:t>
      </w:r>
    </w:p>
    <w:p>
      <w:pPr>
        <w:spacing w:after="200"/>
      </w:pPr>
      <w:r>
        <w:rPr>
          <w:rFonts w:ascii="Calibri" w:cs="Calibri" w:eastAsia="Calibri" w:hAnsi="Calibri"/>
          <w:b w:val="false"/>
          <w:bCs w:val="false"/>
          <w:i w:val="false"/>
          <w:iCs w:val="false"/>
          <w:color w:val="14120F"/>
          <w:sz w:val="22"/>
          <w:szCs w:val="22"/>
        </w:rPr>
        <w:t xml:space="preserve">Contrast that with the standard way this kind of tracking usually gets built: someone maintains a spreadsheet, manually pastes in new numbers, and writes up a summary if and when they have time — a process that decays the moment that person is busy, on leave, or moves on. This report and the live dashboard behind it are proof that the same job — ingesting messy public data, computing real trends, and communicating them clearly — can be handled end-to-end by an unattended, self-updating system, with a human only in the loop to review before anything gets shared publicly.</w:t>
      </w:r>
    </w:p>
    <w:p>
      <w:r>
        <w:br w:type="page"/>
      </w:r>
    </w:p>
    <w:p>
      <w:pPr>
        <w:spacing w:after="80"/>
      </w:pPr>
      <w:r>
        <w:rPr>
          <w:rFonts w:ascii="Calibri" w:cs="Calibri" w:eastAsia="Calibri" w:hAnsi="Calibri"/>
          <w:b/>
          <w:bCs/>
          <w:color w:val="B9790A"/>
          <w:sz w:val="18"/>
          <w:szCs w:val="18"/>
        </w:rPr>
        <w:t xml:space="preserve">VISIT THE DASHBOARD</w:t>
      </w:r>
    </w:p>
    <w:p>
      <w:pPr>
        <w:spacing w:after="180" w:before="0"/>
      </w:pPr>
      <w:r>
        <w:rPr>
          <w:rFonts w:ascii="Cambria" w:cs="Cambria" w:eastAsia="Cambria" w:hAnsi="Cambria"/>
          <w:b/>
          <w:bCs/>
          <w:color w:val="14120F"/>
          <w:sz w:val="34"/>
          <w:szCs w:val="34"/>
        </w:rPr>
        <w:t xml:space="preserve">Explore Further on the Live Dashboard</w:t>
      </w:r>
    </w:p>
    <w:p>
      <w:pPr>
        <w:spacing w:after="200"/>
      </w:pPr>
      <w:r>
        <w:rPr>
          <w:rFonts w:ascii="Calibri" w:cs="Calibri" w:eastAsia="Calibri" w:hAnsi="Calibri"/>
          <w:b w:val="false"/>
          <w:bCs w:val="false"/>
          <w:i w:val="false"/>
          <w:iCs w:val="false"/>
          <w:color w:val="14120F"/>
          <w:sz w:val="22"/>
          <w:szCs w:val="22"/>
        </w:rPr>
        <w:t xml:space="preserve">The live Fuel Dashboard at https://adeo-blip.github.io/fuel-price-italy/ opens by default on Agip Eni's brand-level view, but that's just the starting point — use the scope picker to switch to Region, Province, Municipality, or any other Operator/Brand to dig into the numbers that matter most to you, whether that's your own province's diesel prices or how a specific chain compares to the market nationally.</w:t>
      </w:r>
    </w:p>
    <w:p>
      <w:pPr>
        <w:spacing w:after="320"/>
      </w:pPr>
      <w:r>
        <w:rPr>
          <w:rFonts w:ascii="Calibri" w:cs="Calibri" w:eastAsia="Calibri" w:hAnsi="Calibri"/>
          <w:b/>
          <w:bCs/>
          <w:i w:val="false"/>
          <w:iCs w:val="false"/>
          <w:color w:val="B9790A"/>
          <w:sz w:val="24"/>
          <w:szCs w:val="24"/>
        </w:rPr>
        <w:t xml:space="preserve">https://adeo-blip.github.io/fuel-price-italy/</w:t>
      </w:r>
    </w:p>
    <w:p>
      <w:pPr>
        <w:pBdr>
          <w:top w:val="single" w:color="E6E2D8" w:sz="6" w:space="8"/>
        </w:pBdr>
        <w:spacing w:before="200"/>
      </w:pPr>
      <w:r>
        <w:rPr>
          <w:rFonts w:ascii="Calibri" w:cs="Calibri" w:eastAsia="Calibri" w:hAnsi="Calibri"/>
          <w:b/>
          <w:bCs/>
          <w:color w:val="14120F"/>
          <w:sz w:val="20"/>
          <w:szCs w:val="20"/>
        </w:rPr>
        <w:t xml:space="preserve">Adeo Patapo</w:t>
      </w:r>
    </w:p>
    <w:p>
      <w:pPr>
        <w:spacing w:after="0"/>
      </w:pPr>
      <w:r>
        <w:rPr>
          <w:rFonts w:ascii="Calibri" w:cs="Calibri" w:eastAsia="Calibri" w:hAnsi="Calibri"/>
          <w:b w:val="false"/>
          <w:bCs w:val="false"/>
          <w:i w:val="false"/>
          <w:iCs w:val="false"/>
          <w:color w:val="5B564C"/>
          <w:sz w:val="18"/>
          <w:szCs w:val="18"/>
        </w:rPr>
        <w:t xml:space="preserve">adeopatapo@gmail.com · +39 366 378 6189</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2026-09-17T13:33:36.309Z</dcterms:created>
  <dcterms:modified xsi:type="dcterms:W3CDTF">2026-09-17T13:33:36.310Z</dcterms:modified>
</cp:coreProperties>
</file>

<file path=docProps/custom.xml><?xml version="1.0" encoding="utf-8"?>
<Properties xmlns="http://schemas.openxmlformats.org/officeDocument/2006/custom-properties" xmlns:vt="http://schemas.openxmlformats.org/officeDocument/2006/docPropsVTypes"/>
</file>