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B9790A"/>
          <w:sz w:val="18"/>
          <w:szCs w:val="18"/>
        </w:rPr>
        <w:t xml:space="preserve">FUEL DASHBOARD · REGIONE SPOTLIGHT</w:t>
      </w:r>
    </w:p>
    <w:p>
      <w:pPr>
        <w:spacing w:after="100" w:before="400"/>
      </w:pPr>
      <w:r>
        <w:rPr>
          <w:rFonts w:ascii="Cambria" w:cs="Cambria" w:eastAsia="Cambria" w:hAnsi="Cambria"/>
          <w:b/>
          <w:bCs/>
          <w:color w:val="14120F"/>
          <w:sz w:val="60"/>
          <w:szCs w:val="60"/>
        </w:rPr>
        <w:t xml:space="preserve">Umbria's Methane Is Sprinting: Up 18.7% in Eight Weeks While Petrol and Diesel Climb in Lockstep With Italy</w:t>
      </w:r>
    </w:p>
    <w:p>
      <w:pPr>
        <w:spacing w:after="320"/>
      </w:pPr>
      <w:r>
        <w:rPr>
          <w:rFonts w:ascii="Calibri" w:cs="Calibri" w:eastAsia="Calibri" w:hAnsi="Calibri"/>
          <w:b w:val="false"/>
          <w:bCs w:val="false"/>
          <w:i/>
          <w:iCs/>
          <w:color w:val="5B564C"/>
          <w:sz w:val="24"/>
          <w:szCs w:val="24"/>
        </w:rPr>
        <w:t xml:space="preserve">On 17 September, self-service petrol, diesel and methane in Umbria all sit below the national average, but the weekly data shows all three rising fast and methane rising fastest.</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BENZINA</w:t>
            </w:r>
          </w:p>
          <w:p>
            <w:pPr>
              <w:spacing w:before="60"/>
            </w:pPr>
            <w:r>
              <w:rPr>
                <w:rFonts w:ascii="Calibri" w:cs="Calibri" w:eastAsia="Calibri" w:hAnsi="Calibri"/>
                <w:b/>
                <w:bCs/>
                <w:color w:val="14120F"/>
                <w:sz w:val="28"/>
                <w:szCs w:val="28"/>
              </w:rPr>
              <w:t xml:space="preserve">€2.143</w:t>
            </w:r>
          </w:p>
          <w:p>
            <w:pPr>
              <w:spacing w:before="40"/>
            </w:pPr>
            <w:r>
              <w:rPr>
                <w:rFonts w:ascii="Calibri" w:cs="Calibri" w:eastAsia="Calibri" w:hAnsi="Calibri"/>
                <w:color w:val="5B564C"/>
                <w:sz w:val="17"/>
                <w:szCs w:val="17"/>
              </w:rPr>
              <w:t xml:space="preserve">petrol</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GASOLIO</w:t>
            </w:r>
          </w:p>
          <w:p>
            <w:pPr>
              <w:spacing w:before="60"/>
            </w:pPr>
            <w:r>
              <w:rPr>
                <w:rFonts w:ascii="Calibri" w:cs="Calibri" w:eastAsia="Calibri" w:hAnsi="Calibri"/>
                <w:b/>
                <w:bCs/>
                <w:color w:val="14120F"/>
                <w:sz w:val="28"/>
                <w:szCs w:val="28"/>
              </w:rPr>
              <w:t xml:space="preserve">€2.260</w:t>
            </w:r>
          </w:p>
          <w:p>
            <w:pPr>
              <w:spacing w:before="40"/>
            </w:pPr>
            <w:r>
              <w:rPr>
                <w:rFonts w:ascii="Calibri" w:cs="Calibri" w:eastAsia="Calibri" w:hAnsi="Calibri"/>
                <w:color w:val="5B564C"/>
                <w:sz w:val="17"/>
                <w:szCs w:val="17"/>
              </w:rPr>
              <w:t xml:space="preserve">diesel</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GPL</w:t>
            </w:r>
          </w:p>
          <w:p>
            <w:pPr>
              <w:spacing w:before="60"/>
            </w:pPr>
            <w:r>
              <w:rPr>
                <w:rFonts w:ascii="Calibri" w:cs="Calibri" w:eastAsia="Calibri" w:hAnsi="Calibri"/>
                <w:b/>
                <w:bCs/>
                <w:color w:val="14120F"/>
                <w:sz w:val="28"/>
                <w:szCs w:val="28"/>
              </w:rPr>
              <w:t xml:space="preserve">—</w:t>
            </w:r>
          </w:p>
          <w:p>
            <w:pPr>
              <w:spacing w:before="40"/>
            </w:pPr>
            <w:r>
              <w:rPr>
                <w:rFonts w:ascii="Calibri" w:cs="Calibri" w:eastAsia="Calibri" w:hAnsi="Calibri"/>
                <w:color w:val="5B564C"/>
                <w:sz w:val="17"/>
                <w:szCs w:val="17"/>
              </w:rPr>
              <w:t xml:space="preserve">LPG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METANO</w:t>
            </w:r>
          </w:p>
          <w:p>
            <w:pPr>
              <w:spacing w:before="60"/>
            </w:pPr>
            <w:r>
              <w:rPr>
                <w:rFonts w:ascii="Calibri" w:cs="Calibri" w:eastAsia="Calibri" w:hAnsi="Calibri"/>
                <w:b/>
                <w:bCs/>
                <w:color w:val="14120F"/>
                <w:sz w:val="28"/>
                <w:szCs w:val="28"/>
              </w:rPr>
              <w:t xml:space="preserve">€1.718</w:t>
            </w:r>
          </w:p>
          <w:p>
            <w:pPr>
              <w:spacing w:before="40"/>
            </w:pPr>
            <w:r>
              <w:rPr>
                <w:rFonts w:ascii="Calibri" w:cs="Calibri" w:eastAsia="Calibri" w:hAnsi="Calibri"/>
                <w:color w:val="5B564C"/>
                <w:sz w:val="17"/>
                <w:szCs w:val="17"/>
              </w:rPr>
              <w:t xml:space="preserve">CNG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5B564C"/>
          <w:sz w:val="18"/>
          <w:szCs w:val="18"/>
        </w:rPr>
        <w:t xml:space="preserve">Registered stations: 481 · Reporting today: 438 (91%) · Sep 17</w:t>
      </w:r>
    </w:p>
    <w:p>
      <w:r>
        <w:br w:type="page"/>
      </w:r>
    </w:p>
    <w:p>
      <w:pPr>
        <w:spacing w:after="80"/>
      </w:pPr>
      <w:r>
        <w:rPr>
          <w:rFonts w:ascii="Calibri" w:cs="Calibri" w:eastAsia="Calibri" w:hAnsi="Calibri"/>
          <w:b/>
          <w:bCs/>
          <w:color w:val="B9790A"/>
          <w:sz w:val="18"/>
          <w:szCs w:val="18"/>
        </w:rPr>
        <w:t xml:space="preserve">EXECUTIVE SUMMARY</w:t>
      </w:r>
    </w:p>
    <w:p>
      <w:pPr>
        <w:spacing w:after="180" w:before="0"/>
      </w:pPr>
      <w:r>
        <w:rPr>
          <w:rFonts w:ascii="Cambria" w:cs="Cambria" w:eastAsia="Cambria" w:hAnsi="Cambria"/>
          <w:b/>
          <w:bCs/>
          <w:color w:val="14120F"/>
          <w:sz w:val="34"/>
          <w:szCs w:val="34"/>
        </w:rPr>
        <w:t xml:space="preserve">Umbria at a glance</w:t>
      </w:r>
    </w:p>
    <w:p>
      <w:pPr>
        <w:spacing w:after="200"/>
      </w:pPr>
      <w:r>
        <w:rPr>
          <w:rFonts w:ascii="Calibri" w:cs="Calibri" w:eastAsia="Calibri" w:hAnsi="Calibri"/>
          <w:b w:val="false"/>
          <w:bCs w:val="false"/>
          <w:i w:val="false"/>
          <w:iCs w:val="false"/>
          <w:color w:val="14120F"/>
          <w:sz w:val="22"/>
          <w:szCs w:val="22"/>
        </w:rPr>
        <w:t xml:space="preserve">Where things stand today: the latest Umbria figures, dated 17 September 2026, put self-service Benzina at €2.1427/l, Gasolio at €2.2598/l and Metano at €1.7177/kg. Each is cheaper than the national self-service average (€2.1539, €2.2924 and €1.7718), by 1.12 cents on petrol, 3.26 cents on diesel and 5.41 cents on methane. LPG is the exception: with no self-service LPG price reported in the region, the served price of €0.7728/l is 1.64 cents above the national served average of €0.7564/l. All three fuels with a self-service price rose on the day, and methane rose most.</w:t>
      </w:r>
    </w:p>
    <w:p>
      <w:pPr>
        <w:spacing w:after="200"/>
      </w:pPr>
      <w:r>
        <w:rPr>
          <w:rFonts w:ascii="Calibri" w:cs="Calibri" w:eastAsia="Calibri" w:hAnsi="Calibri"/>
          <w:b w:val="false"/>
          <w:bCs w:val="false"/>
          <w:i w:val="false"/>
          <w:iCs w:val="false"/>
          <w:color w:val="14120F"/>
          <w:sz w:val="22"/>
          <w:szCs w:val="22"/>
        </w:rPr>
        <w:t xml:space="preserve">Zoom out to the weekly averages and the story is a broad and steep climb. Between the week starting 20 July (W30) and the week starting 14 September (W38), Umbria's self-service Benzina rose 7.87%, Gasolio 4.08% and Metano 18.73%, against 8.15%, 4.24% and 16.92% for Italy as a whole. Petrol and diesel are tracking the national curve almost step for step. Methane is the fuel breaking away: in the latest week it rose 4.36% on the week before, while the national methane average rose 3.07%. The gap to the national price is closing, from 8.64 cents in W30 to 7.54 cents in W38.</w:t>
      </w:r>
    </w:p>
    <w:p>
      <w:pPr>
        <w:spacing w:after="200" w:before="200"/>
        <w:jc w:val="center"/>
      </w:pPr>
      <w:r>
        <w:rPr>
          <w:rFonts w:ascii="Cambria" w:cs="Cambria" w:eastAsia="Cambria" w:hAnsi="Cambria"/>
          <w:b/>
          <w:bCs/>
          <w:i/>
          <w:iCs/>
          <w:color w:val="B9790A"/>
          <w:sz w:val="30"/>
          <w:szCs w:val="30"/>
        </w:rPr>
        <w:t xml:space="preserve">Umbria's self-service methane has climbed 18.7% in eight weeks, outrunning Italy's 16.9%, while LPG stood still.</w:t>
      </w:r>
    </w:p>
    <w:p>
      <w:r>
        <w:br w:type="page"/>
      </w:r>
    </w:p>
    <w:p>
      <w:pPr>
        <w:spacing w:after="80"/>
      </w:pPr>
      <w:r>
        <w:rPr>
          <w:rFonts w:ascii="Calibri" w:cs="Calibri" w:eastAsia="Calibri" w:hAnsi="Calibri"/>
          <w:b/>
          <w:bCs/>
          <w:color w:val="B9790A"/>
          <w:sz w:val="18"/>
          <w:szCs w:val="18"/>
        </w:rPr>
        <w:t xml:space="preserve">FUEL SPOTLIGHT · BENZINA (petrol)</w:t>
      </w:r>
    </w:p>
    <w:p>
      <w:pPr>
        <w:spacing w:after="180" w:before="0"/>
      </w:pPr>
      <w:r>
        <w:rPr>
          <w:rFonts w:ascii="Cambria" w:cs="Cambria" w:eastAsia="Cambria" w:hAnsi="Cambria"/>
          <w:b/>
          <w:bCs/>
          <w:color w:val="2A78D6"/>
          <w:sz w:val="34"/>
          <w:szCs w:val="34"/>
        </w:rPr>
        <w:t xml:space="preserve">Petrol: another cent and a bit higher, still half a percent under the national price</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€2.143</w:t>
            </w:r>
          </w:p>
          <w:p>
            <w:pPr>
              <w:spacing w:before="40"/>
            </w:pPr>
            <w:r>
              <w:rPr>
                <w:rFonts w:ascii="Calibri" w:cs="Calibri" w:eastAsia="Calibri" w:hAnsi="Calibri"/>
                <w:color w:val="5B564C"/>
                <w:sz w:val="17"/>
                <w:szCs w:val="17"/>
              </w:rPr>
              <w:t xml:space="preserve">Sep 17</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+0.011 €/L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+7.9%</w:t>
            </w:r>
          </w:p>
          <w:p>
            <w:pPr>
              <w:spacing w:before="40"/>
            </w:pPr>
            <w:r>
              <w:rPr>
                <w:rFonts w:ascii="Calibri" w:cs="Calibri" w:eastAsia="Calibri" w:hAnsi="Calibri"/>
                <w:color w:val="5B564C"/>
                <w:sz w:val="17"/>
                <w:szCs w:val="17"/>
              </w:rPr>
              <w:t xml:space="preserve">Umbria,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+8.2%</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Self-service Benzina in Umbria averaged €2.1427/l on 17 September, up 1.07 cents (0.50%) from €2.1320/l the day before. The national self-service average was €2.1539/l, so Umbria sits 1.12 cents, or 0.52%, below it. At the pump with an attendant the picture is the same: €2.2806/l served in Umbria against €2.2911/l nationally, a gap of 1.05 cents. The self-service discount is worth about 13.8 cents per litre against the served price.</w:t>
      </w:r>
    </w:p>
    <w:p>
      <w:pPr>
        <w:spacing w:after="200"/>
      </w:pPr>
      <w:r>
        <w:rPr>
          <w:rFonts w:ascii="Calibri" w:cs="Calibri" w:eastAsia="Calibri" w:hAnsi="Calibri"/>
          <w:b w:val="false"/>
          <w:bCs w:val="false"/>
          <w:i w:val="false"/>
          <w:iCs w:val="false"/>
          <w:color w:val="14120F"/>
          <w:sz w:val="22"/>
          <w:szCs w:val="22"/>
        </w:rPr>
        <w:t xml:space="preserve">The weekly series shows a steady and then accelerating ramp. Regional self-service Benzina went from €1.9696/l in W30 to €2.1247/l in W38, a rise of 7.87% against 8.15% nationally. The middle of the window was quiet: W32 at €2.0028/l and W33 at €1.9992/l were essentially flat, and from W33 to W38 the price climbed 6.28% (nationally 6.81%). The last two weekly steps are the sharpest: W37 came in at €2.0784/l and W38 at €2.1247/l, each about 2.2% higher than the week before. Note that W38 covers only four days of data, and W36 only three, so the most recent weekly figures are partial-week averages.</w:t>
      </w:r>
    </w:p>
    <w:p>
      <w:pPr>
        <w:spacing w:after="120"/>
      </w:pPr>
      <w:r>
        <w:rPr>
          <w:rFonts w:ascii="Calibri" w:cs="Calibri" w:eastAsia="Calibri" w:hAnsi="Calibri"/>
          <w:b/>
          <w:bCs/>
          <w:i w:val="false"/>
          <w:iCs w:val="false"/>
          <w:color w:val="5B564C"/>
          <w:sz w:val="18"/>
          <w:szCs w:val="18"/>
        </w:rPr>
        <w:t xml:space="preserve">Weekly self-service average, Umbria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Benzina — Region</w:t>
            </w:r>
          </w:p>
        </w:tc>
        <w:tc>
          <w:tcPr>
            <w:tcW w:type="dxa" w:w="2400"/>
            <w:shd w:fill="F0EDE6" w:val="clear"/>
          </w:tcPr>
          <w:p>
            <w:r>
              <w:rPr>
                <w:rFonts w:ascii="Calibri" w:cs="Calibri" w:eastAsia="Calibri" w:hAnsi="Calibri"/>
                <w:b/>
                <w:bCs/>
                <w:sz w:val="18"/>
                <w:szCs w:val="18"/>
              </w:rPr>
              <w:t xml:space="preserve">Benzina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2A78D6"/>
                <w:sz w:val="18"/>
                <w:szCs w:val="18"/>
              </w:rPr>
              <w:t xml:space="preserve">€1.970</w:t>
            </w:r>
          </w:p>
        </w:tc>
        <w:tc>
          <w:tcPr>
            <w:tcW w:type="dxa" w:w="2400"/>
          </w:tcPr>
          <w:p>
            <w:r>
              <w:rPr>
                <w:rFonts w:ascii="Calibri" w:cs="Calibri" w:eastAsia="Calibri" w:hAnsi="Calibri"/>
                <w:color w:val="14120F"/>
                <w:sz w:val="18"/>
                <w:szCs w:val="18"/>
              </w:rPr>
              <w:t xml:space="preserve">€1.976</w:t>
            </w:r>
          </w:p>
        </w:tc>
        <w:tc>
          <w:tcPr>
            <w:tcW w:type="dxa" w:w="2400"/>
          </w:tcPr>
          <w:p>
            <w:r>
              <w:rPr>
                <w:rFonts w:ascii="Calibri" w:cs="Calibri" w:eastAsia="Calibri" w:hAnsi="Calibri"/>
                <w:color w:val="14120F"/>
                <w:sz w:val="18"/>
                <w:szCs w:val="18"/>
              </w:rPr>
              <w:t xml:space="preserve">↓ -0.006 €/L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2A78D6"/>
                <w:sz w:val="18"/>
                <w:szCs w:val="18"/>
              </w:rPr>
              <w:t xml:space="preserve">€1.998</w:t>
            </w:r>
          </w:p>
        </w:tc>
        <w:tc>
          <w:tcPr>
            <w:tcW w:type="dxa" w:w="2400"/>
          </w:tcPr>
          <w:p>
            <w:r>
              <w:rPr>
                <w:rFonts w:ascii="Calibri" w:cs="Calibri" w:eastAsia="Calibri" w:hAnsi="Calibri"/>
                <w:color w:val="14120F"/>
                <w:sz w:val="18"/>
                <w:szCs w:val="18"/>
              </w:rPr>
              <w:t xml:space="preserve">€2.003</w:t>
            </w:r>
          </w:p>
        </w:tc>
        <w:tc>
          <w:tcPr>
            <w:tcW w:type="dxa" w:w="2400"/>
          </w:tcPr>
          <w:p>
            <w:r>
              <w:rPr>
                <w:rFonts w:ascii="Calibri" w:cs="Calibri" w:eastAsia="Calibri" w:hAnsi="Calibri"/>
                <w:color w:val="14120F"/>
                <w:sz w:val="18"/>
                <w:szCs w:val="18"/>
              </w:rPr>
              <w:t xml:space="preserve">↓ -0.005 €/L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2A78D6"/>
                <w:sz w:val="18"/>
                <w:szCs w:val="18"/>
              </w:rPr>
              <w:t xml:space="preserve">€2.003</w:t>
            </w:r>
          </w:p>
        </w:tc>
        <w:tc>
          <w:tcPr>
            <w:tcW w:type="dxa" w:w="2400"/>
          </w:tcPr>
          <w:p>
            <w:r>
              <w:rPr>
                <w:rFonts w:ascii="Calibri" w:cs="Calibri" w:eastAsia="Calibri" w:hAnsi="Calibri"/>
                <w:color w:val="14120F"/>
                <w:sz w:val="18"/>
                <w:szCs w:val="18"/>
              </w:rPr>
              <w:t xml:space="preserve">€2.006</w:t>
            </w:r>
          </w:p>
        </w:tc>
        <w:tc>
          <w:tcPr>
            <w:tcW w:type="dxa" w:w="2400"/>
          </w:tcPr>
          <w:p>
            <w:r>
              <w:rPr>
                <w:rFonts w:ascii="Calibri" w:cs="Calibri" w:eastAsia="Calibri" w:hAnsi="Calibri"/>
                <w:color w:val="14120F"/>
                <w:sz w:val="18"/>
                <w:szCs w:val="18"/>
              </w:rPr>
              <w:t xml:space="preserve">↓ -0.003 €/L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2A78D6"/>
                <w:sz w:val="18"/>
                <w:szCs w:val="18"/>
              </w:rPr>
              <w:t xml:space="preserve">€1.999</w:t>
            </w:r>
          </w:p>
        </w:tc>
        <w:tc>
          <w:tcPr>
            <w:tcW w:type="dxa" w:w="2400"/>
          </w:tcPr>
          <w:p>
            <w:r>
              <w:rPr>
                <w:rFonts w:ascii="Calibri" w:cs="Calibri" w:eastAsia="Calibri" w:hAnsi="Calibri"/>
                <w:color w:val="14120F"/>
                <w:sz w:val="18"/>
                <w:szCs w:val="18"/>
              </w:rPr>
              <w:t xml:space="preserve">€2.001</w:t>
            </w:r>
          </w:p>
        </w:tc>
        <w:tc>
          <w:tcPr>
            <w:tcW w:type="dxa" w:w="2400"/>
          </w:tcPr>
          <w:p>
            <w:r>
              <w:rPr>
                <w:rFonts w:ascii="Calibri" w:cs="Calibri" w:eastAsia="Calibri" w:hAnsi="Calibri"/>
                <w:color w:val="14120F"/>
                <w:sz w:val="18"/>
                <w:szCs w:val="18"/>
              </w:rPr>
              <w:t xml:space="preserve">↓ -0.001 €/L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2A78D6"/>
                <w:sz w:val="18"/>
                <w:szCs w:val="18"/>
              </w:rPr>
              <w:t xml:space="preserve">€2.010</w:t>
            </w:r>
          </w:p>
        </w:tc>
        <w:tc>
          <w:tcPr>
            <w:tcW w:type="dxa" w:w="2400"/>
          </w:tcPr>
          <w:p>
            <w:r>
              <w:rPr>
                <w:rFonts w:ascii="Calibri" w:cs="Calibri" w:eastAsia="Calibri" w:hAnsi="Calibri"/>
                <w:color w:val="14120F"/>
                <w:sz w:val="18"/>
                <w:szCs w:val="18"/>
              </w:rPr>
              <w:t xml:space="preserve">€2.013</w:t>
            </w:r>
          </w:p>
        </w:tc>
        <w:tc>
          <w:tcPr>
            <w:tcW w:type="dxa" w:w="2400"/>
          </w:tcPr>
          <w:p>
            <w:r>
              <w:rPr>
                <w:rFonts w:ascii="Calibri" w:cs="Calibri" w:eastAsia="Calibri" w:hAnsi="Calibri"/>
                <w:color w:val="14120F"/>
                <w:sz w:val="18"/>
                <w:szCs w:val="18"/>
              </w:rPr>
              <w:t xml:space="preserve">↓ -0.003 €/L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2A78D6"/>
                <w:sz w:val="18"/>
                <w:szCs w:val="18"/>
              </w:rPr>
              <w:t xml:space="preserve">€2.025</w:t>
            </w:r>
          </w:p>
        </w:tc>
        <w:tc>
          <w:tcPr>
            <w:tcW w:type="dxa" w:w="2400"/>
          </w:tcPr>
          <w:p>
            <w:r>
              <w:rPr>
                <w:rFonts w:ascii="Calibri" w:cs="Calibri" w:eastAsia="Calibri" w:hAnsi="Calibri"/>
                <w:color w:val="14120F"/>
                <w:sz w:val="18"/>
                <w:szCs w:val="18"/>
              </w:rPr>
              <w:t xml:space="preserve">€2.027</w:t>
            </w:r>
          </w:p>
        </w:tc>
        <w:tc>
          <w:tcPr>
            <w:tcW w:type="dxa" w:w="2400"/>
          </w:tcPr>
          <w:p>
            <w:r>
              <w:rPr>
                <w:rFonts w:ascii="Calibri" w:cs="Calibri" w:eastAsia="Calibri" w:hAnsi="Calibri"/>
                <w:color w:val="14120F"/>
                <w:sz w:val="18"/>
                <w:szCs w:val="18"/>
              </w:rPr>
              <w:t xml:space="preserve">↓ -0.003 €/L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2A78D6"/>
                <w:sz w:val="18"/>
                <w:szCs w:val="18"/>
              </w:rPr>
              <w:t xml:space="preserve">€2.034</w:t>
            </w:r>
          </w:p>
        </w:tc>
        <w:tc>
          <w:tcPr>
            <w:tcW w:type="dxa" w:w="2400"/>
          </w:tcPr>
          <w:p>
            <w:r>
              <w:rPr>
                <w:rFonts w:ascii="Calibri" w:cs="Calibri" w:eastAsia="Calibri" w:hAnsi="Calibri"/>
                <w:color w:val="14120F"/>
                <w:sz w:val="18"/>
                <w:szCs w:val="18"/>
              </w:rPr>
              <w:t xml:space="preserve">€2.039</w:t>
            </w:r>
          </w:p>
        </w:tc>
        <w:tc>
          <w:tcPr>
            <w:tcW w:type="dxa" w:w="2400"/>
          </w:tcPr>
          <w:p>
            <w:r>
              <w:rPr>
                <w:rFonts w:ascii="Calibri" w:cs="Calibri" w:eastAsia="Calibri" w:hAnsi="Calibri"/>
                <w:color w:val="14120F"/>
                <w:sz w:val="18"/>
                <w:szCs w:val="18"/>
              </w:rPr>
              <w:t xml:space="preserve">↓ -0.005 €/L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2A78D6"/>
                <w:sz w:val="18"/>
                <w:szCs w:val="18"/>
              </w:rPr>
              <w:t xml:space="preserve">€2.078</w:t>
            </w:r>
          </w:p>
        </w:tc>
        <w:tc>
          <w:tcPr>
            <w:tcW w:type="dxa" w:w="2400"/>
          </w:tcPr>
          <w:p>
            <w:r>
              <w:rPr>
                <w:rFonts w:ascii="Calibri" w:cs="Calibri" w:eastAsia="Calibri" w:hAnsi="Calibri"/>
                <w:color w:val="14120F"/>
                <w:sz w:val="18"/>
                <w:szCs w:val="18"/>
              </w:rPr>
              <w:t xml:space="preserve">€2.090</w:t>
            </w:r>
          </w:p>
        </w:tc>
        <w:tc>
          <w:tcPr>
            <w:tcW w:type="dxa" w:w="2400"/>
          </w:tcPr>
          <w:p>
            <w:r>
              <w:rPr>
                <w:rFonts w:ascii="Calibri" w:cs="Calibri" w:eastAsia="Calibri" w:hAnsi="Calibri"/>
                <w:color w:val="14120F"/>
                <w:sz w:val="18"/>
                <w:szCs w:val="18"/>
              </w:rPr>
              <w:t xml:space="preserve">↓ -0.012 €/L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2A78D6"/>
                <w:sz w:val="18"/>
                <w:szCs w:val="18"/>
              </w:rPr>
              <w:t xml:space="preserve">€2.125</w:t>
            </w:r>
          </w:p>
        </w:tc>
        <w:tc>
          <w:tcPr>
            <w:tcW w:type="dxa" w:w="2400"/>
          </w:tcPr>
          <w:p>
            <w:r>
              <w:rPr>
                <w:rFonts w:ascii="Calibri" w:cs="Calibri" w:eastAsia="Calibri" w:hAnsi="Calibri"/>
                <w:color w:val="14120F"/>
                <w:sz w:val="18"/>
                <w:szCs w:val="18"/>
              </w:rPr>
              <w:t xml:space="preserve">€2.137</w:t>
            </w:r>
          </w:p>
        </w:tc>
        <w:tc>
          <w:tcPr>
            <w:tcW w:type="dxa" w:w="2400"/>
          </w:tcPr>
          <w:p>
            <w:r>
              <w:rPr>
                <w:rFonts w:ascii="Calibri" w:cs="Calibri" w:eastAsia="Calibri" w:hAnsi="Calibri"/>
                <w:color w:val="14120F"/>
                <w:sz w:val="18"/>
                <w:szCs w:val="18"/>
              </w:rPr>
              <w:t xml:space="preserve">↓ -0.012 €/L</w:t>
            </w:r>
          </w:p>
        </w:tc>
      </w:tr>
    </w:tbl>
    <w:p>
      <w:r>
        <w:br w:type="page"/>
      </w:r>
    </w:p>
    <w:p>
      <w:pPr>
        <w:spacing w:after="80"/>
      </w:pPr>
      <w:r>
        <w:rPr>
          <w:rFonts w:ascii="Calibri" w:cs="Calibri" w:eastAsia="Calibri" w:hAnsi="Calibri"/>
          <w:b/>
          <w:bCs/>
          <w:color w:val="B9790A"/>
          <w:sz w:val="18"/>
          <w:szCs w:val="18"/>
        </w:rPr>
        <w:t xml:space="preserve">FUEL SPOTLIGHT · GASOLIO (diesel)</w:t>
      </w:r>
    </w:p>
    <w:p>
      <w:pPr>
        <w:spacing w:after="180" w:before="0"/>
      </w:pPr>
      <w:r>
        <w:rPr>
          <w:rFonts w:ascii="Cambria" w:cs="Cambria" w:eastAsia="Cambria" w:hAnsi="Cambria"/>
          <w:b/>
          <w:bCs/>
          <w:color w:val="1BAF7A"/>
          <w:sz w:val="34"/>
          <w:szCs w:val="34"/>
        </w:rPr>
        <w:t xml:space="preserve">Diesel: 3.3 cents cheaper than Italy, and the premium over petrol is shrinking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€2.260</w:t>
            </w:r>
          </w:p>
          <w:p>
            <w:pPr>
              <w:spacing w:before="40"/>
            </w:pPr>
            <w:r>
              <w:rPr>
                <w:rFonts w:ascii="Calibri" w:cs="Calibri" w:eastAsia="Calibri" w:hAnsi="Calibri"/>
                <w:color w:val="5B564C"/>
                <w:sz w:val="17"/>
                <w:szCs w:val="17"/>
              </w:rPr>
              <w:t xml:space="preserve">Sep 17</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+0.016 €/L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+4.1%</w:t>
            </w:r>
          </w:p>
          <w:p>
            <w:pPr>
              <w:spacing w:before="40"/>
            </w:pPr>
            <w:r>
              <w:rPr>
                <w:rFonts w:ascii="Calibri" w:cs="Calibri" w:eastAsia="Calibri" w:hAnsi="Calibri"/>
                <w:color w:val="5B564C"/>
                <w:sz w:val="17"/>
                <w:szCs w:val="17"/>
              </w:rPr>
              <w:t xml:space="preserve">Umbria,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+4.2%</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Umbrian self-service Gasolio closed at €2.2598/l on 17 September, up 1.56 cents (0.70%) from €2.2442/l on the 16th. That is 3.26 cents, or 1.42%, below the national self-service average of €2.2924/l and the second-widest discount to Italy among the self-service fuels after methane. On the served side the regional price is €2.4027/l against €2.4408/l nationally. Diesel is now 11.71 cents above petrol in Umbria on a self-service basis, versus 13.85 cents nationally.</w:t>
      </w:r>
    </w:p>
    <w:p>
      <w:pPr>
        <w:spacing w:after="200"/>
      </w:pPr>
      <w:r>
        <w:rPr>
          <w:rFonts w:ascii="Calibri" w:cs="Calibri" w:eastAsia="Calibri" w:hAnsi="Calibri"/>
          <w:b w:val="false"/>
          <w:bCs w:val="false"/>
          <w:i w:val="false"/>
          <w:iCs w:val="false"/>
          <w:color w:val="14120F"/>
          <w:sz w:val="22"/>
          <w:szCs w:val="22"/>
        </w:rPr>
        <w:t xml:space="preserve">Diesel had the most eventful path of the three fuels. It started the window at €2.1493/l (W30), fell to a trough of €2.0933/l in both W32 and W33, then climbed to €2.2370/l in W38. Over the whole window that is a net rise of 4.08%, well below petrol's 7.87%, because diesel began high. From the W33 trough the rise is 6.86%, compared with 7.27% nationally. The daily history explains the early dip: on 28 July regional diesel was €2.1687/l and on 29 July it dropped to €2.0686/l, a one-day fall of 10 cents. The diesel premium over petrol has narrowed from 15.88 cents on 21 July to 11.71 cents today, a sign that petrol has been catching up.</w:t>
      </w:r>
    </w:p>
    <w:p>
      <w:pPr>
        <w:spacing w:after="120"/>
      </w:pPr>
      <w:r>
        <w:rPr>
          <w:rFonts w:ascii="Calibri" w:cs="Calibri" w:eastAsia="Calibri" w:hAnsi="Calibri"/>
          <w:b/>
          <w:bCs/>
          <w:i w:val="false"/>
          <w:iCs w:val="false"/>
          <w:color w:val="5B564C"/>
          <w:sz w:val="18"/>
          <w:szCs w:val="18"/>
        </w:rPr>
        <w:t xml:space="preserve">Weekly self-service average, Umbria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Gasolio — Region</w:t>
            </w:r>
          </w:p>
        </w:tc>
        <w:tc>
          <w:tcPr>
            <w:tcW w:type="dxa" w:w="2400"/>
            <w:shd w:fill="F0EDE6" w:val="clear"/>
          </w:tcPr>
          <w:p>
            <w:r>
              <w:rPr>
                <w:rFonts w:ascii="Calibri" w:cs="Calibri" w:eastAsia="Calibri" w:hAnsi="Calibri"/>
                <w:b/>
                <w:bCs/>
                <w:sz w:val="18"/>
                <w:szCs w:val="18"/>
              </w:rPr>
              <w:t xml:space="preserve">Gasolio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1BAF7A"/>
                <w:sz w:val="18"/>
                <w:szCs w:val="18"/>
              </w:rPr>
              <w:t xml:space="preserve">€2.149</w:t>
            </w:r>
          </w:p>
        </w:tc>
        <w:tc>
          <w:tcPr>
            <w:tcW w:type="dxa" w:w="2400"/>
          </w:tcPr>
          <w:p>
            <w:r>
              <w:rPr>
                <w:rFonts w:ascii="Calibri" w:cs="Calibri" w:eastAsia="Calibri" w:hAnsi="Calibri"/>
                <w:color w:val="14120F"/>
                <w:sz w:val="18"/>
                <w:szCs w:val="18"/>
              </w:rPr>
              <w:t xml:space="preserve">€2.175</w:t>
            </w:r>
          </w:p>
        </w:tc>
        <w:tc>
          <w:tcPr>
            <w:tcW w:type="dxa" w:w="2400"/>
          </w:tcPr>
          <w:p>
            <w:r>
              <w:rPr>
                <w:rFonts w:ascii="Calibri" w:cs="Calibri" w:eastAsia="Calibri" w:hAnsi="Calibri"/>
                <w:color w:val="14120F"/>
                <w:sz w:val="18"/>
                <w:szCs w:val="18"/>
              </w:rPr>
              <w:t xml:space="preserve">↓ -0.025 €/L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1BAF7A"/>
                <w:sz w:val="18"/>
                <w:szCs w:val="18"/>
              </w:rPr>
              <w:t xml:space="preserve">€2.107</w:t>
            </w:r>
          </w:p>
        </w:tc>
        <w:tc>
          <w:tcPr>
            <w:tcW w:type="dxa" w:w="2400"/>
          </w:tcPr>
          <w:p>
            <w:r>
              <w:rPr>
                <w:rFonts w:ascii="Calibri" w:cs="Calibri" w:eastAsia="Calibri" w:hAnsi="Calibri"/>
                <w:color w:val="14120F"/>
                <w:sz w:val="18"/>
                <w:szCs w:val="18"/>
              </w:rPr>
              <w:t xml:space="preserve">€2.136</w:t>
            </w:r>
          </w:p>
        </w:tc>
        <w:tc>
          <w:tcPr>
            <w:tcW w:type="dxa" w:w="2400"/>
          </w:tcPr>
          <w:p>
            <w:r>
              <w:rPr>
                <w:rFonts w:ascii="Calibri" w:cs="Calibri" w:eastAsia="Calibri" w:hAnsi="Calibri"/>
                <w:color w:val="14120F"/>
                <w:sz w:val="18"/>
                <w:szCs w:val="18"/>
              </w:rPr>
              <w:t xml:space="preserve">↓ -0.029 €/L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1BAF7A"/>
                <w:sz w:val="18"/>
                <w:szCs w:val="18"/>
              </w:rPr>
              <w:t xml:space="preserve">€2.093</w:t>
            </w:r>
          </w:p>
        </w:tc>
        <w:tc>
          <w:tcPr>
            <w:tcW w:type="dxa" w:w="2400"/>
          </w:tcPr>
          <w:p>
            <w:r>
              <w:rPr>
                <w:rFonts w:ascii="Calibri" w:cs="Calibri" w:eastAsia="Calibri" w:hAnsi="Calibri"/>
                <w:color w:val="14120F"/>
                <w:sz w:val="18"/>
                <w:szCs w:val="18"/>
              </w:rPr>
              <w:t xml:space="preserve">€2.118</w:t>
            </w:r>
          </w:p>
        </w:tc>
        <w:tc>
          <w:tcPr>
            <w:tcW w:type="dxa" w:w="2400"/>
          </w:tcPr>
          <w:p>
            <w:r>
              <w:rPr>
                <w:rFonts w:ascii="Calibri" w:cs="Calibri" w:eastAsia="Calibri" w:hAnsi="Calibri"/>
                <w:color w:val="14120F"/>
                <w:sz w:val="18"/>
                <w:szCs w:val="18"/>
              </w:rPr>
              <w:t xml:space="preserve">↓ -0.025 €/L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1BAF7A"/>
                <w:sz w:val="18"/>
                <w:szCs w:val="18"/>
              </w:rPr>
              <w:t xml:space="preserve">€2.093</w:t>
            </w:r>
          </w:p>
        </w:tc>
        <w:tc>
          <w:tcPr>
            <w:tcW w:type="dxa" w:w="2400"/>
          </w:tcPr>
          <w:p>
            <w:r>
              <w:rPr>
                <w:rFonts w:ascii="Calibri" w:cs="Calibri" w:eastAsia="Calibri" w:hAnsi="Calibri"/>
                <w:color w:val="14120F"/>
                <w:sz w:val="18"/>
                <w:szCs w:val="18"/>
              </w:rPr>
              <w:t xml:space="preserve">€2.113</w:t>
            </w:r>
          </w:p>
        </w:tc>
        <w:tc>
          <w:tcPr>
            <w:tcW w:type="dxa" w:w="2400"/>
          </w:tcPr>
          <w:p>
            <w:r>
              <w:rPr>
                <w:rFonts w:ascii="Calibri" w:cs="Calibri" w:eastAsia="Calibri" w:hAnsi="Calibri"/>
                <w:color w:val="14120F"/>
                <w:sz w:val="18"/>
                <w:szCs w:val="18"/>
              </w:rPr>
              <w:t xml:space="preserve">↓ -0.020 €/L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1BAF7A"/>
                <w:sz w:val="18"/>
                <w:szCs w:val="18"/>
              </w:rPr>
              <w:t xml:space="preserve">€2.122</w:t>
            </w:r>
          </w:p>
        </w:tc>
        <w:tc>
          <w:tcPr>
            <w:tcW w:type="dxa" w:w="2400"/>
          </w:tcPr>
          <w:p>
            <w:r>
              <w:rPr>
                <w:rFonts w:ascii="Calibri" w:cs="Calibri" w:eastAsia="Calibri" w:hAnsi="Calibri"/>
                <w:color w:val="14120F"/>
                <w:sz w:val="18"/>
                <w:szCs w:val="18"/>
              </w:rPr>
              <w:t xml:space="preserve">€2.141</w:t>
            </w:r>
          </w:p>
        </w:tc>
        <w:tc>
          <w:tcPr>
            <w:tcW w:type="dxa" w:w="2400"/>
          </w:tcPr>
          <w:p>
            <w:r>
              <w:rPr>
                <w:rFonts w:ascii="Calibri" w:cs="Calibri" w:eastAsia="Calibri" w:hAnsi="Calibri"/>
                <w:color w:val="14120F"/>
                <w:sz w:val="18"/>
                <w:szCs w:val="18"/>
              </w:rPr>
              <w:t xml:space="preserve">↓ -0.018 €/L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1BAF7A"/>
                <w:sz w:val="18"/>
                <w:szCs w:val="18"/>
              </w:rPr>
              <w:t xml:space="preserve">€2.144</w:t>
            </w:r>
          </w:p>
        </w:tc>
        <w:tc>
          <w:tcPr>
            <w:tcW w:type="dxa" w:w="2400"/>
          </w:tcPr>
          <w:p>
            <w:r>
              <w:rPr>
                <w:rFonts w:ascii="Calibri" w:cs="Calibri" w:eastAsia="Calibri" w:hAnsi="Calibri"/>
                <w:color w:val="14120F"/>
                <w:sz w:val="18"/>
                <w:szCs w:val="18"/>
              </w:rPr>
              <w:t xml:space="preserve">€2.162</w:t>
            </w:r>
          </w:p>
        </w:tc>
        <w:tc>
          <w:tcPr>
            <w:tcW w:type="dxa" w:w="2400"/>
          </w:tcPr>
          <w:p>
            <w:r>
              <w:rPr>
                <w:rFonts w:ascii="Calibri" w:cs="Calibri" w:eastAsia="Calibri" w:hAnsi="Calibri"/>
                <w:color w:val="14120F"/>
                <w:sz w:val="18"/>
                <w:szCs w:val="18"/>
              </w:rPr>
              <w:t xml:space="preserve">↓ -0.017 €/L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1BAF7A"/>
                <w:sz w:val="18"/>
                <w:szCs w:val="18"/>
              </w:rPr>
              <w:t xml:space="preserve">€2.148</w:t>
            </w:r>
          </w:p>
        </w:tc>
        <w:tc>
          <w:tcPr>
            <w:tcW w:type="dxa" w:w="2400"/>
          </w:tcPr>
          <w:p>
            <w:r>
              <w:rPr>
                <w:rFonts w:ascii="Calibri" w:cs="Calibri" w:eastAsia="Calibri" w:hAnsi="Calibri"/>
                <w:color w:val="14120F"/>
                <w:sz w:val="18"/>
                <w:szCs w:val="18"/>
              </w:rPr>
              <w:t xml:space="preserve">€2.166</w:t>
            </w:r>
          </w:p>
        </w:tc>
        <w:tc>
          <w:tcPr>
            <w:tcW w:type="dxa" w:w="2400"/>
          </w:tcPr>
          <w:p>
            <w:r>
              <w:rPr>
                <w:rFonts w:ascii="Calibri" w:cs="Calibri" w:eastAsia="Calibri" w:hAnsi="Calibri"/>
                <w:color w:val="14120F"/>
                <w:sz w:val="18"/>
                <w:szCs w:val="18"/>
              </w:rPr>
              <w:t xml:space="preserve">↓ -0.018 €/L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1BAF7A"/>
                <w:sz w:val="18"/>
                <w:szCs w:val="18"/>
              </w:rPr>
              <w:t xml:space="preserve">€2.190</w:t>
            </w:r>
          </w:p>
        </w:tc>
        <w:tc>
          <w:tcPr>
            <w:tcW w:type="dxa" w:w="2400"/>
          </w:tcPr>
          <w:p>
            <w:r>
              <w:rPr>
                <w:rFonts w:ascii="Calibri" w:cs="Calibri" w:eastAsia="Calibri" w:hAnsi="Calibri"/>
                <w:color w:val="14120F"/>
                <w:sz w:val="18"/>
                <w:szCs w:val="18"/>
              </w:rPr>
              <w:t xml:space="preserve">€2.216</w:t>
            </w:r>
          </w:p>
        </w:tc>
        <w:tc>
          <w:tcPr>
            <w:tcW w:type="dxa" w:w="2400"/>
          </w:tcPr>
          <w:p>
            <w:r>
              <w:rPr>
                <w:rFonts w:ascii="Calibri" w:cs="Calibri" w:eastAsia="Calibri" w:hAnsi="Calibri"/>
                <w:color w:val="14120F"/>
                <w:sz w:val="18"/>
                <w:szCs w:val="18"/>
              </w:rPr>
              <w:t xml:space="preserve">↓ -0.026 €/L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1BAF7A"/>
                <w:sz w:val="18"/>
                <w:szCs w:val="18"/>
              </w:rPr>
              <w:t xml:space="preserve">€2.237</w:t>
            </w:r>
          </w:p>
        </w:tc>
        <w:tc>
          <w:tcPr>
            <w:tcW w:type="dxa" w:w="2400"/>
          </w:tcPr>
          <w:p>
            <w:r>
              <w:rPr>
                <w:rFonts w:ascii="Calibri" w:cs="Calibri" w:eastAsia="Calibri" w:hAnsi="Calibri"/>
                <w:color w:val="14120F"/>
                <w:sz w:val="18"/>
                <w:szCs w:val="18"/>
              </w:rPr>
              <w:t xml:space="preserve">€2.267</w:t>
            </w:r>
          </w:p>
        </w:tc>
        <w:tc>
          <w:tcPr>
            <w:tcW w:type="dxa" w:w="2400"/>
          </w:tcPr>
          <w:p>
            <w:r>
              <w:rPr>
                <w:rFonts w:ascii="Calibri" w:cs="Calibri" w:eastAsia="Calibri" w:hAnsi="Calibri"/>
                <w:color w:val="14120F"/>
                <w:sz w:val="18"/>
                <w:szCs w:val="18"/>
              </w:rPr>
              <w:t xml:space="preserve">↓ -0.030 €/L</w:t>
            </w:r>
          </w:p>
        </w:tc>
      </w:tr>
    </w:tbl>
    <w:p>
      <w:r>
        <w:br w:type="page"/>
      </w:r>
    </w:p>
    <w:p>
      <w:pPr>
        <w:spacing w:after="80"/>
      </w:pPr>
      <w:r>
        <w:rPr>
          <w:rFonts w:ascii="Calibri" w:cs="Calibri" w:eastAsia="Calibri" w:hAnsi="Calibri"/>
          <w:b/>
          <w:bCs/>
          <w:color w:val="B9790A"/>
          <w:sz w:val="18"/>
          <w:szCs w:val="18"/>
        </w:rPr>
        <w:t xml:space="preserve">FUEL SPOTLIGHT · GPL (LPG)</w:t>
      </w:r>
    </w:p>
    <w:p>
      <w:pPr>
        <w:spacing w:after="180" w:before="0"/>
      </w:pPr>
      <w:r>
        <w:rPr>
          <w:rFonts w:ascii="Cambria" w:cs="Cambria" w:eastAsia="Cambria" w:hAnsi="Cambria"/>
          <w:b/>
          <w:bCs/>
          <w:color w:val="C98500"/>
          <w:sz w:val="34"/>
          <w:szCs w:val="34"/>
        </w:rPr>
        <w:t xml:space="preserve">LPG: no self-service price in Umbria, and a quiet, slightly dearer served market</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w:t>
            </w:r>
          </w:p>
          <w:p>
            <w:pPr>
              <w:spacing w:before="40"/>
            </w:pPr>
            <w:r>
              <w:rPr>
                <w:rFonts w:ascii="Calibri" w:cs="Calibri" w:eastAsia="Calibri" w:hAnsi="Calibri"/>
                <w:color w:val="5B564C"/>
                <w:sz w:val="17"/>
                <w:szCs w:val="17"/>
              </w:rPr>
              <w:t xml:space="preserve">Sep 17</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w:t>
            </w:r>
          </w:p>
          <w:p>
            <w:pPr>
              <w:spacing w:before="60"/>
            </w:pPr>
            <w:r>
              <w:rPr>
                <w:rFonts w:ascii="Calibri" w:cs="Calibri" w:eastAsia="Calibri" w:hAnsi="Calibri"/>
                <w:b/>
                <w:bCs/>
                <w:color w:val="14120F"/>
                <w:sz w:val="28"/>
                <w:szCs w:val="28"/>
              </w:rPr>
              <w:t xml:space="preserve">—</w:t>
            </w:r>
          </w:p>
          <w:p>
            <w:pPr>
              <w:spacing w:before="40"/>
            </w:pPr>
            <w:r>
              <w:rPr>
                <w:rFonts w:ascii="Calibri" w:cs="Calibri" w:eastAsia="Calibri" w:hAnsi="Calibri"/>
                <w:color w:val="5B564C"/>
                <w:sz w:val="17"/>
                <w:szCs w:val="17"/>
              </w:rPr>
              <w:t xml:space="preserve"> </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-0.6%</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Umbria reports no self-service GPL price at all in the data, so the regional picture rests on the served price: €0.7728/l on 17 September, down 0.0003 from €0.7731/l the day before. Nationally, self-service GPL averaged €0.7558/l and served GPL €0.7564/l. The comparison that matters, served against served, puts Umbria at 1.64 cents (2.17%) above the national figure, making LPG the only tracked fuel where the region is dearer than Italy.</w:t>
      </w:r>
    </w:p>
    <w:p>
      <w:pPr>
        <w:spacing w:after="200"/>
      </w:pPr>
      <w:r>
        <w:rPr>
          <w:rFonts w:ascii="Calibri" w:cs="Calibri" w:eastAsia="Calibri" w:hAnsi="Calibri"/>
          <w:b w:val="false"/>
          <w:bCs w:val="false"/>
          <w:i w:val="false"/>
          <w:iCs w:val="false"/>
          <w:color w:val="14120F"/>
          <w:sz w:val="22"/>
          <w:szCs w:val="22"/>
        </w:rPr>
        <w:t xml:space="preserve">LPG is also the one fuel that is not rising. Across the 51 days of Umbrian history since 21 July, the served price moved only within a band of €0.7716/l to €0.7772/l, a spread of about half a cent. Nationally, weekly self-service GPL slipped from €0.7592/l in W30 to €0.7550/l in W38, a fall of 0.55%. The regional weekly self-service series is empty for lack of reported prices, so no regional weekly percentage change can be given. The contrast with methane, which has climbed 18.73% in the same weeks, is the sharpest in the data: two gas-based fuels, moving in opposite directions.</w:t>
      </w:r>
    </w:p>
    <w:p>
      <w:pPr>
        <w:spacing w:after="120"/>
      </w:pPr>
      <w:r>
        <w:rPr>
          <w:rFonts w:ascii="Calibri" w:cs="Calibri" w:eastAsia="Calibri" w:hAnsi="Calibri"/>
          <w:b/>
          <w:bCs/>
          <w:i w:val="false"/>
          <w:iCs w:val="false"/>
          <w:color w:val="5B564C"/>
          <w:sz w:val="18"/>
          <w:szCs w:val="18"/>
        </w:rPr>
        <w:t xml:space="preserve">Weekly self-service average, Umbria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GPL — Region</w:t>
            </w:r>
          </w:p>
        </w:tc>
        <w:tc>
          <w:tcPr>
            <w:tcW w:type="dxa" w:w="2400"/>
            <w:shd w:fill="F0EDE6" w:val="clear"/>
          </w:tcPr>
          <w:p>
            <w:r>
              <w:rPr>
                <w:rFonts w:ascii="Calibri" w:cs="Calibri" w:eastAsia="Calibri" w:hAnsi="Calibri"/>
                <w:b/>
                <w:bCs/>
                <w:sz w:val="18"/>
                <w:szCs w:val="18"/>
              </w:rPr>
              <w:t xml:space="preserve">GPL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C98500"/>
                <w:sz w:val="18"/>
                <w:szCs w:val="18"/>
              </w:rPr>
              <w:t xml:space="preserve">—</w:t>
            </w:r>
          </w:p>
        </w:tc>
        <w:tc>
          <w:tcPr>
            <w:tcW w:type="dxa" w:w="2400"/>
          </w:tcPr>
          <w:p>
            <w:r>
              <w:rPr>
                <w:rFonts w:ascii="Calibri" w:cs="Calibri" w:eastAsia="Calibri" w:hAnsi="Calibri"/>
                <w:color w:val="14120F"/>
                <w:sz w:val="18"/>
                <w:szCs w:val="18"/>
              </w:rPr>
              <w:t xml:space="preserve">€0.759</w:t>
            </w:r>
          </w:p>
        </w:tc>
        <w:tc>
          <w:tcPr>
            <w:tcW w:type="dxa" w:w="2400"/>
          </w:tcPr>
          <w:p>
            <w:r>
              <w:rPr>
                <w:rFonts w:ascii="Calibri" w:cs="Calibri" w:eastAsia="Calibri" w:hAnsi="Calibri"/>
                <w:color w:val="14120F"/>
                <w:sz w:val="18"/>
                <w:szCs w:val="18"/>
              </w:rPr>
              <w:t xml:space="preserve">—</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C98500"/>
                <w:sz w:val="18"/>
                <w:szCs w:val="18"/>
              </w:rPr>
              <w:t xml:space="preserve">—</w:t>
            </w:r>
          </w:p>
        </w:tc>
        <w:tc>
          <w:tcPr>
            <w:tcW w:type="dxa" w:w="2400"/>
          </w:tcPr>
          <w:p>
            <w:r>
              <w:rPr>
                <w:rFonts w:ascii="Calibri" w:cs="Calibri" w:eastAsia="Calibri" w:hAnsi="Calibri"/>
                <w:color w:val="14120F"/>
                <w:sz w:val="18"/>
                <w:szCs w:val="18"/>
              </w:rPr>
              <w:t xml:space="preserve">€0.757</w:t>
            </w:r>
          </w:p>
        </w:tc>
        <w:tc>
          <w:tcPr>
            <w:tcW w:type="dxa" w:w="2400"/>
          </w:tcPr>
          <w:p>
            <w:r>
              <w:rPr>
                <w:rFonts w:ascii="Calibri" w:cs="Calibri" w:eastAsia="Calibri" w:hAnsi="Calibri"/>
                <w:color w:val="14120F"/>
                <w:sz w:val="18"/>
                <w:szCs w:val="18"/>
              </w:rPr>
              <w:t xml:space="preserve">—</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C98500"/>
                <w:sz w:val="18"/>
                <w:szCs w:val="18"/>
              </w:rPr>
              <w:t xml:space="preserve">—</w:t>
            </w:r>
          </w:p>
        </w:tc>
        <w:tc>
          <w:tcPr>
            <w:tcW w:type="dxa" w:w="2400"/>
          </w:tcPr>
          <w:p>
            <w:r>
              <w:rPr>
                <w:rFonts w:ascii="Calibri" w:cs="Calibri" w:eastAsia="Calibri" w:hAnsi="Calibri"/>
                <w:color w:val="14120F"/>
                <w:sz w:val="18"/>
                <w:szCs w:val="18"/>
              </w:rPr>
              <w:t xml:space="preserve">€0.756</w:t>
            </w:r>
          </w:p>
        </w:tc>
        <w:tc>
          <w:tcPr>
            <w:tcW w:type="dxa" w:w="2400"/>
          </w:tcPr>
          <w:p>
            <w:r>
              <w:rPr>
                <w:rFonts w:ascii="Calibri" w:cs="Calibri" w:eastAsia="Calibri" w:hAnsi="Calibri"/>
                <w:color w:val="14120F"/>
                <w:sz w:val="18"/>
                <w:szCs w:val="18"/>
              </w:rPr>
              <w:t xml:space="preserve">—</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C98500"/>
                <w:sz w:val="18"/>
                <w:szCs w:val="18"/>
              </w:rPr>
              <w:t xml:space="preserve">—</w:t>
            </w:r>
          </w:p>
        </w:tc>
        <w:tc>
          <w:tcPr>
            <w:tcW w:type="dxa" w:w="2400"/>
          </w:tcPr>
          <w:p>
            <w:r>
              <w:rPr>
                <w:rFonts w:ascii="Calibri" w:cs="Calibri" w:eastAsia="Calibri" w:hAnsi="Calibri"/>
                <w:color w:val="14120F"/>
                <w:sz w:val="18"/>
                <w:szCs w:val="18"/>
              </w:rPr>
              <w:t xml:space="preserve">€0.757</w:t>
            </w:r>
          </w:p>
        </w:tc>
        <w:tc>
          <w:tcPr>
            <w:tcW w:type="dxa" w:w="2400"/>
          </w:tcPr>
          <w:p>
            <w:r>
              <w:rPr>
                <w:rFonts w:ascii="Calibri" w:cs="Calibri" w:eastAsia="Calibri" w:hAnsi="Calibri"/>
                <w:color w:val="14120F"/>
                <w:sz w:val="18"/>
                <w:szCs w:val="18"/>
              </w:rPr>
              <w:t xml:space="preserve">—</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C98500"/>
                <w:sz w:val="18"/>
                <w:szCs w:val="18"/>
              </w:rPr>
              <w:t xml:space="preserve">—</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C98500"/>
                <w:sz w:val="18"/>
                <w:szCs w:val="18"/>
              </w:rPr>
              <w:t xml:space="preserve">—</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C98500"/>
                <w:sz w:val="18"/>
                <w:szCs w:val="18"/>
              </w:rPr>
              <w:t xml:space="preserve">—</w:t>
            </w:r>
          </w:p>
        </w:tc>
        <w:tc>
          <w:tcPr>
            <w:tcW w:type="dxa" w:w="2400"/>
          </w:tcPr>
          <w:p>
            <w:r>
              <w:rPr>
                <w:rFonts w:ascii="Calibri" w:cs="Calibri" w:eastAsia="Calibri" w:hAnsi="Calibri"/>
                <w:color w:val="14120F"/>
                <w:sz w:val="18"/>
                <w:szCs w:val="18"/>
              </w:rPr>
              <w:t xml:space="preserve">€0.754</w:t>
            </w:r>
          </w:p>
        </w:tc>
        <w:tc>
          <w:tcPr>
            <w:tcW w:type="dxa" w:w="2400"/>
          </w:tcPr>
          <w:p>
            <w:r>
              <w:rPr>
                <w:rFonts w:ascii="Calibri" w:cs="Calibri" w:eastAsia="Calibri" w:hAnsi="Calibri"/>
                <w:color w:val="14120F"/>
                <w:sz w:val="18"/>
                <w:szCs w:val="18"/>
              </w:rPr>
              <w:t xml:space="preserve">—</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C98500"/>
                <w:sz w:val="18"/>
                <w:szCs w:val="18"/>
              </w:rPr>
              <w:t xml:space="preserve">—</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C98500"/>
                <w:sz w:val="18"/>
                <w:szCs w:val="18"/>
              </w:rPr>
              <w:t xml:space="preserve">—</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w:t>
            </w:r>
          </w:p>
        </w:tc>
      </w:tr>
    </w:tbl>
    <w:p>
      <w:r>
        <w:br w:type="page"/>
      </w:r>
    </w:p>
    <w:p>
      <w:pPr>
        <w:spacing w:after="80"/>
      </w:pPr>
      <w:r>
        <w:rPr>
          <w:rFonts w:ascii="Calibri" w:cs="Calibri" w:eastAsia="Calibri" w:hAnsi="Calibri"/>
          <w:b/>
          <w:bCs/>
          <w:color w:val="B9790A"/>
          <w:sz w:val="18"/>
          <w:szCs w:val="18"/>
        </w:rPr>
        <w:t xml:space="preserve">FUEL SPOTLIGHT · METANO (CNG)</w:t>
      </w:r>
    </w:p>
    <w:p>
      <w:pPr>
        <w:spacing w:after="180" w:before="0"/>
      </w:pPr>
      <w:r>
        <w:rPr>
          <w:rFonts w:ascii="Cambria" w:cs="Cambria" w:eastAsia="Cambria" w:hAnsi="Cambria"/>
          <w:b/>
          <w:bCs/>
          <w:color w:val="1F9C1F"/>
          <w:sz w:val="34"/>
          <w:szCs w:val="34"/>
        </w:rPr>
        <w:t xml:space="preserve">Methane: the fastest climber, up 18.7% in eight weeks and 3 cents in a day</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€1.718</w:t>
            </w:r>
          </w:p>
          <w:p>
            <w:pPr>
              <w:spacing w:before="40"/>
            </w:pPr>
            <w:r>
              <w:rPr>
                <w:rFonts w:ascii="Calibri" w:cs="Calibri" w:eastAsia="Calibri" w:hAnsi="Calibri"/>
                <w:color w:val="5B564C"/>
                <w:sz w:val="17"/>
                <w:szCs w:val="17"/>
              </w:rPr>
              <w:t xml:space="preserve">Sep 17</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+0.031 €/L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+18.7%</w:t>
            </w:r>
          </w:p>
          <w:p>
            <w:pPr>
              <w:spacing w:before="40"/>
            </w:pPr>
            <w:r>
              <w:rPr>
                <w:rFonts w:ascii="Calibri" w:cs="Calibri" w:eastAsia="Calibri" w:hAnsi="Calibri"/>
                <w:color w:val="5B564C"/>
                <w:sz w:val="17"/>
                <w:szCs w:val="17"/>
              </w:rPr>
              <w:t xml:space="preserve">Umbria,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+16.9%</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Self-service Metano in Umbria averaged €1.7177/kg on 17 September, up 3.11 cents (1.84%) from €1.6866/kg the day before, the biggest one-day move of any fuel in the region. It is still the fuel with the widest discount to the national self-service average of €1.7718/kg: 5.41 cents, or 3.05%. The served price of €1.8204/kg is close to the national served average of €1.8344/kg, a gap of just 1.40 cents, so nearly all of the regional advantage is on the self-service side.</w:t>
      </w:r>
    </w:p>
    <w:p>
      <w:pPr>
        <w:spacing w:after="200"/>
      </w:pPr>
      <w:r>
        <w:rPr>
          <w:rFonts w:ascii="Calibri" w:cs="Calibri" w:eastAsia="Calibri" w:hAnsi="Calibri"/>
          <w:b w:val="false"/>
          <w:bCs w:val="false"/>
          <w:i w:val="false"/>
          <w:iCs w:val="false"/>
          <w:color w:val="14120F"/>
          <w:sz w:val="22"/>
          <w:szCs w:val="22"/>
        </w:rPr>
        <w:t xml:space="preserve">The weekly trend is the headline of this report. Umbria's self-service methane went from €1.4135/kg in W30 to €1.6783/kg in W38, a rise of 18.73% against 16.92% nationally. Between W33 and W38 the regional rise was 11.83%, essentially the same as the 11.68% national figure, so the outperformance was built earlier, in the first weeks of the window. It is now accelerating again: W37 to W38 is +4.36% in Umbria against +3.07% for Italy. Methane in the region moves in steps rather than a smooth line: it was flat at €1.6221/kg from 10 to 14 September and then jumped to €1.6866/kg on the 15th, a rise of 6.45 cents in a single day. Since 21 July the self-service price is up 23.27%, from €1.3934/kg.</w:t>
      </w:r>
    </w:p>
    <w:p>
      <w:pPr>
        <w:spacing w:after="120"/>
      </w:pPr>
      <w:r>
        <w:rPr>
          <w:rFonts w:ascii="Calibri" w:cs="Calibri" w:eastAsia="Calibri" w:hAnsi="Calibri"/>
          <w:b/>
          <w:bCs/>
          <w:i w:val="false"/>
          <w:iCs w:val="false"/>
          <w:color w:val="5B564C"/>
          <w:sz w:val="18"/>
          <w:szCs w:val="18"/>
        </w:rPr>
        <w:t xml:space="preserve">Weekly self-service average, Umbria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Metano — Region</w:t>
            </w:r>
          </w:p>
        </w:tc>
        <w:tc>
          <w:tcPr>
            <w:tcW w:type="dxa" w:w="2400"/>
            <w:shd w:fill="F0EDE6" w:val="clear"/>
          </w:tcPr>
          <w:p>
            <w:r>
              <w:rPr>
                <w:rFonts w:ascii="Calibri" w:cs="Calibri" w:eastAsia="Calibri" w:hAnsi="Calibri"/>
                <w:b/>
                <w:bCs/>
                <w:sz w:val="18"/>
                <w:szCs w:val="18"/>
              </w:rPr>
              <w:t xml:space="preserve">Metano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1F9C1F"/>
                <w:sz w:val="18"/>
                <w:szCs w:val="18"/>
              </w:rPr>
              <w:t xml:space="preserve">€1.413</w:t>
            </w:r>
          </w:p>
        </w:tc>
        <w:tc>
          <w:tcPr>
            <w:tcW w:type="dxa" w:w="2400"/>
          </w:tcPr>
          <w:p>
            <w:r>
              <w:rPr>
                <w:rFonts w:ascii="Calibri" w:cs="Calibri" w:eastAsia="Calibri" w:hAnsi="Calibri"/>
                <w:color w:val="14120F"/>
                <w:sz w:val="18"/>
                <w:szCs w:val="18"/>
              </w:rPr>
              <w:t xml:space="preserve">€1.500</w:t>
            </w:r>
          </w:p>
        </w:tc>
        <w:tc>
          <w:tcPr>
            <w:tcW w:type="dxa" w:w="2400"/>
          </w:tcPr>
          <w:p>
            <w:r>
              <w:rPr>
                <w:rFonts w:ascii="Calibri" w:cs="Calibri" w:eastAsia="Calibri" w:hAnsi="Calibri"/>
                <w:color w:val="14120F"/>
                <w:sz w:val="18"/>
                <w:szCs w:val="18"/>
              </w:rPr>
              <w:t xml:space="preserve">↓ -0.086 €/L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1F9C1F"/>
                <w:sz w:val="18"/>
                <w:szCs w:val="18"/>
              </w:rPr>
              <w:t xml:space="preserve">€1.434</w:t>
            </w:r>
          </w:p>
        </w:tc>
        <w:tc>
          <w:tcPr>
            <w:tcW w:type="dxa" w:w="2400"/>
          </w:tcPr>
          <w:p>
            <w:r>
              <w:rPr>
                <w:rFonts w:ascii="Calibri" w:cs="Calibri" w:eastAsia="Calibri" w:hAnsi="Calibri"/>
                <w:color w:val="14120F"/>
                <w:sz w:val="18"/>
                <w:szCs w:val="18"/>
              </w:rPr>
              <w:t xml:space="preserve">€1.518</w:t>
            </w:r>
          </w:p>
        </w:tc>
        <w:tc>
          <w:tcPr>
            <w:tcW w:type="dxa" w:w="2400"/>
          </w:tcPr>
          <w:p>
            <w:r>
              <w:rPr>
                <w:rFonts w:ascii="Calibri" w:cs="Calibri" w:eastAsia="Calibri" w:hAnsi="Calibri"/>
                <w:color w:val="14120F"/>
                <w:sz w:val="18"/>
                <w:szCs w:val="18"/>
              </w:rPr>
              <w:t xml:space="preserve">↓ -0.084 €/L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1F9C1F"/>
                <w:sz w:val="18"/>
                <w:szCs w:val="18"/>
              </w:rPr>
              <w:t xml:space="preserve">€1.455</w:t>
            </w:r>
          </w:p>
        </w:tc>
        <w:tc>
          <w:tcPr>
            <w:tcW w:type="dxa" w:w="2400"/>
          </w:tcPr>
          <w:p>
            <w:r>
              <w:rPr>
                <w:rFonts w:ascii="Calibri" w:cs="Calibri" w:eastAsia="Calibri" w:hAnsi="Calibri"/>
                <w:color w:val="14120F"/>
                <w:sz w:val="18"/>
                <w:szCs w:val="18"/>
              </w:rPr>
              <w:t xml:space="preserve">€1.551</w:t>
            </w:r>
          </w:p>
        </w:tc>
        <w:tc>
          <w:tcPr>
            <w:tcW w:type="dxa" w:w="2400"/>
          </w:tcPr>
          <w:p>
            <w:r>
              <w:rPr>
                <w:rFonts w:ascii="Calibri" w:cs="Calibri" w:eastAsia="Calibri" w:hAnsi="Calibri"/>
                <w:color w:val="14120F"/>
                <w:sz w:val="18"/>
                <w:szCs w:val="18"/>
              </w:rPr>
              <w:t xml:space="preserve">↓ -0.096 €/L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1F9C1F"/>
                <w:sz w:val="18"/>
                <w:szCs w:val="18"/>
              </w:rPr>
              <w:t xml:space="preserve">€1.501</w:t>
            </w:r>
          </w:p>
        </w:tc>
        <w:tc>
          <w:tcPr>
            <w:tcW w:type="dxa" w:w="2400"/>
          </w:tcPr>
          <w:p>
            <w:r>
              <w:rPr>
                <w:rFonts w:ascii="Calibri" w:cs="Calibri" w:eastAsia="Calibri" w:hAnsi="Calibri"/>
                <w:color w:val="14120F"/>
                <w:sz w:val="18"/>
                <w:szCs w:val="18"/>
              </w:rPr>
              <w:t xml:space="preserve">€1.570</w:t>
            </w:r>
          </w:p>
        </w:tc>
        <w:tc>
          <w:tcPr>
            <w:tcW w:type="dxa" w:w="2400"/>
          </w:tcPr>
          <w:p>
            <w:r>
              <w:rPr>
                <w:rFonts w:ascii="Calibri" w:cs="Calibri" w:eastAsia="Calibri" w:hAnsi="Calibri"/>
                <w:color w:val="14120F"/>
                <w:sz w:val="18"/>
                <w:szCs w:val="18"/>
              </w:rPr>
              <w:t xml:space="preserve">↓ -0.070 €/L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1F9C1F"/>
                <w:sz w:val="18"/>
                <w:szCs w:val="18"/>
              </w:rPr>
              <w:t xml:space="preserve">€1.520</w:t>
            </w:r>
          </w:p>
        </w:tc>
        <w:tc>
          <w:tcPr>
            <w:tcW w:type="dxa" w:w="2400"/>
          </w:tcPr>
          <w:p>
            <w:r>
              <w:rPr>
                <w:rFonts w:ascii="Calibri" w:cs="Calibri" w:eastAsia="Calibri" w:hAnsi="Calibri"/>
                <w:color w:val="14120F"/>
                <w:sz w:val="18"/>
                <w:szCs w:val="18"/>
              </w:rPr>
              <w:t xml:space="preserve">€1.581</w:t>
            </w:r>
          </w:p>
        </w:tc>
        <w:tc>
          <w:tcPr>
            <w:tcW w:type="dxa" w:w="2400"/>
          </w:tcPr>
          <w:p>
            <w:r>
              <w:rPr>
                <w:rFonts w:ascii="Calibri" w:cs="Calibri" w:eastAsia="Calibri" w:hAnsi="Calibri"/>
                <w:color w:val="14120F"/>
                <w:sz w:val="18"/>
                <w:szCs w:val="18"/>
              </w:rPr>
              <w:t xml:space="preserve">↓ -0.061 €/L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1F9C1F"/>
                <w:sz w:val="18"/>
                <w:szCs w:val="18"/>
              </w:rPr>
              <w:t xml:space="preserve">€1.536</w:t>
            </w:r>
          </w:p>
        </w:tc>
        <w:tc>
          <w:tcPr>
            <w:tcW w:type="dxa" w:w="2400"/>
          </w:tcPr>
          <w:p>
            <w:r>
              <w:rPr>
                <w:rFonts w:ascii="Calibri" w:cs="Calibri" w:eastAsia="Calibri" w:hAnsi="Calibri"/>
                <w:color w:val="14120F"/>
                <w:sz w:val="18"/>
                <w:szCs w:val="18"/>
              </w:rPr>
              <w:t xml:space="preserve">€1.589</w:t>
            </w:r>
          </w:p>
        </w:tc>
        <w:tc>
          <w:tcPr>
            <w:tcW w:type="dxa" w:w="2400"/>
          </w:tcPr>
          <w:p>
            <w:r>
              <w:rPr>
                <w:rFonts w:ascii="Calibri" w:cs="Calibri" w:eastAsia="Calibri" w:hAnsi="Calibri"/>
                <w:color w:val="14120F"/>
                <w:sz w:val="18"/>
                <w:szCs w:val="18"/>
              </w:rPr>
              <w:t xml:space="preserve">↓ -0.053 €/L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1F9C1F"/>
                <w:sz w:val="18"/>
                <w:szCs w:val="18"/>
              </w:rPr>
              <w:t xml:space="preserve">€1.546</w:t>
            </w:r>
          </w:p>
        </w:tc>
        <w:tc>
          <w:tcPr>
            <w:tcW w:type="dxa" w:w="2400"/>
          </w:tcPr>
          <w:p>
            <w:r>
              <w:rPr>
                <w:rFonts w:ascii="Calibri" w:cs="Calibri" w:eastAsia="Calibri" w:hAnsi="Calibri"/>
                <w:color w:val="14120F"/>
                <w:sz w:val="18"/>
                <w:szCs w:val="18"/>
              </w:rPr>
              <w:t xml:space="preserve">€1.616</w:t>
            </w:r>
          </w:p>
        </w:tc>
        <w:tc>
          <w:tcPr>
            <w:tcW w:type="dxa" w:w="2400"/>
          </w:tcPr>
          <w:p>
            <w:r>
              <w:rPr>
                <w:rFonts w:ascii="Calibri" w:cs="Calibri" w:eastAsia="Calibri" w:hAnsi="Calibri"/>
                <w:color w:val="14120F"/>
                <w:sz w:val="18"/>
                <w:szCs w:val="18"/>
              </w:rPr>
              <w:t xml:space="preserve">↓ -0.069 €/L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1F9C1F"/>
                <w:sz w:val="18"/>
                <w:szCs w:val="18"/>
              </w:rPr>
              <w:t xml:space="preserve">€1.608</w:t>
            </w:r>
          </w:p>
        </w:tc>
        <w:tc>
          <w:tcPr>
            <w:tcW w:type="dxa" w:w="2400"/>
          </w:tcPr>
          <w:p>
            <w:r>
              <w:rPr>
                <w:rFonts w:ascii="Calibri" w:cs="Calibri" w:eastAsia="Calibri" w:hAnsi="Calibri"/>
                <w:color w:val="14120F"/>
                <w:sz w:val="18"/>
                <w:szCs w:val="18"/>
              </w:rPr>
              <w:t xml:space="preserve">€1.702</w:t>
            </w:r>
          </w:p>
        </w:tc>
        <w:tc>
          <w:tcPr>
            <w:tcW w:type="dxa" w:w="2400"/>
          </w:tcPr>
          <w:p>
            <w:r>
              <w:rPr>
                <w:rFonts w:ascii="Calibri" w:cs="Calibri" w:eastAsia="Calibri" w:hAnsi="Calibri"/>
                <w:color w:val="14120F"/>
                <w:sz w:val="18"/>
                <w:szCs w:val="18"/>
              </w:rPr>
              <w:t xml:space="preserve">↓ -0.093 €/L</w:t>
            </w:r>
          </w:p>
        </w:tc>
      </w:tr>
      <w:tr>
        <w:tc>
          <w:tcPr>
            <w:tcW w:type="dxa" w:w="1800"/>
          </w:tcPr>
          <w:p>
            <w:r>
              <w:rPr>
                <w:rFonts w:ascii="Calibri" w:cs="Calibri" w:eastAsia="Calibri" w:hAnsi="Calibri"/>
                <w:color w:val="14120F"/>
                <w:sz w:val="18"/>
                <w:szCs w:val="18"/>
              </w:rPr>
              <w:t xml:space="preserve">Sep 14</w:t>
            </w:r>
          </w:p>
        </w:tc>
        <w:tc>
          <w:tcPr>
            <w:tcW w:type="dxa" w:w="2400"/>
          </w:tcPr>
          <w:p>
            <w:r>
              <w:rPr>
                <w:rFonts w:ascii="Calibri" w:cs="Calibri" w:eastAsia="Calibri" w:hAnsi="Calibri"/>
                <w:color w:val="1F9C1F"/>
                <w:sz w:val="18"/>
                <w:szCs w:val="18"/>
              </w:rPr>
              <w:t xml:space="preserve">€1.678</w:t>
            </w:r>
          </w:p>
        </w:tc>
        <w:tc>
          <w:tcPr>
            <w:tcW w:type="dxa" w:w="2400"/>
          </w:tcPr>
          <w:p>
            <w:r>
              <w:rPr>
                <w:rFonts w:ascii="Calibri" w:cs="Calibri" w:eastAsia="Calibri" w:hAnsi="Calibri"/>
                <w:color w:val="14120F"/>
                <w:sz w:val="18"/>
                <w:szCs w:val="18"/>
              </w:rPr>
              <w:t xml:space="preserve">€1.754</w:t>
            </w:r>
          </w:p>
        </w:tc>
        <w:tc>
          <w:tcPr>
            <w:tcW w:type="dxa" w:w="2400"/>
          </w:tcPr>
          <w:p>
            <w:r>
              <w:rPr>
                <w:rFonts w:ascii="Calibri" w:cs="Calibri" w:eastAsia="Calibri" w:hAnsi="Calibri"/>
                <w:color w:val="14120F"/>
                <w:sz w:val="18"/>
                <w:szCs w:val="18"/>
              </w:rPr>
              <w:t xml:space="preserve">↓ -0.075 €/L</w:t>
            </w:r>
          </w:p>
        </w:tc>
      </w:tr>
    </w:tbl>
    <w:p>
      <w:r>
        <w:br w:type="page"/>
      </w:r>
    </w:p>
    <w:p>
      <w:pPr>
        <w:spacing w:after="80"/>
      </w:pPr>
      <w:r>
        <w:rPr>
          <w:rFonts w:ascii="Calibri" w:cs="Calibri" w:eastAsia="Calibri" w:hAnsi="Calibri"/>
          <w:b/>
          <w:bCs/>
          <w:color w:val="B9790A"/>
          <w:sz w:val="18"/>
          <w:szCs w:val="18"/>
        </w:rPr>
        <w:t xml:space="preserve">STATION NETWORK</w:t>
      </w:r>
    </w:p>
    <w:p>
      <w:pPr>
        <w:spacing w:after="180" w:before="0"/>
      </w:pPr>
      <w:r>
        <w:rPr>
          <w:rFonts w:ascii="Cambria" w:cs="Cambria" w:eastAsia="Cambria" w:hAnsi="Cambria"/>
          <w:b/>
          <w:bCs/>
          <w:color w:val="14120F"/>
          <w:sz w:val="34"/>
          <w:szCs w:val="34"/>
        </w:rPr>
        <w:t xml:space="preserve">The network: 481 registered stations, 91% reporting</w:t>
      </w:r>
    </w:p>
    <w:p>
      <w:pPr>
        <w:spacing w:after="200"/>
      </w:pPr>
      <w:r>
        <w:rPr>
          <w:rFonts w:ascii="Calibri" w:cs="Calibri" w:eastAsia="Calibri" w:hAnsi="Calibri"/>
          <w:b w:val="false"/>
          <w:bCs w:val="false"/>
          <w:i w:val="false"/>
          <w:iCs w:val="false"/>
          <w:color w:val="14120F"/>
          <w:sz w:val="22"/>
          <w:szCs w:val="22"/>
        </w:rPr>
        <w:t xml:space="preserve">The regional registry lists 481 active stations in Umbria, about 2.0% of the 24,003 in the national registry. On 17 September, 438 of them reported prices, a reporting rate of 91.06%. Nationally the figure was 21,672 of 24,003, or 90.29%, so Umbria reports slightly better than the country as a whole. The remaining 43 stations either did not submit prices that day or are registered but effectively dormant.</w:t>
      </w:r>
    </w:p>
    <w:p>
      <w:pPr>
        <w:spacing w:after="200"/>
      </w:pPr>
      <w:r>
        <w:rPr>
          <w:rFonts w:ascii="Calibri" w:cs="Calibri" w:eastAsia="Calibri" w:hAnsi="Calibri"/>
          <w:b w:val="false"/>
          <w:bCs w:val="false"/>
          <w:i w:val="false"/>
          <w:iCs w:val="false"/>
          <w:color w:val="14120F"/>
          <w:sz w:val="22"/>
          <w:szCs w:val="22"/>
        </w:rPr>
        <w:t xml:space="preserve">The regional network is remarkably stable. Across the 51 days of Umbrian history since 21 July, the registered count never moved from 481 and the reporting count stayed between 435 and 439. A reporting rate that steady matters for the trend analysis above: the weekly averages are not being pushed around by stations dropping in and out of the sample, so the price movements reflect real price changes rather than changes in who is reporting. With around 43 non-reporting stations, though, the averages remain estimates of the regional market rather than a complete census of it.</w:t>
      </w:r>
    </w:p>
    <w:p>
      <w:r>
        <w:br w:type="page"/>
      </w:r>
    </w:p>
    <w:p>
      <w:pPr>
        <w:spacing w:after="80"/>
      </w:pPr>
      <w:r>
        <w:rPr>
          <w:rFonts w:ascii="Calibri" w:cs="Calibri" w:eastAsia="Calibri" w:hAnsi="Calibri"/>
          <w:b/>
          <w:bCs/>
          <w:color w:val="B9790A"/>
          <w:sz w:val="18"/>
          <w:szCs w:val="18"/>
        </w:rPr>
        <w:t xml:space="preserve">HOW THIS REPORT IS BUILT</w:t>
      </w:r>
    </w:p>
    <w:p>
      <w:pPr>
        <w:spacing w:after="180" w:before="0"/>
      </w:pPr>
      <w:r>
        <w:rPr>
          <w:rFonts w:ascii="Cambria" w:cs="Cambria" w:eastAsia="Cambria" w:hAnsi="Cambria"/>
          <w:b/>
          <w:bCs/>
          <w:color w:val="14120F"/>
          <w:sz w:val="34"/>
          <w:szCs w:val="34"/>
        </w:rPr>
        <w:t xml:space="preserve">How this report was made: no spreadsheet, no human in the loop</w:t>
      </w:r>
    </w:p>
    <w:p>
      <w:pPr>
        <w:spacing w:after="200"/>
      </w:pPr>
      <w:r>
        <w:rPr>
          <w:rFonts w:ascii="Calibri" w:cs="Calibri" w:eastAsia="Calibri" w:hAnsi="Calibri"/>
          <w:b w:val="false"/>
          <w:bCs w:val="false"/>
          <w:i w:val="false"/>
          <w:iCs w:val="false"/>
          <w:color w:val="14120F"/>
          <w:sz w:val="22"/>
          <w:szCs w:val="22"/>
        </w:rPr>
        <w:t xml:space="preserve">Everything in this report was produced automatically, today, by an unattended pipeline built with Claude Code. A scheduled job pulls the latest official price and registry data from MIMIT, rebuilds the dashboard's data files, and rotates through Italy's 20 regions alphabetically by calendar date, which is why Umbria is today's spotlight and no editor picked it. The same job then computes the weekly regional and national averages for each fuel, and Claude reads the resulting numbers and writes the analysis you are reading, including every percentage cited here, checked against the data file rather than estimated.</w:t>
      </w:r>
    </w:p>
    <w:p>
      <w:pPr>
        <w:spacing w:after="200"/>
      </w:pPr>
      <w:r>
        <w:rPr>
          <w:rFonts w:ascii="Calibri" w:cs="Calibri" w:eastAsia="Calibri" w:hAnsi="Calibri"/>
          <w:b w:val="false"/>
          <w:bCs w:val="false"/>
          <w:i w:val="false"/>
          <w:iCs w:val="false"/>
          <w:color w:val="14120F"/>
          <w:sz w:val="22"/>
          <w:szCs w:val="22"/>
        </w:rPr>
        <w:t xml:space="preserve">Contrast that with the way this would normally be done: an analyst downloads a CSV, pastes it into a spreadsheet, rebuilds the pivot tables, updates the charts, writes the commentary and formats a document, every day, for every region. It takes an hour or more, it goes stale the moment someone skips a day, and it does not scale to twenty regions and four fuels. The pipeline does it unattended in minutes, publishes the interactive dashboard to the web, and leaves a person only the review and approval step before anything is shared. The data and the analysis are always in sync because they come from the same run.</w:t>
      </w:r>
    </w:p>
    <w:p>
      <w:r>
        <w:br w:type="page"/>
      </w:r>
    </w:p>
    <w:p>
      <w:pPr>
        <w:spacing w:after="80"/>
      </w:pPr>
      <w:r>
        <w:rPr>
          <w:rFonts w:ascii="Calibri" w:cs="Calibri" w:eastAsia="Calibri" w:hAnsi="Calibri"/>
          <w:b/>
          <w:bCs/>
          <w:color w:val="B9790A"/>
          <w:sz w:val="18"/>
          <w:szCs w:val="18"/>
        </w:rPr>
        <w:t xml:space="preserve">VISIT THE DASHBOARD</w:t>
      </w:r>
    </w:p>
    <w:p>
      <w:pPr>
        <w:spacing w:after="180" w:before="0"/>
      </w:pPr>
      <w:r>
        <w:rPr>
          <w:rFonts w:ascii="Cambria" w:cs="Cambria" w:eastAsia="Cambria" w:hAnsi="Cambria"/>
          <w:b/>
          <w:bCs/>
          <w:color w:val="14120F"/>
          <w:sz w:val="34"/>
          <w:szCs w:val="34"/>
        </w:rPr>
        <w:t xml:space="preserve">Explore the live dashboard</w:t>
      </w:r>
    </w:p>
    <w:p>
      <w:pPr>
        <w:spacing w:after="200"/>
      </w:pPr>
      <w:r>
        <w:rPr>
          <w:rFonts w:ascii="Calibri" w:cs="Calibri" w:eastAsia="Calibri" w:hAnsi="Calibri"/>
          <w:b w:val="false"/>
          <w:bCs w:val="false"/>
          <w:i w:val="false"/>
          <w:iCs w:val="false"/>
          <w:color w:val="14120F"/>
          <w:sz w:val="22"/>
          <w:szCs w:val="22"/>
        </w:rPr>
        <w:t xml:space="preserve">The live Fuel Dashboard opens by default on the brand-level view of Agip Eni. From there, use the scope picker to switch to Region, Province or Municipality and see how Umbria compares with its neighbours or drill down to your own town, or choose another Operator or Brand to compare networks. It is updated every day, so the numbers in this report will already be a day older by the time you open it. Visit https://adeo-blip.github.io/fuel-price-italy/ to explore.</w:t>
      </w:r>
    </w:p>
    <w:p>
      <w:pPr>
        <w:spacing w:after="320"/>
      </w:pPr>
      <w:r>
        <w:rPr>
          <w:rFonts w:ascii="Calibri" w:cs="Calibri" w:eastAsia="Calibri" w:hAnsi="Calibri"/>
          <w:b/>
          <w:bCs/>
          <w:i w:val="false"/>
          <w:iCs w:val="false"/>
          <w:color w:val="B9790A"/>
          <w:sz w:val="24"/>
          <w:szCs w:val="24"/>
        </w:rPr>
        <w:t xml:space="preserve">https://adeo-blip.github.io/fuel-price-italy/</w:t>
      </w:r>
    </w:p>
    <w:p>
      <w:pPr>
        <w:pBdr>
          <w:top w:val="single" w:color="E6E2D8" w:sz="6" w:space="8"/>
        </w:pBdr>
        <w:spacing w:before="200"/>
      </w:pPr>
      <w:r>
        <w:rPr>
          <w:rFonts w:ascii="Calibri" w:cs="Calibri" w:eastAsia="Calibri" w:hAnsi="Calibri"/>
          <w:b/>
          <w:bCs/>
          <w:color w:val="14120F"/>
          <w:sz w:val="20"/>
          <w:szCs w:val="20"/>
        </w:rPr>
        <w:t xml:space="preserve">Adeo Patapo</w:t>
      </w:r>
    </w:p>
    <w:p>
      <w:pPr>
        <w:spacing w:after="0"/>
      </w:pPr>
      <w:r>
        <w:rPr>
          <w:rFonts w:ascii="Calibri" w:cs="Calibri" w:eastAsia="Calibri" w:hAnsi="Calibri"/>
          <w:b w:val="false"/>
          <w:bCs w:val="false"/>
          <w:i w:val="false"/>
          <w:iCs w:val="false"/>
          <w:color w:val="5B564C"/>
          <w:sz w:val="18"/>
          <w:szCs w:val="18"/>
        </w:rPr>
        <w:t xml:space="preserve">adeopatapo@gmail.com · +39 366 378 6189</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2026-09-18T17:09:47.055Z</dcterms:created>
  <dcterms:modified xsi:type="dcterms:W3CDTF">2026-09-18T17:09:47.057Z</dcterms:modified>
</cp:coreProperties>
</file>

<file path=docProps/custom.xml><?xml version="1.0" encoding="utf-8"?>
<Properties xmlns="http://schemas.openxmlformats.org/officeDocument/2006/custom-properties" xmlns:vt="http://schemas.openxmlformats.org/officeDocument/2006/docPropsVTypes"/>
</file>