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B9790A"/>
          <w:sz w:val="18"/>
          <w:szCs w:val="18"/>
        </w:rPr>
        <w:t xml:space="preserve">FUEL DASHBOARD · REGIONE SPOTLIGHT</w:t>
      </w:r>
    </w:p>
    <w:p>
      <w:pPr>
        <w:spacing w:after="100" w:before="400"/>
      </w:pPr>
      <w:r>
        <w:rPr>
          <w:rFonts w:ascii="Cambria" w:cs="Cambria" w:eastAsia="Cambria" w:hAnsi="Cambria"/>
          <w:b/>
          <w:bCs/>
          <w:color w:val="14120F"/>
          <w:sz w:val="60"/>
          <w:szCs w:val="60"/>
        </w:rPr>
        <w:t xml:space="preserve">Veneto's Methane Is Up 21.95% Since July, Four Points Faster Than Italy — While Diesel Jumps 3.46 Cents in a Day</w:t>
      </w:r>
    </w:p>
    <w:p>
      <w:pPr>
        <w:spacing w:after="320"/>
      </w:pPr>
      <w:r>
        <w:rPr>
          <w:rFonts w:ascii="Calibri" w:cs="Calibri" w:eastAsia="Calibri" w:hAnsi="Calibri"/>
          <w:b w:val="false"/>
          <w:bCs w:val="false"/>
          <w:i/>
          <w:iCs/>
          <w:color w:val="5B564C"/>
          <w:sz w:val="24"/>
          <w:szCs w:val="24"/>
        </w:rPr>
        <w:t xml:space="preserve">In the last stop of the regional rotation, Veneto's self-service petrol has slipped above the national average after seven weeks below it, diesel has just posted its biggest one-day rise since tracking began in July, and methane keeps running away from the pack.</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BENZINA</w:t>
            </w:r>
          </w:p>
          <w:p>
            <w:pPr>
              <w:spacing w:before="60"/>
            </w:pPr>
            <w:r>
              <w:rPr>
                <w:rFonts w:ascii="Calibri" w:cs="Calibri" w:eastAsia="Calibri" w:hAnsi="Calibri"/>
                <w:b/>
                <w:bCs/>
                <w:color w:val="14120F"/>
                <w:sz w:val="28"/>
                <w:szCs w:val="28"/>
              </w:rPr>
              <w:t xml:space="preserve">€2.166</w:t>
            </w:r>
          </w:p>
          <w:p>
            <w:pPr>
              <w:spacing w:before="40"/>
            </w:pPr>
            <w:r>
              <w:rPr>
                <w:rFonts w:ascii="Calibri" w:cs="Calibri" w:eastAsia="Calibri" w:hAnsi="Calibri"/>
                <w:color w:val="5B564C"/>
                <w:sz w:val="17"/>
                <w:szCs w:val="17"/>
              </w:rPr>
              <w:t xml:space="preserve">petrol</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GASOLIO</w:t>
            </w:r>
          </w:p>
          <w:p>
            <w:pPr>
              <w:spacing w:before="60"/>
            </w:pPr>
            <w:r>
              <w:rPr>
                <w:rFonts w:ascii="Calibri" w:cs="Calibri" w:eastAsia="Calibri" w:hAnsi="Calibri"/>
                <w:b/>
                <w:bCs/>
                <w:color w:val="14120F"/>
                <w:sz w:val="28"/>
                <w:szCs w:val="28"/>
              </w:rPr>
              <w:t xml:space="preserve">€2.352</w:t>
            </w:r>
          </w:p>
          <w:p>
            <w:pPr>
              <w:spacing w:before="40"/>
            </w:pPr>
            <w:r>
              <w:rPr>
                <w:rFonts w:ascii="Calibri" w:cs="Calibri" w:eastAsia="Calibri" w:hAnsi="Calibri"/>
                <w:color w:val="5B564C"/>
                <w:sz w:val="17"/>
                <w:szCs w:val="17"/>
              </w:rPr>
              <w:t xml:space="preserve">diesel</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GPL</w:t>
            </w:r>
          </w:p>
          <w:p>
            <w:pPr>
              <w:spacing w:before="60"/>
            </w:pPr>
            <w:r>
              <w:rPr>
                <w:rFonts w:ascii="Calibri" w:cs="Calibri" w:eastAsia="Calibri" w:hAnsi="Calibri"/>
                <w:b/>
                <w:bCs/>
                <w:color w:val="14120F"/>
                <w:sz w:val="28"/>
                <w:szCs w:val="28"/>
              </w:rPr>
              <w:t xml:space="preserve">€0.756</w:t>
            </w:r>
          </w:p>
          <w:p>
            <w:pPr>
              <w:spacing w:before="40"/>
            </w:pPr>
            <w:r>
              <w:rPr>
                <w:rFonts w:ascii="Calibri" w:cs="Calibri" w:eastAsia="Calibri" w:hAnsi="Calibri"/>
                <w:color w:val="5B564C"/>
                <w:sz w:val="17"/>
                <w:szCs w:val="17"/>
              </w:rPr>
              <w:t xml:space="preserve">LPG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METANO</w:t>
            </w:r>
          </w:p>
          <w:p>
            <w:pPr>
              <w:spacing w:before="60"/>
            </w:pPr>
            <w:r>
              <w:rPr>
                <w:rFonts w:ascii="Calibri" w:cs="Calibri" w:eastAsia="Calibri" w:hAnsi="Calibri"/>
                <w:b/>
                <w:bCs/>
                <w:color w:val="14120F"/>
                <w:sz w:val="28"/>
                <w:szCs w:val="28"/>
              </w:rPr>
              <w:t xml:space="preserve">€1.929</w:t>
            </w:r>
          </w:p>
          <w:p>
            <w:pPr>
              <w:spacing w:before="40"/>
            </w:pPr>
            <w:r>
              <w:rPr>
                <w:rFonts w:ascii="Calibri" w:cs="Calibri" w:eastAsia="Calibri" w:hAnsi="Calibri"/>
                <w:color w:val="5B564C"/>
                <w:sz w:val="17"/>
                <w:szCs w:val="17"/>
              </w:rPr>
              <w:t xml:space="preserve">CNG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5B564C"/>
          <w:sz w:val="18"/>
          <w:szCs w:val="18"/>
        </w:rPr>
        <w:t xml:space="preserve">Registered stations: 1,997 · Reporting today: 1,832 (92%) · Sep 19</w:t>
      </w:r>
    </w:p>
    <w:p>
      <w:r>
        <w:br w:type="page"/>
      </w:r>
    </w:p>
    <w:p>
      <w:pPr>
        <w:spacing w:after="80"/>
      </w:pPr>
      <w:r>
        <w:rPr>
          <w:rFonts w:ascii="Calibri" w:cs="Calibri" w:eastAsia="Calibri" w:hAnsi="Calibri"/>
          <w:b/>
          <w:bCs/>
          <w:color w:val="B9790A"/>
          <w:sz w:val="18"/>
          <w:szCs w:val="18"/>
        </w:rPr>
        <w:t xml:space="preserve">EXECUTIVE SUMMARY</w:t>
      </w:r>
    </w:p>
    <w:p>
      <w:pPr>
        <w:spacing w:after="180" w:before="0"/>
      </w:pPr>
      <w:r>
        <w:rPr>
          <w:rFonts w:ascii="Cambria" w:cs="Cambria" w:eastAsia="Cambria" w:hAnsi="Cambria"/>
          <w:b/>
          <w:bCs/>
          <w:color w:val="14120F"/>
          <w:sz w:val="34"/>
          <w:szCs w:val="34"/>
        </w:rPr>
        <w:t xml:space="preserve">Veneto at a glance</w:t>
      </w:r>
    </w:p>
    <w:p>
      <w:pPr>
        <w:spacing w:after="200"/>
      </w:pPr>
      <w:r>
        <w:rPr>
          <w:rFonts w:ascii="Calibri" w:cs="Calibri" w:eastAsia="Calibri" w:hAnsi="Calibri"/>
          <w:b w:val="false"/>
          <w:bCs w:val="false"/>
          <w:i w:val="false"/>
          <w:iCs w:val="false"/>
          <w:color w:val="14120F"/>
          <w:sz w:val="22"/>
          <w:szCs w:val="22"/>
        </w:rPr>
        <w:t xml:space="preserve">Where things stand today: the latest Veneto figures, dated 19 September 2026, put self-service Benzina at €2.1655/l, Gasolio at €2.3520/l, GPL at €0.7556/l and Metano at €1.9293/kg. Against the national self-service averages of €2.1639, €2.3554, €0.7562 and €1.7811, Veneto is 0.16 cents above on petrol, 0.34 cents below on diesel, 0.06 cents below on LPG and a striking 14.82 cents (+8.32%) above on methane. The day's headline is diesel: it rose 3.46 cents (+1.49%) from €2.3174 to €2.3520, the largest day-on-day rise in the entire tracked history for the region, while petrol edged up 0.31 cents (+0.14%), LPG 0.05 cents (+0.07%) and methane did not move at all.</w:t>
      </w:r>
    </w:p>
    <w:p>
      <w:pPr>
        <w:spacing w:after="200"/>
      </w:pPr>
      <w:r>
        <w:rPr>
          <w:rFonts w:ascii="Calibri" w:cs="Calibri" w:eastAsia="Calibri" w:hAnsi="Calibri"/>
          <w:b w:val="false"/>
          <w:bCs w:val="false"/>
          <w:i w:val="false"/>
          <w:iCs w:val="false"/>
          <w:color w:val="14120F"/>
          <w:sz w:val="22"/>
          <w:szCs w:val="22"/>
        </w:rPr>
        <w:t xml:space="preserve">Zoom out to the weekly averages and the story is about speed and direction. Between the week starting 20 July (W30) and the week starting 14 September (W38, still in progress), Veneto's self-service Benzina rose 8.91% against 8.58% nationally, Gasolio 5.46% against 5.33%, and Metano 21.95% against 17.51% — a 4.4-point gap that makes methane the region's most divergent fuel by far. LPG is the lone faller, down 1.14% against 0.51% for Italy. The cross-fuel twist is petrol: Veneto was cheaper than the national average in every week from W30 to W36, then tipped above it in W37 and W38, so the region has quietly gone from petrol bargain to slight premium in a fortnight.</w:t>
      </w:r>
    </w:p>
    <w:p>
      <w:pPr>
        <w:spacing w:after="200" w:before="200"/>
        <w:jc w:val="center"/>
      </w:pPr>
      <w:r>
        <w:rPr>
          <w:rFonts w:ascii="Cambria" w:cs="Cambria" w:eastAsia="Cambria" w:hAnsi="Cambria"/>
          <w:b/>
          <w:bCs/>
          <w:i/>
          <w:iCs/>
          <w:color w:val="B9790A"/>
          <w:sz w:val="30"/>
          <w:szCs w:val="30"/>
        </w:rPr>
        <w:t xml:space="preserve">Veneto's methane is up 21.95% since late July, 4.4 points faster than Italy's 17.51%.</w:t>
      </w:r>
    </w:p>
    <w:p>
      <w:r>
        <w:br w:type="page"/>
      </w:r>
    </w:p>
    <w:p>
      <w:pPr>
        <w:spacing w:after="80"/>
      </w:pPr>
      <w:r>
        <w:rPr>
          <w:rFonts w:ascii="Calibri" w:cs="Calibri" w:eastAsia="Calibri" w:hAnsi="Calibri"/>
          <w:b/>
          <w:bCs/>
          <w:color w:val="B9790A"/>
          <w:sz w:val="18"/>
          <w:szCs w:val="18"/>
        </w:rPr>
        <w:t xml:space="preserve">FUEL SPOTLIGHT · BENZINA (petrol)</w:t>
      </w:r>
    </w:p>
    <w:p>
      <w:pPr>
        <w:spacing w:after="180" w:before="0"/>
      </w:pPr>
      <w:r>
        <w:rPr>
          <w:rFonts w:ascii="Cambria" w:cs="Cambria" w:eastAsia="Cambria" w:hAnsi="Cambria"/>
          <w:b/>
          <w:bCs/>
          <w:color w:val="2A78D6"/>
          <w:sz w:val="34"/>
          <w:szCs w:val="34"/>
        </w:rPr>
        <w:t xml:space="preserve">Petrol: a nine-week discount to Italy has turned into a small premium</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€2.166</w:t>
            </w:r>
          </w:p>
          <w:p>
            <w:pPr>
              <w:spacing w:before="40"/>
            </w:pPr>
            <w:r>
              <w:rPr>
                <w:rFonts w:ascii="Calibri" w:cs="Calibri" w:eastAsia="Calibri" w:hAnsi="Calibri"/>
                <w:color w:val="5B564C"/>
                <w:sz w:val="17"/>
                <w:szCs w:val="17"/>
              </w:rPr>
              <w:t xml:space="preserve">Sep 19</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+0.003 €/L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+8.9%</w:t>
            </w:r>
          </w:p>
          <w:p>
            <w:pPr>
              <w:spacing w:before="40"/>
            </w:pPr>
            <w:r>
              <w:rPr>
                <w:rFonts w:ascii="Calibri" w:cs="Calibri" w:eastAsia="Calibri" w:hAnsi="Calibri"/>
                <w:color w:val="5B564C"/>
                <w:sz w:val="17"/>
                <w:szCs w:val="17"/>
              </w:rPr>
              <w:t xml:space="preserve">Veneto,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+8.6%</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Veneto's self-service petrol closed the latest day at €2.1655/l, up 0.31 cents (+0.14%) from €2.1624 the day before. That is 0.16 cents above the national self-service average of €2.1639, a gap small enough to be noise on any single day. The served price tells the familiar story of the service premium: €2.2926/l in Veneto, 12.71 cents above the self-service pump, and below the national served average of €2.3015/l.</w:t>
      </w:r>
    </w:p>
    <w:p>
      <w:pPr>
        <w:spacing w:after="200"/>
      </w:pPr>
      <w:r>
        <w:rPr>
          <w:rFonts w:ascii="Calibri" w:cs="Calibri" w:eastAsia="Calibri" w:hAnsi="Calibri"/>
          <w:b w:val="false"/>
          <w:bCs w:val="false"/>
          <w:i w:val="false"/>
          <w:iCs w:val="false"/>
          <w:color w:val="14120F"/>
          <w:sz w:val="22"/>
          <w:szCs w:val="22"/>
        </w:rPr>
        <w:t xml:space="preserve">The weekly series is where the change shows. From W30 to W36, Veneto's weekly petrol average sat below the national one every single week, by between 0.16 cents (W31) and 0.56 cents (W36). In W37 the gap flipped to +0.02 cents and in W38 it widened to +0.32 cents. Over the whole window the region's average rose from €1.9725 to €2.1483, +8.91% (17.58 cents), against +8.58% (16.95 cents) nationally. The latest week-on-week step was +2.77% in Veneto against +2.63% nationally, and over the last three weeks (W35 to W38) the region gained 6.24% against 5.80% for Italy. The move is small, but its sign has changed.</w:t>
      </w:r>
    </w:p>
    <w:p>
      <w:pPr>
        <w:spacing w:after="120"/>
      </w:pPr>
      <w:r>
        <w:rPr>
          <w:rFonts w:ascii="Calibri" w:cs="Calibri" w:eastAsia="Calibri" w:hAnsi="Calibri"/>
          <w:b/>
          <w:bCs/>
          <w:i w:val="false"/>
          <w:iCs w:val="false"/>
          <w:color w:val="5B564C"/>
          <w:sz w:val="18"/>
          <w:szCs w:val="18"/>
        </w:rPr>
        <w:t xml:space="preserve">Weekly self-service average, Veneto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Benzina — Region</w:t>
            </w:r>
          </w:p>
        </w:tc>
        <w:tc>
          <w:tcPr>
            <w:tcW w:type="dxa" w:w="2400"/>
            <w:shd w:fill="F0EDE6" w:val="clear"/>
          </w:tcPr>
          <w:p>
            <w:r>
              <w:rPr>
                <w:rFonts w:ascii="Calibri" w:cs="Calibri" w:eastAsia="Calibri" w:hAnsi="Calibri"/>
                <w:b/>
                <w:bCs/>
                <w:sz w:val="18"/>
                <w:szCs w:val="18"/>
              </w:rPr>
              <w:t xml:space="preserve">Benzina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2A78D6"/>
                <w:sz w:val="18"/>
                <w:szCs w:val="18"/>
              </w:rPr>
              <w:t xml:space="preserve">€1.972</w:t>
            </w:r>
          </w:p>
        </w:tc>
        <w:tc>
          <w:tcPr>
            <w:tcW w:type="dxa" w:w="2400"/>
          </w:tcPr>
          <w:p>
            <w:r>
              <w:rPr>
                <w:rFonts w:ascii="Calibri" w:cs="Calibri" w:eastAsia="Calibri" w:hAnsi="Calibri"/>
                <w:color w:val="14120F"/>
                <w:sz w:val="18"/>
                <w:szCs w:val="18"/>
              </w:rPr>
              <w:t xml:space="preserve">€1.976</w:t>
            </w:r>
          </w:p>
        </w:tc>
        <w:tc>
          <w:tcPr>
            <w:tcW w:type="dxa" w:w="2400"/>
          </w:tcPr>
          <w:p>
            <w:r>
              <w:rPr>
                <w:rFonts w:ascii="Calibri" w:cs="Calibri" w:eastAsia="Calibri" w:hAnsi="Calibri"/>
                <w:color w:val="14120F"/>
                <w:sz w:val="18"/>
                <w:szCs w:val="18"/>
              </w:rPr>
              <w:t xml:space="preserve">↓ -0.003 €/L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2A78D6"/>
                <w:sz w:val="18"/>
                <w:szCs w:val="18"/>
              </w:rPr>
              <w:t xml:space="preserve">€2.001</w:t>
            </w:r>
          </w:p>
        </w:tc>
        <w:tc>
          <w:tcPr>
            <w:tcW w:type="dxa" w:w="2400"/>
          </w:tcPr>
          <w:p>
            <w:r>
              <w:rPr>
                <w:rFonts w:ascii="Calibri" w:cs="Calibri" w:eastAsia="Calibri" w:hAnsi="Calibri"/>
                <w:color w:val="14120F"/>
                <w:sz w:val="18"/>
                <w:szCs w:val="18"/>
              </w:rPr>
              <w:t xml:space="preserve">€2.003</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2A78D6"/>
                <w:sz w:val="18"/>
                <w:szCs w:val="18"/>
              </w:rPr>
              <w:t xml:space="preserve">€2.003</w:t>
            </w:r>
          </w:p>
        </w:tc>
        <w:tc>
          <w:tcPr>
            <w:tcW w:type="dxa" w:w="2400"/>
          </w:tcPr>
          <w:p>
            <w:r>
              <w:rPr>
                <w:rFonts w:ascii="Calibri" w:cs="Calibri" w:eastAsia="Calibri" w:hAnsi="Calibri"/>
                <w:color w:val="14120F"/>
                <w:sz w:val="18"/>
                <w:szCs w:val="18"/>
              </w:rPr>
              <w:t xml:space="preserve">€2.006</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2A78D6"/>
                <w:sz w:val="18"/>
                <w:szCs w:val="18"/>
              </w:rPr>
              <w:t xml:space="preserve">€1.997</w:t>
            </w:r>
          </w:p>
        </w:tc>
        <w:tc>
          <w:tcPr>
            <w:tcW w:type="dxa" w:w="2400"/>
          </w:tcPr>
          <w:p>
            <w:r>
              <w:rPr>
                <w:rFonts w:ascii="Calibri" w:cs="Calibri" w:eastAsia="Calibri" w:hAnsi="Calibri"/>
                <w:color w:val="14120F"/>
                <w:sz w:val="18"/>
                <w:szCs w:val="18"/>
              </w:rPr>
              <w:t xml:space="preserve">€2.001</w:t>
            </w:r>
          </w:p>
        </w:tc>
        <w:tc>
          <w:tcPr>
            <w:tcW w:type="dxa" w:w="2400"/>
          </w:tcPr>
          <w:p>
            <w:r>
              <w:rPr>
                <w:rFonts w:ascii="Calibri" w:cs="Calibri" w:eastAsia="Calibri" w:hAnsi="Calibri"/>
                <w:color w:val="14120F"/>
                <w:sz w:val="18"/>
                <w:szCs w:val="18"/>
              </w:rPr>
              <w:t xml:space="preserve">↓ -0.003 €/L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2A78D6"/>
                <w:sz w:val="18"/>
                <w:szCs w:val="18"/>
              </w:rPr>
              <w:t xml:space="preserve">€2.009</w:t>
            </w:r>
          </w:p>
        </w:tc>
        <w:tc>
          <w:tcPr>
            <w:tcW w:type="dxa" w:w="2400"/>
          </w:tcPr>
          <w:p>
            <w:r>
              <w:rPr>
                <w:rFonts w:ascii="Calibri" w:cs="Calibri" w:eastAsia="Calibri" w:hAnsi="Calibri"/>
                <w:color w:val="14120F"/>
                <w:sz w:val="18"/>
                <w:szCs w:val="18"/>
              </w:rPr>
              <w:t xml:space="preserve">€2.013</w:t>
            </w:r>
          </w:p>
        </w:tc>
        <w:tc>
          <w:tcPr>
            <w:tcW w:type="dxa" w:w="2400"/>
          </w:tcPr>
          <w:p>
            <w:r>
              <w:rPr>
                <w:rFonts w:ascii="Calibri" w:cs="Calibri" w:eastAsia="Calibri" w:hAnsi="Calibri"/>
                <w:color w:val="14120F"/>
                <w:sz w:val="18"/>
                <w:szCs w:val="18"/>
              </w:rPr>
              <w:t xml:space="preserve">↓ -0.004 €/L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2A78D6"/>
                <w:sz w:val="18"/>
                <w:szCs w:val="18"/>
              </w:rPr>
              <w:t xml:space="preserve">€2.022</w:t>
            </w:r>
          </w:p>
        </w:tc>
        <w:tc>
          <w:tcPr>
            <w:tcW w:type="dxa" w:w="2400"/>
          </w:tcPr>
          <w:p>
            <w:r>
              <w:rPr>
                <w:rFonts w:ascii="Calibri" w:cs="Calibri" w:eastAsia="Calibri" w:hAnsi="Calibri"/>
                <w:color w:val="14120F"/>
                <w:sz w:val="18"/>
                <w:szCs w:val="18"/>
              </w:rPr>
              <w:t xml:space="preserve">€2.027</w:t>
            </w:r>
          </w:p>
        </w:tc>
        <w:tc>
          <w:tcPr>
            <w:tcW w:type="dxa" w:w="2400"/>
          </w:tcPr>
          <w:p>
            <w:r>
              <w:rPr>
                <w:rFonts w:ascii="Calibri" w:cs="Calibri" w:eastAsia="Calibri" w:hAnsi="Calibri"/>
                <w:color w:val="14120F"/>
                <w:sz w:val="18"/>
                <w:szCs w:val="18"/>
              </w:rPr>
              <w:t xml:space="preserve">↓ -0.005 €/L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2A78D6"/>
                <w:sz w:val="18"/>
                <w:szCs w:val="18"/>
              </w:rPr>
              <w:t xml:space="preserve">€2.033</w:t>
            </w:r>
          </w:p>
        </w:tc>
        <w:tc>
          <w:tcPr>
            <w:tcW w:type="dxa" w:w="2400"/>
          </w:tcPr>
          <w:p>
            <w:r>
              <w:rPr>
                <w:rFonts w:ascii="Calibri" w:cs="Calibri" w:eastAsia="Calibri" w:hAnsi="Calibri"/>
                <w:color w:val="14120F"/>
                <w:sz w:val="18"/>
                <w:szCs w:val="18"/>
              </w:rPr>
              <w:t xml:space="preserve">€2.039</w:t>
            </w:r>
          </w:p>
        </w:tc>
        <w:tc>
          <w:tcPr>
            <w:tcW w:type="dxa" w:w="2400"/>
          </w:tcPr>
          <w:p>
            <w:r>
              <w:rPr>
                <w:rFonts w:ascii="Calibri" w:cs="Calibri" w:eastAsia="Calibri" w:hAnsi="Calibri"/>
                <w:color w:val="14120F"/>
                <w:sz w:val="18"/>
                <w:szCs w:val="18"/>
              </w:rPr>
              <w:t xml:space="preserve">↓ -0.006 €/L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2A78D6"/>
                <w:sz w:val="18"/>
                <w:szCs w:val="18"/>
              </w:rPr>
              <w:t xml:space="preserve">€2.090</w:t>
            </w:r>
          </w:p>
        </w:tc>
        <w:tc>
          <w:tcPr>
            <w:tcW w:type="dxa" w:w="2400"/>
          </w:tcPr>
          <w:p>
            <w:r>
              <w:rPr>
                <w:rFonts w:ascii="Calibri" w:cs="Calibri" w:eastAsia="Calibri" w:hAnsi="Calibri"/>
                <w:color w:val="14120F"/>
                <w:sz w:val="18"/>
                <w:szCs w:val="18"/>
              </w:rPr>
              <w:t xml:space="preserve">€2.090</w:t>
            </w:r>
          </w:p>
        </w:tc>
        <w:tc>
          <w:tcPr>
            <w:tcW w:type="dxa" w:w="2400"/>
          </w:tcPr>
          <w:p>
            <w:r>
              <w:rPr>
                <w:rFonts w:ascii="Calibri" w:cs="Calibri" w:eastAsia="Calibri" w:hAnsi="Calibri"/>
                <w:color w:val="14120F"/>
                <w:sz w:val="18"/>
                <w:szCs w:val="18"/>
              </w:rPr>
              <w:t xml:space="preserve">→ 0.000 €/L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2A78D6"/>
                <w:sz w:val="18"/>
                <w:szCs w:val="18"/>
              </w:rPr>
              <w:t xml:space="preserve">€2.148</w:t>
            </w:r>
          </w:p>
        </w:tc>
        <w:tc>
          <w:tcPr>
            <w:tcW w:type="dxa" w:w="2400"/>
          </w:tcPr>
          <w:p>
            <w:r>
              <w:rPr>
                <w:rFonts w:ascii="Calibri" w:cs="Calibri" w:eastAsia="Calibri" w:hAnsi="Calibri"/>
                <w:color w:val="14120F"/>
                <w:sz w:val="18"/>
                <w:szCs w:val="18"/>
              </w:rPr>
              <w:t xml:space="preserve">€2.145</w:t>
            </w:r>
          </w:p>
        </w:tc>
        <w:tc>
          <w:tcPr>
            <w:tcW w:type="dxa" w:w="2400"/>
          </w:tcPr>
          <w:p>
            <w:r>
              <w:rPr>
                <w:rFonts w:ascii="Calibri" w:cs="Calibri" w:eastAsia="Calibri" w:hAnsi="Calibri"/>
                <w:color w:val="14120F"/>
                <w:sz w:val="18"/>
                <w:szCs w:val="18"/>
              </w:rPr>
              <w:t xml:space="preserve">↑ +0.003 €/L</w:t>
            </w:r>
          </w:p>
        </w:tc>
      </w:tr>
    </w:tbl>
    <w:p>
      <w:r>
        <w:br w:type="page"/>
      </w:r>
    </w:p>
    <w:p>
      <w:pPr>
        <w:spacing w:after="80"/>
      </w:pPr>
      <w:r>
        <w:rPr>
          <w:rFonts w:ascii="Calibri" w:cs="Calibri" w:eastAsia="Calibri" w:hAnsi="Calibri"/>
          <w:b/>
          <w:bCs/>
          <w:color w:val="B9790A"/>
          <w:sz w:val="18"/>
          <w:szCs w:val="18"/>
        </w:rPr>
        <w:t xml:space="preserve">FUEL SPOTLIGHT · GASOLIO (diesel)</w:t>
      </w:r>
    </w:p>
    <w:p>
      <w:pPr>
        <w:spacing w:after="180" w:before="0"/>
      </w:pPr>
      <w:r>
        <w:rPr>
          <w:rFonts w:ascii="Cambria" w:cs="Cambria" w:eastAsia="Cambria" w:hAnsi="Cambria"/>
          <w:b/>
          <w:bCs/>
          <w:color w:val="1BAF7A"/>
          <w:sz w:val="34"/>
          <w:szCs w:val="34"/>
        </w:rPr>
        <w:t xml:space="preserve">Diesel: the biggest one-day jump on record, from a shrinking discount</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€2.352</w:t>
            </w:r>
          </w:p>
          <w:p>
            <w:pPr>
              <w:spacing w:before="40"/>
            </w:pPr>
            <w:r>
              <w:rPr>
                <w:rFonts w:ascii="Calibri" w:cs="Calibri" w:eastAsia="Calibri" w:hAnsi="Calibri"/>
                <w:color w:val="5B564C"/>
                <w:sz w:val="17"/>
                <w:szCs w:val="17"/>
              </w:rPr>
              <w:t xml:space="preserve">Sep 19</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+0.035 €/L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+5.5%</w:t>
            </w:r>
          </w:p>
          <w:p>
            <w:pPr>
              <w:spacing w:before="40"/>
            </w:pPr>
            <w:r>
              <w:rPr>
                <w:rFonts w:ascii="Calibri" w:cs="Calibri" w:eastAsia="Calibri" w:hAnsi="Calibri"/>
                <w:color w:val="5B564C"/>
                <w:sz w:val="17"/>
                <w:szCs w:val="17"/>
              </w:rPr>
              <w:t xml:space="preserve">Veneto,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+5.3%</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Self-service diesel in Veneto jumped from €2.3174/l to €2.3520/l in a single reading: +3.46 cents, +1.49%, the largest day-on-day rise in the region's tracked history since 21 July. It still sits 0.34 cents below the national self-service average of €2.3554/l, so Veneto remains marginally cheaper than Italy even after the spike. The served price is €2.4916/l, 13.96 cents above self-service, against a national served average of €2.5033/l.</w:t>
      </w:r>
    </w:p>
    <w:p>
      <w:pPr>
        <w:spacing w:after="200"/>
      </w:pPr>
      <w:r>
        <w:rPr>
          <w:rFonts w:ascii="Calibri" w:cs="Calibri" w:eastAsia="Calibri" w:hAnsi="Calibri"/>
          <w:b w:val="false"/>
          <w:bCs w:val="false"/>
          <w:i w:val="false"/>
          <w:iCs w:val="false"/>
          <w:color w:val="14120F"/>
          <w:sz w:val="22"/>
          <w:szCs w:val="22"/>
        </w:rPr>
        <w:t xml:space="preserve">The weekly picture shows that today's jump is part of a sustained climb rather than a one-off. Veneto's weekly diesel average bottomed at €2.1043 in W33 and reached €2.2890 in W38, a rise of 8.78% (18.47 cents) against 8.39% nationally. Since W30 the region is up 5.46% against 5.33% for Italy. Veneto was cheaper than the national average in all nine weeks, but the discount has narrowed sharply: at its widest, 1.05 cents in W31, it is now 0.16 cents in W38. In the last week alone, diesel rose 3.54% in the region against 3.38% for Italy. Diesel is also closing the gap on petrol in the weekly data: the diesel-over-petrol premium fell from 19.80 cents in W30 to 14.07 cents in W38, although today's jump pushed the daily spread back up to 18.65 cents.</w:t>
      </w:r>
    </w:p>
    <w:p>
      <w:pPr>
        <w:spacing w:after="120"/>
      </w:pPr>
      <w:r>
        <w:rPr>
          <w:rFonts w:ascii="Calibri" w:cs="Calibri" w:eastAsia="Calibri" w:hAnsi="Calibri"/>
          <w:b/>
          <w:bCs/>
          <w:i w:val="false"/>
          <w:iCs w:val="false"/>
          <w:color w:val="5B564C"/>
          <w:sz w:val="18"/>
          <w:szCs w:val="18"/>
        </w:rPr>
        <w:t xml:space="preserve">Weekly self-service average, Veneto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Gasolio — Region</w:t>
            </w:r>
          </w:p>
        </w:tc>
        <w:tc>
          <w:tcPr>
            <w:tcW w:type="dxa" w:w="2400"/>
            <w:shd w:fill="F0EDE6" w:val="clear"/>
          </w:tcPr>
          <w:p>
            <w:r>
              <w:rPr>
                <w:rFonts w:ascii="Calibri" w:cs="Calibri" w:eastAsia="Calibri" w:hAnsi="Calibri"/>
                <w:b/>
                <w:bCs/>
                <w:sz w:val="18"/>
                <w:szCs w:val="18"/>
              </w:rPr>
              <w:t xml:space="preserve">Gasolio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1BAF7A"/>
                <w:sz w:val="18"/>
                <w:szCs w:val="18"/>
              </w:rPr>
              <w:t xml:space="preserve">€2.171</w:t>
            </w:r>
          </w:p>
        </w:tc>
        <w:tc>
          <w:tcPr>
            <w:tcW w:type="dxa" w:w="2400"/>
          </w:tcPr>
          <w:p>
            <w:r>
              <w:rPr>
                <w:rFonts w:ascii="Calibri" w:cs="Calibri" w:eastAsia="Calibri" w:hAnsi="Calibri"/>
                <w:color w:val="14120F"/>
                <w:sz w:val="18"/>
                <w:szCs w:val="18"/>
              </w:rPr>
              <w:t xml:space="preserve">€2.175</w:t>
            </w:r>
          </w:p>
        </w:tc>
        <w:tc>
          <w:tcPr>
            <w:tcW w:type="dxa" w:w="2400"/>
          </w:tcPr>
          <w:p>
            <w:r>
              <w:rPr>
                <w:rFonts w:ascii="Calibri" w:cs="Calibri" w:eastAsia="Calibri" w:hAnsi="Calibri"/>
                <w:color w:val="14120F"/>
                <w:sz w:val="18"/>
                <w:szCs w:val="18"/>
              </w:rPr>
              <w:t xml:space="preserve">↓ -0.004 €/L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1BAF7A"/>
                <w:sz w:val="18"/>
                <w:szCs w:val="18"/>
              </w:rPr>
              <w:t xml:space="preserve">€2.126</w:t>
            </w:r>
          </w:p>
        </w:tc>
        <w:tc>
          <w:tcPr>
            <w:tcW w:type="dxa" w:w="2400"/>
          </w:tcPr>
          <w:p>
            <w:r>
              <w:rPr>
                <w:rFonts w:ascii="Calibri" w:cs="Calibri" w:eastAsia="Calibri" w:hAnsi="Calibri"/>
                <w:color w:val="14120F"/>
                <w:sz w:val="18"/>
                <w:szCs w:val="18"/>
              </w:rPr>
              <w:t xml:space="preserve">€2.136</w:t>
            </w:r>
          </w:p>
        </w:tc>
        <w:tc>
          <w:tcPr>
            <w:tcW w:type="dxa" w:w="2400"/>
          </w:tcPr>
          <w:p>
            <w:r>
              <w:rPr>
                <w:rFonts w:ascii="Calibri" w:cs="Calibri" w:eastAsia="Calibri" w:hAnsi="Calibri"/>
                <w:color w:val="14120F"/>
                <w:sz w:val="18"/>
                <w:szCs w:val="18"/>
              </w:rPr>
              <w:t xml:space="preserve">↓ -0.010 €/L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1BAF7A"/>
                <w:sz w:val="18"/>
                <w:szCs w:val="18"/>
              </w:rPr>
              <w:t xml:space="preserve">€2.108</w:t>
            </w:r>
          </w:p>
        </w:tc>
        <w:tc>
          <w:tcPr>
            <w:tcW w:type="dxa" w:w="2400"/>
          </w:tcPr>
          <w:p>
            <w:r>
              <w:rPr>
                <w:rFonts w:ascii="Calibri" w:cs="Calibri" w:eastAsia="Calibri" w:hAnsi="Calibri"/>
                <w:color w:val="14120F"/>
                <w:sz w:val="18"/>
                <w:szCs w:val="18"/>
              </w:rPr>
              <w:t xml:space="preserve">€2.118</w:t>
            </w:r>
          </w:p>
        </w:tc>
        <w:tc>
          <w:tcPr>
            <w:tcW w:type="dxa" w:w="2400"/>
          </w:tcPr>
          <w:p>
            <w:r>
              <w:rPr>
                <w:rFonts w:ascii="Calibri" w:cs="Calibri" w:eastAsia="Calibri" w:hAnsi="Calibri"/>
                <w:color w:val="14120F"/>
                <w:sz w:val="18"/>
                <w:szCs w:val="18"/>
              </w:rPr>
              <w:t xml:space="preserve">↓ -0.010 €/L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1BAF7A"/>
                <w:sz w:val="18"/>
                <w:szCs w:val="18"/>
              </w:rPr>
              <w:t xml:space="preserve">€2.104</w:t>
            </w:r>
          </w:p>
        </w:tc>
        <w:tc>
          <w:tcPr>
            <w:tcW w:type="dxa" w:w="2400"/>
          </w:tcPr>
          <w:p>
            <w:r>
              <w:rPr>
                <w:rFonts w:ascii="Calibri" w:cs="Calibri" w:eastAsia="Calibri" w:hAnsi="Calibri"/>
                <w:color w:val="14120F"/>
                <w:sz w:val="18"/>
                <w:szCs w:val="18"/>
              </w:rPr>
              <w:t xml:space="preserve">€2.113</w:t>
            </w:r>
          </w:p>
        </w:tc>
        <w:tc>
          <w:tcPr>
            <w:tcW w:type="dxa" w:w="2400"/>
          </w:tcPr>
          <w:p>
            <w:r>
              <w:rPr>
                <w:rFonts w:ascii="Calibri" w:cs="Calibri" w:eastAsia="Calibri" w:hAnsi="Calibri"/>
                <w:color w:val="14120F"/>
                <w:sz w:val="18"/>
                <w:szCs w:val="18"/>
              </w:rPr>
              <w:t xml:space="preserve">↓ -0.009 €/L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1BAF7A"/>
                <w:sz w:val="18"/>
                <w:szCs w:val="18"/>
              </w:rPr>
              <w:t xml:space="preserve">€2.132</w:t>
            </w:r>
          </w:p>
        </w:tc>
        <w:tc>
          <w:tcPr>
            <w:tcW w:type="dxa" w:w="2400"/>
          </w:tcPr>
          <w:p>
            <w:r>
              <w:rPr>
                <w:rFonts w:ascii="Calibri" w:cs="Calibri" w:eastAsia="Calibri" w:hAnsi="Calibri"/>
                <w:color w:val="14120F"/>
                <w:sz w:val="18"/>
                <w:szCs w:val="18"/>
              </w:rPr>
              <w:t xml:space="preserve">€2.141</w:t>
            </w:r>
          </w:p>
        </w:tc>
        <w:tc>
          <w:tcPr>
            <w:tcW w:type="dxa" w:w="2400"/>
          </w:tcPr>
          <w:p>
            <w:r>
              <w:rPr>
                <w:rFonts w:ascii="Calibri" w:cs="Calibri" w:eastAsia="Calibri" w:hAnsi="Calibri"/>
                <w:color w:val="14120F"/>
                <w:sz w:val="18"/>
                <w:szCs w:val="18"/>
              </w:rPr>
              <w:t xml:space="preserve">↓ -0.009 €/L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1BAF7A"/>
                <w:sz w:val="18"/>
                <w:szCs w:val="18"/>
              </w:rPr>
              <w:t xml:space="preserve">€2.151</w:t>
            </w:r>
          </w:p>
        </w:tc>
        <w:tc>
          <w:tcPr>
            <w:tcW w:type="dxa" w:w="2400"/>
          </w:tcPr>
          <w:p>
            <w:r>
              <w:rPr>
                <w:rFonts w:ascii="Calibri" w:cs="Calibri" w:eastAsia="Calibri" w:hAnsi="Calibri"/>
                <w:color w:val="14120F"/>
                <w:sz w:val="18"/>
                <w:szCs w:val="18"/>
              </w:rPr>
              <w:t xml:space="preserve">€2.162</w:t>
            </w:r>
          </w:p>
        </w:tc>
        <w:tc>
          <w:tcPr>
            <w:tcW w:type="dxa" w:w="2400"/>
          </w:tcPr>
          <w:p>
            <w:r>
              <w:rPr>
                <w:rFonts w:ascii="Calibri" w:cs="Calibri" w:eastAsia="Calibri" w:hAnsi="Calibri"/>
                <w:color w:val="14120F"/>
                <w:sz w:val="18"/>
                <w:szCs w:val="18"/>
              </w:rPr>
              <w:t xml:space="preserve">↓ -0.010 €/L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1BAF7A"/>
                <w:sz w:val="18"/>
                <w:szCs w:val="18"/>
              </w:rPr>
              <w:t xml:space="preserve">€2.155</w:t>
            </w:r>
          </w:p>
        </w:tc>
        <w:tc>
          <w:tcPr>
            <w:tcW w:type="dxa" w:w="2400"/>
          </w:tcPr>
          <w:p>
            <w:r>
              <w:rPr>
                <w:rFonts w:ascii="Calibri" w:cs="Calibri" w:eastAsia="Calibri" w:hAnsi="Calibri"/>
                <w:color w:val="14120F"/>
                <w:sz w:val="18"/>
                <w:szCs w:val="18"/>
              </w:rPr>
              <w:t xml:space="preserve">€2.166</w:t>
            </w:r>
          </w:p>
        </w:tc>
        <w:tc>
          <w:tcPr>
            <w:tcW w:type="dxa" w:w="2400"/>
          </w:tcPr>
          <w:p>
            <w:r>
              <w:rPr>
                <w:rFonts w:ascii="Calibri" w:cs="Calibri" w:eastAsia="Calibri" w:hAnsi="Calibri"/>
                <w:color w:val="14120F"/>
                <w:sz w:val="18"/>
                <w:szCs w:val="18"/>
              </w:rPr>
              <w:t xml:space="preserve">↓ -0.010 €/L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1BAF7A"/>
                <w:sz w:val="18"/>
                <w:szCs w:val="18"/>
              </w:rPr>
              <w:t xml:space="preserve">€2.211</w:t>
            </w:r>
          </w:p>
        </w:tc>
        <w:tc>
          <w:tcPr>
            <w:tcW w:type="dxa" w:w="2400"/>
          </w:tcPr>
          <w:p>
            <w:r>
              <w:rPr>
                <w:rFonts w:ascii="Calibri" w:cs="Calibri" w:eastAsia="Calibri" w:hAnsi="Calibri"/>
                <w:color w:val="14120F"/>
                <w:sz w:val="18"/>
                <w:szCs w:val="18"/>
              </w:rPr>
              <w:t xml:space="preserve">€2.216</w:t>
            </w:r>
          </w:p>
        </w:tc>
        <w:tc>
          <w:tcPr>
            <w:tcW w:type="dxa" w:w="2400"/>
          </w:tcPr>
          <w:p>
            <w:r>
              <w:rPr>
                <w:rFonts w:ascii="Calibri" w:cs="Calibri" w:eastAsia="Calibri" w:hAnsi="Calibri"/>
                <w:color w:val="14120F"/>
                <w:sz w:val="18"/>
                <w:szCs w:val="18"/>
              </w:rPr>
              <w:t xml:space="preserve">↓ -0.005 €/L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1BAF7A"/>
                <w:sz w:val="18"/>
                <w:szCs w:val="18"/>
              </w:rPr>
              <w:t xml:space="preserve">€2.289</w:t>
            </w:r>
          </w:p>
        </w:tc>
        <w:tc>
          <w:tcPr>
            <w:tcW w:type="dxa" w:w="2400"/>
          </w:tcPr>
          <w:p>
            <w:r>
              <w:rPr>
                <w:rFonts w:ascii="Calibri" w:cs="Calibri" w:eastAsia="Calibri" w:hAnsi="Calibri"/>
                <w:color w:val="14120F"/>
                <w:sz w:val="18"/>
                <w:szCs w:val="18"/>
              </w:rPr>
              <w:t xml:space="preserve">€2.291</w:t>
            </w:r>
          </w:p>
        </w:tc>
        <w:tc>
          <w:tcPr>
            <w:tcW w:type="dxa" w:w="2400"/>
          </w:tcPr>
          <w:p>
            <w:r>
              <w:rPr>
                <w:rFonts w:ascii="Calibri" w:cs="Calibri" w:eastAsia="Calibri" w:hAnsi="Calibri"/>
                <w:color w:val="14120F"/>
                <w:sz w:val="18"/>
                <w:szCs w:val="18"/>
              </w:rPr>
              <w:t xml:space="preserve">↓ -0.002 €/L</w:t>
            </w:r>
          </w:p>
        </w:tc>
      </w:tr>
    </w:tbl>
    <w:p>
      <w:r>
        <w:br w:type="page"/>
      </w:r>
    </w:p>
    <w:p>
      <w:pPr>
        <w:spacing w:after="80"/>
      </w:pPr>
      <w:r>
        <w:rPr>
          <w:rFonts w:ascii="Calibri" w:cs="Calibri" w:eastAsia="Calibri" w:hAnsi="Calibri"/>
          <w:b/>
          <w:bCs/>
          <w:color w:val="B9790A"/>
          <w:sz w:val="18"/>
          <w:szCs w:val="18"/>
        </w:rPr>
        <w:t xml:space="preserve">FUEL SPOTLIGHT · GPL (LPG)</w:t>
      </w:r>
    </w:p>
    <w:p>
      <w:pPr>
        <w:spacing w:after="180" w:before="0"/>
      </w:pPr>
      <w:r>
        <w:rPr>
          <w:rFonts w:ascii="Cambria" w:cs="Cambria" w:eastAsia="Cambria" w:hAnsi="Cambria"/>
          <w:b/>
          <w:bCs/>
          <w:color w:val="C98500"/>
          <w:sz w:val="34"/>
          <w:szCs w:val="34"/>
        </w:rPr>
        <w:t xml:space="preserve">LPG: the only fuel getting cheaper, and quietly diverging from Italy</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€0.756</w:t>
            </w:r>
          </w:p>
          <w:p>
            <w:pPr>
              <w:spacing w:before="40"/>
            </w:pPr>
            <w:r>
              <w:rPr>
                <w:rFonts w:ascii="Calibri" w:cs="Calibri" w:eastAsia="Calibri" w:hAnsi="Calibri"/>
                <w:color w:val="5B564C"/>
                <w:sz w:val="17"/>
                <w:szCs w:val="17"/>
              </w:rPr>
              <w:t xml:space="preserve">Sep 19</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+0.001 €/L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-1.1%</w:t>
            </w:r>
          </w:p>
          <w:p>
            <w:pPr>
              <w:spacing w:before="40"/>
            </w:pPr>
            <w:r>
              <w:rPr>
                <w:rFonts w:ascii="Calibri" w:cs="Calibri" w:eastAsia="Calibri" w:hAnsi="Calibri"/>
                <w:color w:val="5B564C"/>
                <w:sz w:val="17"/>
                <w:szCs w:val="17"/>
              </w:rPr>
              <w:t xml:space="preserve">Veneto,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-0.5%</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LPG barely moved: Veneto's self-service price is €0.7556/l, up 0.05 cents (+0.07%) from €0.7551. That is 0.06 cents below the national self-service average of €0.7562/l. The served price is €0.7557/l, essentially identical to self-service (a 0.01-cent difference) and 0.09 cents under the national served average of €0.7566/l. For a fuel that costs about a third of petrol per litre, this is a market that changes in fractions of a cent.</w:t>
      </w:r>
    </w:p>
    <w:p>
      <w:pPr>
        <w:spacing w:after="200"/>
      </w:pPr>
      <w:r>
        <w:rPr>
          <w:rFonts w:ascii="Calibri" w:cs="Calibri" w:eastAsia="Calibri" w:hAnsi="Calibri"/>
          <w:b w:val="false"/>
          <w:bCs w:val="false"/>
          <w:i w:val="false"/>
          <w:iCs w:val="false"/>
          <w:color w:val="14120F"/>
          <w:sz w:val="22"/>
          <w:szCs w:val="22"/>
        </w:rPr>
        <w:t xml:space="preserve">The weekly data shows LPG is the outlier of the four fuels. Veneto's weekly average fell from €0.7631 in W30 to €0.7544 in W38, a decline of 1.14% (0.87 cents), more than double the 0.51% fall nationally. The region started the window 0.39 cents above the national LPG price; it is now 0.09 cents below it, and it has been below the national average in every week since W33 (W32 was level). The low point was €0.7515 in W36. Since then Veneto LPG has ticked up 0.32% over W35 to W38, against 0.09% for Italy, so the slide may be stalling, but the whole weekly range is only 1.16 cents wide, which is the point: LPG is the calm corner of a very volatile month.</w:t>
      </w:r>
    </w:p>
    <w:p>
      <w:pPr>
        <w:spacing w:after="120"/>
      </w:pPr>
      <w:r>
        <w:rPr>
          <w:rFonts w:ascii="Calibri" w:cs="Calibri" w:eastAsia="Calibri" w:hAnsi="Calibri"/>
          <w:b/>
          <w:bCs/>
          <w:i w:val="false"/>
          <w:iCs w:val="false"/>
          <w:color w:val="5B564C"/>
          <w:sz w:val="18"/>
          <w:szCs w:val="18"/>
        </w:rPr>
        <w:t xml:space="preserve">Weekly self-service average, Veneto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GPL — Region</w:t>
            </w:r>
          </w:p>
        </w:tc>
        <w:tc>
          <w:tcPr>
            <w:tcW w:type="dxa" w:w="2400"/>
            <w:shd w:fill="F0EDE6" w:val="clear"/>
          </w:tcPr>
          <w:p>
            <w:r>
              <w:rPr>
                <w:rFonts w:ascii="Calibri" w:cs="Calibri" w:eastAsia="Calibri" w:hAnsi="Calibri"/>
                <w:b/>
                <w:bCs/>
                <w:sz w:val="18"/>
                <w:szCs w:val="18"/>
              </w:rPr>
              <w:t xml:space="preserve">GPL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C98500"/>
                <w:sz w:val="18"/>
                <w:szCs w:val="18"/>
              </w:rPr>
              <w:t xml:space="preserve">€0.763</w:t>
            </w:r>
          </w:p>
        </w:tc>
        <w:tc>
          <w:tcPr>
            <w:tcW w:type="dxa" w:w="2400"/>
          </w:tcPr>
          <w:p>
            <w:r>
              <w:rPr>
                <w:rFonts w:ascii="Calibri" w:cs="Calibri" w:eastAsia="Calibri" w:hAnsi="Calibri"/>
                <w:color w:val="14120F"/>
                <w:sz w:val="18"/>
                <w:szCs w:val="18"/>
              </w:rPr>
              <w:t xml:space="preserve">€0.759</w:t>
            </w:r>
          </w:p>
        </w:tc>
        <w:tc>
          <w:tcPr>
            <w:tcW w:type="dxa" w:w="2400"/>
          </w:tcPr>
          <w:p>
            <w:r>
              <w:rPr>
                <w:rFonts w:ascii="Calibri" w:cs="Calibri" w:eastAsia="Calibri" w:hAnsi="Calibri"/>
                <w:color w:val="14120F"/>
                <w:sz w:val="18"/>
                <w:szCs w:val="18"/>
              </w:rPr>
              <w:t xml:space="preserve">↑ +0.004 €/L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C98500"/>
                <w:sz w:val="18"/>
                <w:szCs w:val="18"/>
              </w:rPr>
              <w:t xml:space="preserve">€0.756</w:t>
            </w:r>
          </w:p>
        </w:tc>
        <w:tc>
          <w:tcPr>
            <w:tcW w:type="dxa" w:w="2400"/>
          </w:tcPr>
          <w:p>
            <w:r>
              <w:rPr>
                <w:rFonts w:ascii="Calibri" w:cs="Calibri" w:eastAsia="Calibri" w:hAnsi="Calibri"/>
                <w:color w:val="14120F"/>
                <w:sz w:val="18"/>
                <w:szCs w:val="18"/>
              </w:rPr>
              <w:t xml:space="preserve">€0.757</w:t>
            </w:r>
          </w:p>
        </w:tc>
        <w:tc>
          <w:tcPr>
            <w:tcW w:type="dxa" w:w="2400"/>
          </w:tcPr>
          <w:p>
            <w:r>
              <w:rPr>
                <w:rFonts w:ascii="Calibri" w:cs="Calibri" w:eastAsia="Calibri" w:hAnsi="Calibri"/>
                <w:color w:val="14120F"/>
                <w:sz w:val="18"/>
                <w:szCs w:val="18"/>
              </w:rPr>
              <w:t xml:space="preserve">↓ -0.001 €/L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C98500"/>
                <w:sz w:val="18"/>
                <w:szCs w:val="18"/>
              </w:rPr>
              <w:t xml:space="preserve">€0.756</w:t>
            </w:r>
          </w:p>
        </w:tc>
        <w:tc>
          <w:tcPr>
            <w:tcW w:type="dxa" w:w="2400"/>
          </w:tcPr>
          <w:p>
            <w:r>
              <w:rPr>
                <w:rFonts w:ascii="Calibri" w:cs="Calibri" w:eastAsia="Calibri" w:hAnsi="Calibri"/>
                <w:color w:val="14120F"/>
                <w:sz w:val="18"/>
                <w:szCs w:val="18"/>
              </w:rPr>
              <w:t xml:space="preserve">€0.756</w:t>
            </w:r>
          </w:p>
        </w:tc>
        <w:tc>
          <w:tcPr>
            <w:tcW w:type="dxa" w:w="2400"/>
          </w:tcPr>
          <w:p>
            <w:r>
              <w:rPr>
                <w:rFonts w:ascii="Calibri" w:cs="Calibri" w:eastAsia="Calibri" w:hAnsi="Calibri"/>
                <w:color w:val="14120F"/>
                <w:sz w:val="18"/>
                <w:szCs w:val="18"/>
              </w:rPr>
              <w:t xml:space="preserve">→ 0.000 €/L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C98500"/>
                <w:sz w:val="18"/>
                <w:szCs w:val="18"/>
              </w:rPr>
              <w:t xml:space="preserve">€0.755</w:t>
            </w:r>
          </w:p>
        </w:tc>
        <w:tc>
          <w:tcPr>
            <w:tcW w:type="dxa" w:w="2400"/>
          </w:tcPr>
          <w:p>
            <w:r>
              <w:rPr>
                <w:rFonts w:ascii="Calibri" w:cs="Calibri" w:eastAsia="Calibri" w:hAnsi="Calibri"/>
                <w:color w:val="14120F"/>
                <w:sz w:val="18"/>
                <w:szCs w:val="18"/>
              </w:rPr>
              <w:t xml:space="preserve">€0.757</w:t>
            </w:r>
          </w:p>
        </w:tc>
        <w:tc>
          <w:tcPr>
            <w:tcW w:type="dxa" w:w="2400"/>
          </w:tcPr>
          <w:p>
            <w:r>
              <w:rPr>
                <w:rFonts w:ascii="Calibri" w:cs="Calibri" w:eastAsia="Calibri" w:hAnsi="Calibri"/>
                <w:color w:val="14120F"/>
                <w:sz w:val="18"/>
                <w:szCs w:val="18"/>
              </w:rPr>
              <w:t xml:space="preserve">↓ -0.001 €/L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C98500"/>
                <w:sz w:val="18"/>
                <w:szCs w:val="18"/>
              </w:rPr>
              <w:t xml:space="preserve">€0.753</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C98500"/>
                <w:sz w:val="18"/>
                <w:szCs w:val="18"/>
              </w:rPr>
              <w:t xml:space="preserve">€0.752</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-0.003 €/L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C98500"/>
                <w:sz w:val="18"/>
                <w:szCs w:val="18"/>
              </w:rPr>
              <w:t xml:space="preserve">€0.751</w:t>
            </w:r>
          </w:p>
        </w:tc>
        <w:tc>
          <w:tcPr>
            <w:tcW w:type="dxa" w:w="2400"/>
          </w:tcPr>
          <w:p>
            <w:r>
              <w:rPr>
                <w:rFonts w:ascii="Calibri" w:cs="Calibri" w:eastAsia="Calibri" w:hAnsi="Calibri"/>
                <w:color w:val="14120F"/>
                <w:sz w:val="18"/>
                <w:szCs w:val="18"/>
              </w:rPr>
              <w:t xml:space="preserve">€0.754</w:t>
            </w:r>
          </w:p>
        </w:tc>
        <w:tc>
          <w:tcPr>
            <w:tcW w:type="dxa" w:w="2400"/>
          </w:tcPr>
          <w:p>
            <w:r>
              <w:rPr>
                <w:rFonts w:ascii="Calibri" w:cs="Calibri" w:eastAsia="Calibri" w:hAnsi="Calibri"/>
                <w:color w:val="14120F"/>
                <w:sz w:val="18"/>
                <w:szCs w:val="18"/>
              </w:rPr>
              <w:t xml:space="preserve">↓ -0.003 €/L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C98500"/>
                <w:sz w:val="18"/>
                <w:szCs w:val="18"/>
              </w:rPr>
              <w:t xml:space="preserve">€0.753</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C98500"/>
                <w:sz w:val="18"/>
                <w:szCs w:val="18"/>
              </w:rPr>
              <w:t xml:space="preserve">€0.754</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-0.001 €/L</w:t>
            </w:r>
          </w:p>
        </w:tc>
      </w:tr>
    </w:tbl>
    <w:p>
      <w:r>
        <w:br w:type="page"/>
      </w:r>
    </w:p>
    <w:p>
      <w:pPr>
        <w:spacing w:after="80"/>
      </w:pPr>
      <w:r>
        <w:rPr>
          <w:rFonts w:ascii="Calibri" w:cs="Calibri" w:eastAsia="Calibri" w:hAnsi="Calibri"/>
          <w:b/>
          <w:bCs/>
          <w:color w:val="B9790A"/>
          <w:sz w:val="18"/>
          <w:szCs w:val="18"/>
        </w:rPr>
        <w:t xml:space="preserve">FUEL SPOTLIGHT · METANO (CNG)</w:t>
      </w:r>
    </w:p>
    <w:p>
      <w:pPr>
        <w:spacing w:after="180" w:before="0"/>
      </w:pPr>
      <w:r>
        <w:rPr>
          <w:rFonts w:ascii="Cambria" w:cs="Cambria" w:eastAsia="Cambria" w:hAnsi="Cambria"/>
          <w:b/>
          <w:bCs/>
          <w:color w:val="1F9C1F"/>
          <w:sz w:val="34"/>
          <w:szCs w:val="34"/>
        </w:rPr>
        <w:t xml:space="preserve">Methane: +21.95% in nine weeks, and 14.82 cents above the national price</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€1.929</w:t>
            </w:r>
          </w:p>
          <w:p>
            <w:pPr>
              <w:spacing w:before="40"/>
            </w:pPr>
            <w:r>
              <w:rPr>
                <w:rFonts w:ascii="Calibri" w:cs="Calibri" w:eastAsia="Calibri" w:hAnsi="Calibri"/>
                <w:color w:val="5B564C"/>
                <w:sz w:val="17"/>
                <w:szCs w:val="17"/>
              </w:rPr>
              <w:t xml:space="preserve">Sep 19</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0.000 €/L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+21.9%</w:t>
            </w:r>
          </w:p>
          <w:p>
            <w:pPr>
              <w:spacing w:before="40"/>
            </w:pPr>
            <w:r>
              <w:rPr>
                <w:rFonts w:ascii="Calibri" w:cs="Calibri" w:eastAsia="Calibri" w:hAnsi="Calibri"/>
                <w:color w:val="5B564C"/>
                <w:sz w:val="17"/>
                <w:szCs w:val="17"/>
              </w:rPr>
              <w:t xml:space="preserve">Veneto,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+17.5%</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Methane is Veneto's most striking number. Self-service Metano is €1.9293/kg, unchanged on the day (it rose 3.83 cents on 18 September, from €1.8910, and then held). That is 14.82 cents, or 8.32%, above the national self-service average of €1.7811/kg. An unusual detail: in Veneto the served methane price (€1.8457/kg) is 8.36 cents cheaper than self-service, whereas nationally served methane (€1.8414/kg) is 6.03 cents dearer than self-service (€1.7811/kg), so the regional self-service quote is behaving differently from the rest of the country.</w:t>
      </w:r>
    </w:p>
    <w:p>
      <w:pPr>
        <w:spacing w:after="200"/>
      </w:pPr>
      <w:r>
        <w:rPr>
          <w:rFonts w:ascii="Calibri" w:cs="Calibri" w:eastAsia="Calibri" w:hAnsi="Calibri"/>
          <w:b w:val="false"/>
          <w:bCs w:val="false"/>
          <w:i w:val="false"/>
          <w:iCs w:val="false"/>
          <w:color w:val="14120F"/>
          <w:sz w:val="22"/>
          <w:szCs w:val="22"/>
        </w:rPr>
        <w:t xml:space="preserve">The weekly series makes the divergence plain. Veneto's weekly methane average climbed from €1.5527 in W30 to €1.8935 in W38, +21.95% (34.08 cents), against +17.51% (26.27 cents) for Italy. The gap to the national average widened almost every week: 5.28 cents in W30, 8.41 cents in W34, 9.96 cents in W36, a peak of 13.38 cents in W37 and 13.09 cents in W38. Over the last three weeks the region gained 12.82% against 10.91% nationally. The latest week-on-week step (+3.17% in Veneto against +3.59% nationally) is the first sign of Italy catching up, but from the daily history the shape of the rise is steps rather than a smooth slope: the largest single-day jump was +6.10 cents on 1 September. Since 21 July the daily self-service price has risen 24.66%, from €1.5476 to €1.9293.</w:t>
      </w:r>
    </w:p>
    <w:p>
      <w:pPr>
        <w:spacing w:after="120"/>
      </w:pPr>
      <w:r>
        <w:rPr>
          <w:rFonts w:ascii="Calibri" w:cs="Calibri" w:eastAsia="Calibri" w:hAnsi="Calibri"/>
          <w:b/>
          <w:bCs/>
          <w:i w:val="false"/>
          <w:iCs w:val="false"/>
          <w:color w:val="5B564C"/>
          <w:sz w:val="18"/>
          <w:szCs w:val="18"/>
        </w:rPr>
        <w:t xml:space="preserve">Weekly self-service average, Veneto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Metano — Region</w:t>
            </w:r>
          </w:p>
        </w:tc>
        <w:tc>
          <w:tcPr>
            <w:tcW w:type="dxa" w:w="2400"/>
            <w:shd w:fill="F0EDE6" w:val="clear"/>
          </w:tcPr>
          <w:p>
            <w:r>
              <w:rPr>
                <w:rFonts w:ascii="Calibri" w:cs="Calibri" w:eastAsia="Calibri" w:hAnsi="Calibri"/>
                <w:b/>
                <w:bCs/>
                <w:sz w:val="18"/>
                <w:szCs w:val="18"/>
              </w:rPr>
              <w:t xml:space="preserve">Metano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1F9C1F"/>
                <w:sz w:val="18"/>
                <w:szCs w:val="18"/>
              </w:rPr>
              <w:t xml:space="preserve">€1.553</w:t>
            </w:r>
          </w:p>
        </w:tc>
        <w:tc>
          <w:tcPr>
            <w:tcW w:type="dxa" w:w="2400"/>
          </w:tcPr>
          <w:p>
            <w:r>
              <w:rPr>
                <w:rFonts w:ascii="Calibri" w:cs="Calibri" w:eastAsia="Calibri" w:hAnsi="Calibri"/>
                <w:color w:val="14120F"/>
                <w:sz w:val="18"/>
                <w:szCs w:val="18"/>
              </w:rPr>
              <w:t xml:space="preserve">€1.500</w:t>
            </w:r>
          </w:p>
        </w:tc>
        <w:tc>
          <w:tcPr>
            <w:tcW w:type="dxa" w:w="2400"/>
          </w:tcPr>
          <w:p>
            <w:r>
              <w:rPr>
                <w:rFonts w:ascii="Calibri" w:cs="Calibri" w:eastAsia="Calibri" w:hAnsi="Calibri"/>
                <w:color w:val="14120F"/>
                <w:sz w:val="18"/>
                <w:szCs w:val="18"/>
              </w:rPr>
              <w:t xml:space="preserve">↑ +0.053 €/L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1F9C1F"/>
                <w:sz w:val="18"/>
                <w:szCs w:val="18"/>
              </w:rPr>
              <w:t xml:space="preserve">€1.564</w:t>
            </w:r>
          </w:p>
        </w:tc>
        <w:tc>
          <w:tcPr>
            <w:tcW w:type="dxa" w:w="2400"/>
          </w:tcPr>
          <w:p>
            <w:r>
              <w:rPr>
                <w:rFonts w:ascii="Calibri" w:cs="Calibri" w:eastAsia="Calibri" w:hAnsi="Calibri"/>
                <w:color w:val="14120F"/>
                <w:sz w:val="18"/>
                <w:szCs w:val="18"/>
              </w:rPr>
              <w:t xml:space="preserve">€1.518</w:t>
            </w:r>
          </w:p>
        </w:tc>
        <w:tc>
          <w:tcPr>
            <w:tcW w:type="dxa" w:w="2400"/>
          </w:tcPr>
          <w:p>
            <w:r>
              <w:rPr>
                <w:rFonts w:ascii="Calibri" w:cs="Calibri" w:eastAsia="Calibri" w:hAnsi="Calibri"/>
                <w:color w:val="14120F"/>
                <w:sz w:val="18"/>
                <w:szCs w:val="18"/>
              </w:rPr>
              <w:t xml:space="preserve">↑ +0.046 €/L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1F9C1F"/>
                <w:sz w:val="18"/>
                <w:szCs w:val="18"/>
              </w:rPr>
              <w:t xml:space="preserve">€1.596</w:t>
            </w:r>
          </w:p>
        </w:tc>
        <w:tc>
          <w:tcPr>
            <w:tcW w:type="dxa" w:w="2400"/>
          </w:tcPr>
          <w:p>
            <w:r>
              <w:rPr>
                <w:rFonts w:ascii="Calibri" w:cs="Calibri" w:eastAsia="Calibri" w:hAnsi="Calibri"/>
                <w:color w:val="14120F"/>
                <w:sz w:val="18"/>
                <w:szCs w:val="18"/>
              </w:rPr>
              <w:t xml:space="preserve">€1.551</w:t>
            </w:r>
          </w:p>
        </w:tc>
        <w:tc>
          <w:tcPr>
            <w:tcW w:type="dxa" w:w="2400"/>
          </w:tcPr>
          <w:p>
            <w:r>
              <w:rPr>
                <w:rFonts w:ascii="Calibri" w:cs="Calibri" w:eastAsia="Calibri" w:hAnsi="Calibri"/>
                <w:color w:val="14120F"/>
                <w:sz w:val="18"/>
                <w:szCs w:val="18"/>
              </w:rPr>
              <w:t xml:space="preserve">↑ +0.045 €/L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1F9C1F"/>
                <w:sz w:val="18"/>
                <w:szCs w:val="18"/>
              </w:rPr>
              <w:t xml:space="preserve">€1.639</w:t>
            </w:r>
          </w:p>
        </w:tc>
        <w:tc>
          <w:tcPr>
            <w:tcW w:type="dxa" w:w="2400"/>
          </w:tcPr>
          <w:p>
            <w:r>
              <w:rPr>
                <w:rFonts w:ascii="Calibri" w:cs="Calibri" w:eastAsia="Calibri" w:hAnsi="Calibri"/>
                <w:color w:val="14120F"/>
                <w:sz w:val="18"/>
                <w:szCs w:val="18"/>
              </w:rPr>
              <w:t xml:space="preserve">€1.570</w:t>
            </w:r>
          </w:p>
        </w:tc>
        <w:tc>
          <w:tcPr>
            <w:tcW w:type="dxa" w:w="2400"/>
          </w:tcPr>
          <w:p>
            <w:r>
              <w:rPr>
                <w:rFonts w:ascii="Calibri" w:cs="Calibri" w:eastAsia="Calibri" w:hAnsi="Calibri"/>
                <w:color w:val="14120F"/>
                <w:sz w:val="18"/>
                <w:szCs w:val="18"/>
              </w:rPr>
              <w:t xml:space="preserve">↑ +0.068 €/L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1F9C1F"/>
                <w:sz w:val="18"/>
                <w:szCs w:val="18"/>
              </w:rPr>
              <w:t xml:space="preserve">€1.666</w:t>
            </w:r>
          </w:p>
        </w:tc>
        <w:tc>
          <w:tcPr>
            <w:tcW w:type="dxa" w:w="2400"/>
          </w:tcPr>
          <w:p>
            <w:r>
              <w:rPr>
                <w:rFonts w:ascii="Calibri" w:cs="Calibri" w:eastAsia="Calibri" w:hAnsi="Calibri"/>
                <w:color w:val="14120F"/>
                <w:sz w:val="18"/>
                <w:szCs w:val="18"/>
              </w:rPr>
              <w:t xml:space="preserve">€1.581</w:t>
            </w:r>
          </w:p>
        </w:tc>
        <w:tc>
          <w:tcPr>
            <w:tcW w:type="dxa" w:w="2400"/>
          </w:tcPr>
          <w:p>
            <w:r>
              <w:rPr>
                <w:rFonts w:ascii="Calibri" w:cs="Calibri" w:eastAsia="Calibri" w:hAnsi="Calibri"/>
                <w:color w:val="14120F"/>
                <w:sz w:val="18"/>
                <w:szCs w:val="18"/>
              </w:rPr>
              <w:t xml:space="preserve">↑ +0.084 €/L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1F9C1F"/>
                <w:sz w:val="18"/>
                <w:szCs w:val="18"/>
              </w:rPr>
              <w:t xml:space="preserve">€1.678</w:t>
            </w:r>
          </w:p>
        </w:tc>
        <w:tc>
          <w:tcPr>
            <w:tcW w:type="dxa" w:w="2400"/>
          </w:tcPr>
          <w:p>
            <w:r>
              <w:rPr>
                <w:rFonts w:ascii="Calibri" w:cs="Calibri" w:eastAsia="Calibri" w:hAnsi="Calibri"/>
                <w:color w:val="14120F"/>
                <w:sz w:val="18"/>
                <w:szCs w:val="18"/>
              </w:rPr>
              <w:t xml:space="preserve">€1.589</w:t>
            </w:r>
          </w:p>
        </w:tc>
        <w:tc>
          <w:tcPr>
            <w:tcW w:type="dxa" w:w="2400"/>
          </w:tcPr>
          <w:p>
            <w:r>
              <w:rPr>
                <w:rFonts w:ascii="Calibri" w:cs="Calibri" w:eastAsia="Calibri" w:hAnsi="Calibri"/>
                <w:color w:val="14120F"/>
                <w:sz w:val="18"/>
                <w:szCs w:val="18"/>
              </w:rPr>
              <w:t xml:space="preserve">↑ +0.089 €/L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1F9C1F"/>
                <w:sz w:val="18"/>
                <w:szCs w:val="18"/>
              </w:rPr>
              <w:t xml:space="preserve">€1.715</w:t>
            </w:r>
          </w:p>
        </w:tc>
        <w:tc>
          <w:tcPr>
            <w:tcW w:type="dxa" w:w="2400"/>
          </w:tcPr>
          <w:p>
            <w:r>
              <w:rPr>
                <w:rFonts w:ascii="Calibri" w:cs="Calibri" w:eastAsia="Calibri" w:hAnsi="Calibri"/>
                <w:color w:val="14120F"/>
                <w:sz w:val="18"/>
                <w:szCs w:val="18"/>
              </w:rPr>
              <w:t xml:space="preserve">€1.616</w:t>
            </w:r>
          </w:p>
        </w:tc>
        <w:tc>
          <w:tcPr>
            <w:tcW w:type="dxa" w:w="2400"/>
          </w:tcPr>
          <w:p>
            <w:r>
              <w:rPr>
                <w:rFonts w:ascii="Calibri" w:cs="Calibri" w:eastAsia="Calibri" w:hAnsi="Calibri"/>
                <w:color w:val="14120F"/>
                <w:sz w:val="18"/>
                <w:szCs w:val="18"/>
              </w:rPr>
              <w:t xml:space="preserve">↑ +0.100 €/L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1F9C1F"/>
                <w:sz w:val="18"/>
                <w:szCs w:val="18"/>
              </w:rPr>
              <w:t xml:space="preserve">€1.835</w:t>
            </w:r>
          </w:p>
        </w:tc>
        <w:tc>
          <w:tcPr>
            <w:tcW w:type="dxa" w:w="2400"/>
          </w:tcPr>
          <w:p>
            <w:r>
              <w:rPr>
                <w:rFonts w:ascii="Calibri" w:cs="Calibri" w:eastAsia="Calibri" w:hAnsi="Calibri"/>
                <w:color w:val="14120F"/>
                <w:sz w:val="18"/>
                <w:szCs w:val="18"/>
              </w:rPr>
              <w:t xml:space="preserve">€1.702</w:t>
            </w:r>
          </w:p>
        </w:tc>
        <w:tc>
          <w:tcPr>
            <w:tcW w:type="dxa" w:w="2400"/>
          </w:tcPr>
          <w:p>
            <w:r>
              <w:rPr>
                <w:rFonts w:ascii="Calibri" w:cs="Calibri" w:eastAsia="Calibri" w:hAnsi="Calibri"/>
                <w:color w:val="14120F"/>
                <w:sz w:val="18"/>
                <w:szCs w:val="18"/>
              </w:rPr>
              <w:t xml:space="preserve">↑ +0.134 €/L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1F9C1F"/>
                <w:sz w:val="18"/>
                <w:szCs w:val="18"/>
              </w:rPr>
              <w:t xml:space="preserve">€1.893</w:t>
            </w:r>
          </w:p>
        </w:tc>
        <w:tc>
          <w:tcPr>
            <w:tcW w:type="dxa" w:w="2400"/>
          </w:tcPr>
          <w:p>
            <w:r>
              <w:rPr>
                <w:rFonts w:ascii="Calibri" w:cs="Calibri" w:eastAsia="Calibri" w:hAnsi="Calibri"/>
                <w:color w:val="14120F"/>
                <w:sz w:val="18"/>
                <w:szCs w:val="18"/>
              </w:rPr>
              <w:t xml:space="preserve">€1.763</w:t>
            </w:r>
          </w:p>
        </w:tc>
        <w:tc>
          <w:tcPr>
            <w:tcW w:type="dxa" w:w="2400"/>
          </w:tcPr>
          <w:p>
            <w:r>
              <w:rPr>
                <w:rFonts w:ascii="Calibri" w:cs="Calibri" w:eastAsia="Calibri" w:hAnsi="Calibri"/>
                <w:color w:val="14120F"/>
                <w:sz w:val="18"/>
                <w:szCs w:val="18"/>
              </w:rPr>
              <w:t xml:space="preserve">↑ +0.131 €/L</w:t>
            </w:r>
          </w:p>
        </w:tc>
      </w:tr>
    </w:tbl>
    <w:p>
      <w:r>
        <w:br w:type="page"/>
      </w:r>
    </w:p>
    <w:p>
      <w:pPr>
        <w:spacing w:after="80"/>
      </w:pPr>
      <w:r>
        <w:rPr>
          <w:rFonts w:ascii="Calibri" w:cs="Calibri" w:eastAsia="Calibri" w:hAnsi="Calibri"/>
          <w:b/>
          <w:bCs/>
          <w:color w:val="B9790A"/>
          <w:sz w:val="18"/>
          <w:szCs w:val="18"/>
        </w:rPr>
        <w:t xml:space="preserve">STATION NETWORK</w:t>
      </w:r>
    </w:p>
    <w:p>
      <w:pPr>
        <w:spacing w:after="180" w:before="0"/>
      </w:pPr>
      <w:r>
        <w:rPr>
          <w:rFonts w:ascii="Cambria" w:cs="Cambria" w:eastAsia="Cambria" w:hAnsi="Cambria"/>
          <w:b/>
          <w:bCs/>
          <w:color w:val="14120F"/>
          <w:sz w:val="34"/>
          <w:szCs w:val="34"/>
        </w:rPr>
        <w:t xml:space="preserve">The station network: 1,832 of 1,997 reporting, and a better rate than Italy</w:t>
      </w:r>
    </w:p>
    <w:p>
      <w:pPr>
        <w:spacing w:after="200"/>
      </w:pPr>
      <w:r>
        <w:rPr>
          <w:rFonts w:ascii="Calibri" w:cs="Calibri" w:eastAsia="Calibri" w:hAnsi="Calibri"/>
          <w:b w:val="false"/>
          <w:bCs w:val="false"/>
          <w:i w:val="false"/>
          <w:iCs w:val="false"/>
          <w:color w:val="14120F"/>
          <w:sz w:val="22"/>
          <w:szCs w:val="22"/>
        </w:rPr>
        <w:t xml:space="preserve">The latest reading counts 1,997 registered stations in Veneto, of which 1,832 reported prices: a reporting rate of 91.74%, compared with 90.33% nationally (21,681 of 24,003). That means 165 Veneto stations did not report, against 2,322 across Italy. Veneto accounts for 8.32% of Italy's registered stations and 8.45% of its reporting stations, so it slightly over-contributes to the national price picture relative to its size. The day before, the counts were 1,998 registered and 1,833 reporting, so the network is essentially stable.</w:t>
      </w:r>
    </w:p>
    <w:p>
      <w:pPr>
        <w:spacing w:after="200"/>
      </w:pPr>
      <w:r>
        <w:rPr>
          <w:rFonts w:ascii="Calibri" w:cs="Calibri" w:eastAsia="Calibri" w:hAnsi="Calibri"/>
          <w:b w:val="false"/>
          <w:bCs w:val="false"/>
          <w:i w:val="false"/>
          <w:iCs w:val="false"/>
          <w:color w:val="14120F"/>
          <w:sz w:val="22"/>
          <w:szCs w:val="22"/>
        </w:rPr>
        <w:t xml:space="preserve">Across the tracked history since 21 July, the registered count has stayed within a tight 1,993-1,998 band and reporting stations between 1,823 and 1,841. That stability matters: it means the weekly price moves described in this report are not artefacts of stations dropping in and out of the sample. A caveat applies to the weekly averages, though: not every calendar day is available, so W36 rests on only three tracked days, W34 and W35 on five and W30 and W38 on six, while W31 to W33 and W37 have all seven. The trend conclusions are robust to this, but the individual weekly values are best read as indicative rather than exact.</w:t>
      </w:r>
    </w:p>
    <w:p>
      <w:r>
        <w:br w:type="page"/>
      </w:r>
    </w:p>
    <w:p>
      <w:pPr>
        <w:spacing w:after="80"/>
      </w:pPr>
      <w:r>
        <w:rPr>
          <w:rFonts w:ascii="Calibri" w:cs="Calibri" w:eastAsia="Calibri" w:hAnsi="Calibri"/>
          <w:b/>
          <w:bCs/>
          <w:color w:val="B9790A"/>
          <w:sz w:val="18"/>
          <w:szCs w:val="18"/>
        </w:rPr>
        <w:t xml:space="preserve">HOW THIS REPORT IS BUILT</w:t>
      </w:r>
    </w:p>
    <w:p>
      <w:pPr>
        <w:spacing w:after="180" w:before="0"/>
      </w:pPr>
      <w:r>
        <w:rPr>
          <w:rFonts w:ascii="Cambria" w:cs="Cambria" w:eastAsia="Cambria" w:hAnsi="Cambria"/>
          <w:b/>
          <w:bCs/>
          <w:color w:val="14120F"/>
          <w:sz w:val="34"/>
          <w:szCs w:val="34"/>
        </w:rPr>
        <w:t xml:space="preserve">How this report was made: no spreadsheet, no human in the loop</w:t>
      </w:r>
    </w:p>
    <w:p>
      <w:pPr>
        <w:spacing w:after="200"/>
      </w:pPr>
      <w:r>
        <w:rPr>
          <w:rFonts w:ascii="Calibri" w:cs="Calibri" w:eastAsia="Calibri" w:hAnsi="Calibri"/>
          <w:b w:val="false"/>
          <w:bCs w:val="false"/>
          <w:i w:val="false"/>
          <w:iCs w:val="false"/>
          <w:color w:val="14120F"/>
          <w:sz w:val="22"/>
          <w:szCs w:val="22"/>
        </w:rPr>
        <w:t xml:space="preserve">Everything in this report was produced automatically this morning by an unattended pipeline built with Claude Code. A script downloads the day's open-data files from MIMIT, the Italian ministry's price feed, and rebuilds the dashboard data; a second script picks today's featured region by rotating alphabetically through Italy's 20 regions keyed to the calendar date (Veneto is the last of the 20, so the cycle wraps around next); it then computes the weekly averages for each of the four fuels, region against national. Claude Code reads those figures and writes the analysis you are reading, then a generator renders this Word document, and the whole update is committed and published to the live site. Nobody chose the region, the headline or the numbers to quote.</w:t>
      </w:r>
    </w:p>
    <w:p>
      <w:pPr>
        <w:spacing w:after="200"/>
      </w:pPr>
      <w:r>
        <w:rPr>
          <w:rFonts w:ascii="Calibri" w:cs="Calibri" w:eastAsia="Calibri" w:hAnsi="Calibri"/>
          <w:b w:val="false"/>
          <w:bCs w:val="false"/>
          <w:i w:val="false"/>
          <w:iCs w:val="false"/>
          <w:color w:val="14120F"/>
          <w:sz w:val="22"/>
          <w:szCs w:val="22"/>
        </w:rPr>
        <w:t xml:space="preserve">Contrast that with the manually maintained spreadsheet that would normally do this job. A spreadsheet needs someone to download the file, paste it in, extend the formulas, refresh the pivot tables and re-write the commentary every day; it silently goes stale the day the owner is busy, and it cannot rewrite its own conclusions when petrol tips above the national average, as it did this week. The pipeline does the same work in minutes, checks each figure against the source data before it is cited, and produces a fresh, differently focused report daily. The human's job shifts from producing the numbers to reviewing them.</w:t>
      </w:r>
    </w:p>
    <w:p>
      <w:r>
        <w:br w:type="page"/>
      </w:r>
    </w:p>
    <w:p>
      <w:pPr>
        <w:spacing w:after="80"/>
      </w:pPr>
      <w:r>
        <w:rPr>
          <w:rFonts w:ascii="Calibri" w:cs="Calibri" w:eastAsia="Calibri" w:hAnsi="Calibri"/>
          <w:b/>
          <w:bCs/>
          <w:color w:val="B9790A"/>
          <w:sz w:val="18"/>
          <w:szCs w:val="18"/>
        </w:rPr>
        <w:t xml:space="preserve">VISIT THE DASHBOARD</w:t>
      </w:r>
    </w:p>
    <w:p>
      <w:pPr>
        <w:spacing w:after="180" w:before="0"/>
      </w:pPr>
      <w:r>
        <w:rPr>
          <w:rFonts w:ascii="Cambria" w:cs="Cambria" w:eastAsia="Cambria" w:hAnsi="Cambria"/>
          <w:b/>
          <w:bCs/>
          <w:color w:val="14120F"/>
          <w:sz w:val="34"/>
          <w:szCs w:val="34"/>
        </w:rPr>
        <w:t xml:space="preserve">Explore the live dashboard</w:t>
      </w:r>
    </w:p>
    <w:p>
      <w:pPr>
        <w:spacing w:after="200"/>
      </w:pPr>
      <w:r>
        <w:rPr>
          <w:rFonts w:ascii="Calibri" w:cs="Calibri" w:eastAsia="Calibri" w:hAnsi="Calibri"/>
          <w:b w:val="false"/>
          <w:bCs w:val="false"/>
          <w:i w:val="false"/>
          <w:iCs w:val="false"/>
          <w:color w:val="14120F"/>
          <w:sz w:val="22"/>
          <w:szCs w:val="22"/>
        </w:rPr>
        <w:t xml:space="preserve">The live Fuel Dashboard at https://adeo-blip.github.io/fuel-price-italy/ opens on Agip Eni's brand-level view by default. Use the scope picker to switch to Region, Province or Municipality, or to another Operator or Brand, and see whether your own corner of Italy is following Veneto's pattern of a rising methane premium, a petrol price that has just crossed above the national average and a diesel price that is catching up fast.</w:t>
      </w:r>
    </w:p>
    <w:p>
      <w:pPr>
        <w:spacing w:after="320"/>
      </w:pPr>
      <w:r>
        <w:rPr>
          <w:rFonts w:ascii="Calibri" w:cs="Calibri" w:eastAsia="Calibri" w:hAnsi="Calibri"/>
          <w:b/>
          <w:bCs/>
          <w:i w:val="false"/>
          <w:iCs w:val="false"/>
          <w:color w:val="B9790A"/>
          <w:sz w:val="24"/>
          <w:szCs w:val="24"/>
        </w:rPr>
        <w:t xml:space="preserve">https://adeo-blip.github.io/fuel-price-italy/</w:t>
      </w:r>
    </w:p>
    <w:p>
      <w:pPr>
        <w:pBdr>
          <w:top w:val="single" w:color="E6E2D8" w:sz="6" w:space="8"/>
        </w:pBdr>
        <w:spacing w:before="200"/>
      </w:pPr>
      <w:r>
        <w:rPr>
          <w:rFonts w:ascii="Calibri" w:cs="Calibri" w:eastAsia="Calibri" w:hAnsi="Calibri"/>
          <w:b/>
          <w:bCs/>
          <w:color w:val="14120F"/>
          <w:sz w:val="20"/>
          <w:szCs w:val="20"/>
        </w:rPr>
        <w:t xml:space="preserve">Adeo Patapo</w:t>
      </w:r>
    </w:p>
    <w:p>
      <w:pPr>
        <w:spacing w:after="0"/>
      </w:pPr>
      <w:r>
        <w:rPr>
          <w:rFonts w:ascii="Calibri" w:cs="Calibri" w:eastAsia="Calibri" w:hAnsi="Calibri"/>
          <w:b w:val="false"/>
          <w:bCs w:val="false"/>
          <w:i w:val="false"/>
          <w:iCs w:val="false"/>
          <w:color w:val="5B564C"/>
          <w:sz w:val="18"/>
          <w:szCs w:val="18"/>
        </w:rPr>
        <w:t xml:space="preserve">adeopatapo@gmail.com · +39 366 378 6189</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2026-09-20T09:21:15.596Z</dcterms:created>
  <dcterms:modified xsi:type="dcterms:W3CDTF">2026-09-20T09:21:15.597Z</dcterms:modified>
</cp:coreProperties>
</file>

<file path=docProps/custom.xml><?xml version="1.0" encoding="utf-8"?>
<Properties xmlns="http://schemas.openxmlformats.org/officeDocument/2006/custom-properties" xmlns:vt="http://schemas.openxmlformats.org/officeDocument/2006/docPropsVTypes"/>
</file>