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B9790A"/>
          <w:sz w:val="18"/>
          <w:szCs w:val="18"/>
        </w:rPr>
        <w:t xml:space="preserve">FUEL DASHBOARD · REGIONE SPOTLIGHT</w:t>
      </w:r>
    </w:p>
    <w:p>
      <w:pPr>
        <w:spacing w:after="100" w:before="400"/>
      </w:pPr>
      <w:r>
        <w:rPr>
          <w:rFonts w:ascii="Cambria" w:cs="Cambria" w:eastAsia="Cambria" w:hAnsi="Cambria"/>
          <w:b/>
          <w:bCs/>
          <w:color w:val="14120F"/>
          <w:sz w:val="60"/>
          <w:szCs w:val="60"/>
        </w:rPr>
        <w:t xml:space="preserve">Trentino-Alto Adige's Metano Premium Is Shrinking — Even as GPL Pulls Further Ahead of the Rest of Italy</w:t>
      </w:r>
    </w:p>
    <w:p>
      <w:pPr>
        <w:spacing w:after="320"/>
      </w:pPr>
      <w:r>
        <w:rPr>
          <w:rFonts w:ascii="Calibri" w:cs="Calibri" w:eastAsia="Calibri" w:hAnsi="Calibri"/>
          <w:b w:val="false"/>
          <w:bCs w:val="false"/>
          <w:i/>
          <w:iCs/>
          <w:color w:val="5B564C"/>
          <w:sz w:val="24"/>
          <w:szCs w:val="24"/>
        </w:rPr>
        <w:t xml:space="preserve">A week-by-week look at how the region's four fuel prices are diverging from the national average as autumn sets in.</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BENZINA</w:t>
            </w:r>
          </w:p>
          <w:p>
            <w:pPr>
              <w:spacing w:before="60"/>
            </w:pPr>
            <w:r>
              <w:rPr>
                <w:rFonts w:ascii="Calibri" w:cs="Calibri" w:eastAsia="Calibri" w:hAnsi="Calibri"/>
                <w:b/>
                <w:bCs/>
                <w:color w:val="14120F"/>
                <w:sz w:val="28"/>
                <w:szCs w:val="28"/>
              </w:rPr>
              <w:t xml:space="preserve">€2.187</w:t>
            </w:r>
          </w:p>
          <w:p>
            <w:pPr>
              <w:spacing w:before="40"/>
            </w:pPr>
            <w:r>
              <w:rPr>
                <w:rFonts w:ascii="Calibri" w:cs="Calibri" w:eastAsia="Calibri" w:hAnsi="Calibri"/>
                <w:color w:val="5B564C"/>
                <w:sz w:val="17"/>
                <w:szCs w:val="17"/>
              </w:rPr>
              <w:t xml:space="preserve">petrol</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GASOLIO</w:t>
            </w:r>
          </w:p>
          <w:p>
            <w:pPr>
              <w:spacing w:before="60"/>
            </w:pPr>
            <w:r>
              <w:rPr>
                <w:rFonts w:ascii="Calibri" w:cs="Calibri" w:eastAsia="Calibri" w:hAnsi="Calibri"/>
                <w:b/>
                <w:bCs/>
                <w:color w:val="14120F"/>
                <w:sz w:val="28"/>
                <w:szCs w:val="28"/>
              </w:rPr>
              <w:t xml:space="preserve">€2.307</w:t>
            </w:r>
          </w:p>
          <w:p>
            <w:pPr>
              <w:spacing w:before="40"/>
            </w:pPr>
            <w:r>
              <w:rPr>
                <w:rFonts w:ascii="Calibri" w:cs="Calibri" w:eastAsia="Calibri" w:hAnsi="Calibri"/>
                <w:color w:val="5B564C"/>
                <w:sz w:val="17"/>
                <w:szCs w:val="17"/>
              </w:rPr>
              <w:t xml:space="preserve">diesel</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GPL</w:t>
            </w:r>
          </w:p>
          <w:p>
            <w:pPr>
              <w:spacing w:before="60"/>
            </w:pPr>
            <w:r>
              <w:rPr>
                <w:rFonts w:ascii="Calibri" w:cs="Calibri" w:eastAsia="Calibri" w:hAnsi="Calibri"/>
                <w:b/>
                <w:bCs/>
                <w:color w:val="14120F"/>
                <w:sz w:val="28"/>
                <w:szCs w:val="28"/>
              </w:rPr>
              <w:t xml:space="preserve">€0.802</w:t>
            </w:r>
          </w:p>
          <w:p>
            <w:pPr>
              <w:spacing w:before="40"/>
            </w:pPr>
            <w:r>
              <w:rPr>
                <w:rFonts w:ascii="Calibri" w:cs="Calibri" w:eastAsia="Calibri" w:hAnsi="Calibri"/>
                <w:color w:val="5B564C"/>
                <w:sz w:val="17"/>
                <w:szCs w:val="17"/>
              </w:rPr>
              <w:t xml:space="preserve">LPG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METANO</w:t>
            </w:r>
          </w:p>
          <w:p>
            <w:pPr>
              <w:spacing w:before="60"/>
            </w:pPr>
            <w:r>
              <w:rPr>
                <w:rFonts w:ascii="Calibri" w:cs="Calibri" w:eastAsia="Calibri" w:hAnsi="Calibri"/>
                <w:b/>
                <w:bCs/>
                <w:color w:val="14120F"/>
                <w:sz w:val="28"/>
                <w:szCs w:val="28"/>
              </w:rPr>
              <w:t xml:space="preserve">€1.966</w:t>
            </w:r>
          </w:p>
          <w:p>
            <w:pPr>
              <w:spacing w:before="40"/>
            </w:pPr>
            <w:r>
              <w:rPr>
                <w:rFonts w:ascii="Calibri" w:cs="Calibri" w:eastAsia="Calibri" w:hAnsi="Calibri"/>
                <w:color w:val="5B564C"/>
                <w:sz w:val="17"/>
                <w:szCs w:val="17"/>
              </w:rPr>
              <w:t xml:space="preserve">CNG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5B564C"/>
          <w:sz w:val="18"/>
          <w:szCs w:val="18"/>
        </w:rPr>
        <w:t xml:space="preserve">Registered stations: 392 · Reporting today: 372 (95%) · Sep 16</w:t>
      </w:r>
    </w:p>
    <w:p>
      <w:r>
        <w:br w:type="page"/>
      </w:r>
    </w:p>
    <w:p>
      <w:pPr>
        <w:spacing w:after="80"/>
      </w:pPr>
      <w:r>
        <w:rPr>
          <w:rFonts w:ascii="Calibri" w:cs="Calibri" w:eastAsia="Calibri" w:hAnsi="Calibri"/>
          <w:b/>
          <w:bCs/>
          <w:color w:val="B9790A"/>
          <w:sz w:val="18"/>
          <w:szCs w:val="18"/>
        </w:rPr>
        <w:t xml:space="preserve">EXECUTIVE SUMMARY</w:t>
      </w:r>
    </w:p>
    <w:p>
      <w:pPr>
        <w:spacing w:after="180" w:before="0"/>
      </w:pPr>
      <w:r>
        <w:rPr>
          <w:rFonts w:ascii="Cambria" w:cs="Cambria" w:eastAsia="Cambria" w:hAnsi="Cambria"/>
          <w:b/>
          <w:bCs/>
          <w:color w:val="14120F"/>
          <w:sz w:val="34"/>
          <w:szCs w:val="34"/>
        </w:rPr>
        <w:t xml:space="preserve">Trentino-Alto Adige at a glance</w:t>
      </w:r>
    </w:p>
    <w:p>
      <w:pPr>
        <w:spacing w:after="200"/>
      </w:pPr>
      <w:r>
        <w:rPr>
          <w:rFonts w:ascii="Calibri" w:cs="Calibri" w:eastAsia="Calibri" w:hAnsi="Calibri"/>
          <w:b w:val="false"/>
          <w:bCs w:val="false"/>
          <w:i w:val="false"/>
          <w:iCs w:val="false"/>
          <w:color w:val="14120F"/>
          <w:sz w:val="22"/>
          <w:szCs w:val="22"/>
        </w:rPr>
        <w:t xml:space="preserve">On September 16, drivers in Trentino-Alto Adige paid €2.1872/L for self-service Benzina (up €0.0132, +0.61% day-over-day) and €2.3068/L for Gasolio (up €0.0140, +0.61%), against national self-service averages of €2.1435 and €2.2728 respectively — the region running about 2.0% above the national Benzina price and 1.5% above Gasolio. GPL held nearly flat at €0.8024/kg (+0.25% on the day) and Metano didn't move at all from the day before, staying at €1.9660/kg, but both trade well above the national floor: GPL 6.2% above the national average and Metano fully 11.7% above it. Of the region's 392 registered stations, 372 reported prices today (94.9%), comfortably ahead of the 90.2% national reporting rate.</w:t>
      </w:r>
    </w:p>
    <w:p>
      <w:pPr>
        <w:spacing w:after="200"/>
      </w:pPr>
      <w:r>
        <w:rPr>
          <w:rFonts w:ascii="Calibri" w:cs="Calibri" w:eastAsia="Calibri" w:hAnsi="Calibri"/>
          <w:b w:val="false"/>
          <w:bCs w:val="false"/>
          <w:i w:val="false"/>
          <w:iCs w:val="false"/>
          <w:color w:val="14120F"/>
          <w:sz w:val="22"/>
          <w:szCs w:val="22"/>
        </w:rPr>
        <w:t xml:space="preserve">Zooming out to the nine weeks of data tracked since the week of July 20, the more interesting story is how each fuel's regional premium over the national average is moving, not just how big it is today. Metano's regional premium — long the region's most extreme outlier — has actually narrowed by about 27%, from a near-30-cent gap in late July to roughly 22 cents now, because the national Metano price has climbed faster (+16.5%) than Trentino-Alto Adige's own Metano price (+9.3%). GPL is moving the opposite way: its regional premium has widened by roughly 49% over the same stretch, as the region's GPL price crept up 1.4% while the national average essentially stood still (-0.6%). Benzina and Gasolio, meanwhile, have tracked the national trend almost lockstep — both up roughly 4-8% regionally and nationally with no meaningful shift in the premium either way.</w:t>
      </w:r>
    </w:p>
    <w:p>
      <w:pPr>
        <w:spacing w:after="200" w:before="200"/>
        <w:jc w:val="center"/>
      </w:pPr>
      <w:r>
        <w:rPr>
          <w:rFonts w:ascii="Cambria" w:cs="Cambria" w:eastAsia="Cambria" w:hAnsi="Cambria"/>
          <w:b/>
          <w:bCs/>
          <w:i/>
          <w:iCs/>
          <w:color w:val="B9790A"/>
          <w:sz w:val="30"/>
          <w:szCs w:val="30"/>
        </w:rPr>
        <w:t xml:space="preserve">Trentino-Alto Adige's Metano premium over the national average has narrowed by roughly 27% since July — even as its GPL premium widened by about 49% over the same stretch.</w:t>
      </w:r>
    </w:p>
    <w:p>
      <w:r>
        <w:br w:type="page"/>
      </w:r>
    </w:p>
    <w:p>
      <w:pPr>
        <w:spacing w:after="80"/>
      </w:pPr>
      <w:r>
        <w:rPr>
          <w:rFonts w:ascii="Calibri" w:cs="Calibri" w:eastAsia="Calibri" w:hAnsi="Calibri"/>
          <w:b/>
          <w:bCs/>
          <w:color w:val="B9790A"/>
          <w:sz w:val="18"/>
          <w:szCs w:val="18"/>
        </w:rPr>
        <w:t xml:space="preserve">FUEL SPOTLIGHT · BENZINA (petrol)</w:t>
      </w:r>
    </w:p>
    <w:p>
      <w:pPr>
        <w:spacing w:after="180" w:before="0"/>
      </w:pPr>
      <w:r>
        <w:rPr>
          <w:rFonts w:ascii="Cambria" w:cs="Cambria" w:eastAsia="Cambria" w:hAnsi="Cambria"/>
          <w:b/>
          <w:bCs/>
          <w:color w:val="2A78D6"/>
          <w:sz w:val="34"/>
          <w:szCs w:val="34"/>
        </w:rPr>
        <w:t xml:space="preserve">Benzina: Tracking the National Curve, Not Breaking From It</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€2.187</w:t>
            </w:r>
          </w:p>
          <w:p>
            <w:pPr>
              <w:spacing w:before="40"/>
            </w:pPr>
            <w:r>
              <w:rPr>
                <w:rFonts w:ascii="Calibri" w:cs="Calibri" w:eastAsia="Calibri" w:hAnsi="Calibri"/>
                <w:color w:val="5B564C"/>
                <w:sz w:val="17"/>
                <w:szCs w:val="17"/>
              </w:rPr>
              <w:t xml:space="preserve">Sep 16</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+0.013 €/L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+7.6%</w:t>
            </w:r>
          </w:p>
          <w:p>
            <w:pPr>
              <w:spacing w:before="40"/>
            </w:pPr>
            <w:r>
              <w:rPr>
                <w:rFonts w:ascii="Calibri" w:cs="Calibri" w:eastAsia="Calibri" w:hAnsi="Calibri"/>
                <w:color w:val="5B564C"/>
                <w:sz w:val="17"/>
                <w:szCs w:val="17"/>
              </w:rPr>
              <w:t xml:space="preserve">Trentino-Alto Adige,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+7.9%</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Self-service Benzina in Trentino-Alto Adige closed September 16 at €2.1872/L, up €0.0132 (+0.61%) from the previous day — a move roughly in line with the steady national climb this month. That puts the region 2.0% above the €2.1435 national self-service average, a premium that has held remarkably steady since midsummer.</w:t>
      </w:r>
    </w:p>
    <w:p>
      <w:pPr>
        <w:spacing w:after="200"/>
      </w:pPr>
      <w:r>
        <w:rPr>
          <w:rFonts w:ascii="Calibri" w:cs="Calibri" w:eastAsia="Calibri" w:hAnsi="Calibri"/>
          <w:b w:val="false"/>
          <w:bCs w:val="false"/>
          <w:i w:val="false"/>
          <w:iCs w:val="false"/>
          <w:color w:val="14120F"/>
          <w:sz w:val="22"/>
          <w:szCs w:val="22"/>
        </w:rPr>
        <w:t xml:space="preserve">Across the nine tracked weeks — from the week of July 20 (€2.0210) to the week of September 14 (€2.1747) — regional Benzina is up 7.61%. Nationally, the same period saw self-service Benzina rise from €1.9756 to €2.1309, a 7.86% increase, very slightly ahead of the region. The regional premium over the national average has therefore barely budged, from about 4.5 cents in late July to about 4.4 cents now: Trentino-Alto Adige's Benzina prices aren't diverging from the rest of Italy, they're rising in step with it.</w:t>
      </w:r>
    </w:p>
    <w:p>
      <w:pPr>
        <w:spacing w:after="120"/>
      </w:pPr>
      <w:r>
        <w:rPr>
          <w:rFonts w:ascii="Calibri" w:cs="Calibri" w:eastAsia="Calibri" w:hAnsi="Calibri"/>
          <w:b/>
          <w:bCs/>
          <w:i w:val="false"/>
          <w:iCs w:val="false"/>
          <w:color w:val="5B564C"/>
          <w:sz w:val="18"/>
          <w:szCs w:val="18"/>
        </w:rPr>
        <w:t xml:space="preserve">Weekly self-service average, Trentino-Alto Adige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Benzina — Region</w:t>
            </w:r>
          </w:p>
        </w:tc>
        <w:tc>
          <w:tcPr>
            <w:tcW w:type="dxa" w:w="2400"/>
            <w:shd w:fill="F0EDE6" w:val="clear"/>
          </w:tcPr>
          <w:p>
            <w:r>
              <w:rPr>
                <w:rFonts w:ascii="Calibri" w:cs="Calibri" w:eastAsia="Calibri" w:hAnsi="Calibri"/>
                <w:b/>
                <w:bCs/>
                <w:sz w:val="18"/>
                <w:szCs w:val="18"/>
              </w:rPr>
              <w:t xml:space="preserve">Benzina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2A78D6"/>
                <w:sz w:val="18"/>
                <w:szCs w:val="18"/>
              </w:rPr>
              <w:t xml:space="preserve">€2.021</w:t>
            </w:r>
          </w:p>
        </w:tc>
        <w:tc>
          <w:tcPr>
            <w:tcW w:type="dxa" w:w="2400"/>
          </w:tcPr>
          <w:p>
            <w:r>
              <w:rPr>
                <w:rFonts w:ascii="Calibri" w:cs="Calibri" w:eastAsia="Calibri" w:hAnsi="Calibri"/>
                <w:color w:val="14120F"/>
                <w:sz w:val="18"/>
                <w:szCs w:val="18"/>
              </w:rPr>
              <w:t xml:space="preserve">€1.976</w:t>
            </w:r>
          </w:p>
        </w:tc>
        <w:tc>
          <w:tcPr>
            <w:tcW w:type="dxa" w:w="2400"/>
          </w:tcPr>
          <w:p>
            <w:r>
              <w:rPr>
                <w:rFonts w:ascii="Calibri" w:cs="Calibri" w:eastAsia="Calibri" w:hAnsi="Calibri"/>
                <w:color w:val="14120F"/>
                <w:sz w:val="18"/>
                <w:szCs w:val="18"/>
              </w:rPr>
              <w:t xml:space="preserve">↑ +0.045 €/L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2A78D6"/>
                <w:sz w:val="18"/>
                <w:szCs w:val="18"/>
              </w:rPr>
              <w:t xml:space="preserve">€2.046</w:t>
            </w:r>
          </w:p>
        </w:tc>
        <w:tc>
          <w:tcPr>
            <w:tcW w:type="dxa" w:w="2400"/>
          </w:tcPr>
          <w:p>
            <w:r>
              <w:rPr>
                <w:rFonts w:ascii="Calibri" w:cs="Calibri" w:eastAsia="Calibri" w:hAnsi="Calibri"/>
                <w:color w:val="14120F"/>
                <w:sz w:val="18"/>
                <w:szCs w:val="18"/>
              </w:rPr>
              <w:t xml:space="preserve">€2.003</w:t>
            </w:r>
          </w:p>
        </w:tc>
        <w:tc>
          <w:tcPr>
            <w:tcW w:type="dxa" w:w="2400"/>
          </w:tcPr>
          <w:p>
            <w:r>
              <w:rPr>
                <w:rFonts w:ascii="Calibri" w:cs="Calibri" w:eastAsia="Calibri" w:hAnsi="Calibri"/>
                <w:color w:val="14120F"/>
                <w:sz w:val="18"/>
                <w:szCs w:val="18"/>
              </w:rPr>
              <w:t xml:space="preserve">↑ +0.043 €/L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2A78D6"/>
                <w:sz w:val="18"/>
                <w:szCs w:val="18"/>
              </w:rPr>
              <w:t xml:space="preserve">€2.051</w:t>
            </w:r>
          </w:p>
        </w:tc>
        <w:tc>
          <w:tcPr>
            <w:tcW w:type="dxa" w:w="2400"/>
          </w:tcPr>
          <w:p>
            <w:r>
              <w:rPr>
                <w:rFonts w:ascii="Calibri" w:cs="Calibri" w:eastAsia="Calibri" w:hAnsi="Calibri"/>
                <w:color w:val="14120F"/>
                <w:sz w:val="18"/>
                <w:szCs w:val="18"/>
              </w:rPr>
              <w:t xml:space="preserve">€2.006</w:t>
            </w:r>
          </w:p>
        </w:tc>
        <w:tc>
          <w:tcPr>
            <w:tcW w:type="dxa" w:w="2400"/>
          </w:tcPr>
          <w:p>
            <w:r>
              <w:rPr>
                <w:rFonts w:ascii="Calibri" w:cs="Calibri" w:eastAsia="Calibri" w:hAnsi="Calibri"/>
                <w:color w:val="14120F"/>
                <w:sz w:val="18"/>
                <w:szCs w:val="18"/>
              </w:rPr>
              <w:t xml:space="preserve">↑ +0.046 €/L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2A78D6"/>
                <w:sz w:val="18"/>
                <w:szCs w:val="18"/>
              </w:rPr>
              <w:t xml:space="preserve">€2.046</w:t>
            </w:r>
          </w:p>
        </w:tc>
        <w:tc>
          <w:tcPr>
            <w:tcW w:type="dxa" w:w="2400"/>
          </w:tcPr>
          <w:p>
            <w:r>
              <w:rPr>
                <w:rFonts w:ascii="Calibri" w:cs="Calibri" w:eastAsia="Calibri" w:hAnsi="Calibri"/>
                <w:color w:val="14120F"/>
                <w:sz w:val="18"/>
                <w:szCs w:val="18"/>
              </w:rPr>
              <w:t xml:space="preserve">€2.001</w:t>
            </w:r>
          </w:p>
        </w:tc>
        <w:tc>
          <w:tcPr>
            <w:tcW w:type="dxa" w:w="2400"/>
          </w:tcPr>
          <w:p>
            <w:r>
              <w:rPr>
                <w:rFonts w:ascii="Calibri" w:cs="Calibri" w:eastAsia="Calibri" w:hAnsi="Calibri"/>
                <w:color w:val="14120F"/>
                <w:sz w:val="18"/>
                <w:szCs w:val="18"/>
              </w:rPr>
              <w:t xml:space="preserve">↑ +0.045 €/L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2A78D6"/>
                <w:sz w:val="18"/>
                <w:szCs w:val="18"/>
              </w:rPr>
              <w:t xml:space="preserve">€2.058</w:t>
            </w:r>
          </w:p>
        </w:tc>
        <w:tc>
          <w:tcPr>
            <w:tcW w:type="dxa" w:w="2400"/>
          </w:tcPr>
          <w:p>
            <w:r>
              <w:rPr>
                <w:rFonts w:ascii="Calibri" w:cs="Calibri" w:eastAsia="Calibri" w:hAnsi="Calibri"/>
                <w:color w:val="14120F"/>
                <w:sz w:val="18"/>
                <w:szCs w:val="18"/>
              </w:rPr>
              <w:t xml:space="preserve">€2.013</w:t>
            </w:r>
          </w:p>
        </w:tc>
        <w:tc>
          <w:tcPr>
            <w:tcW w:type="dxa" w:w="2400"/>
          </w:tcPr>
          <w:p>
            <w:r>
              <w:rPr>
                <w:rFonts w:ascii="Calibri" w:cs="Calibri" w:eastAsia="Calibri" w:hAnsi="Calibri"/>
                <w:color w:val="14120F"/>
                <w:sz w:val="18"/>
                <w:szCs w:val="18"/>
              </w:rPr>
              <w:t xml:space="preserve">↑ +0.046 €/L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2A78D6"/>
                <w:sz w:val="18"/>
                <w:szCs w:val="18"/>
              </w:rPr>
              <w:t xml:space="preserve">€2.074</w:t>
            </w:r>
          </w:p>
        </w:tc>
        <w:tc>
          <w:tcPr>
            <w:tcW w:type="dxa" w:w="2400"/>
          </w:tcPr>
          <w:p>
            <w:r>
              <w:rPr>
                <w:rFonts w:ascii="Calibri" w:cs="Calibri" w:eastAsia="Calibri" w:hAnsi="Calibri"/>
                <w:color w:val="14120F"/>
                <w:sz w:val="18"/>
                <w:szCs w:val="18"/>
              </w:rPr>
              <w:t xml:space="preserve">€2.027</w:t>
            </w:r>
          </w:p>
        </w:tc>
        <w:tc>
          <w:tcPr>
            <w:tcW w:type="dxa" w:w="2400"/>
          </w:tcPr>
          <w:p>
            <w:r>
              <w:rPr>
                <w:rFonts w:ascii="Calibri" w:cs="Calibri" w:eastAsia="Calibri" w:hAnsi="Calibri"/>
                <w:color w:val="14120F"/>
                <w:sz w:val="18"/>
                <w:szCs w:val="18"/>
              </w:rPr>
              <w:t xml:space="preserve">↑ +0.047 €/L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2A78D6"/>
                <w:sz w:val="18"/>
                <w:szCs w:val="18"/>
              </w:rPr>
              <w:t xml:space="preserve">€2.084</w:t>
            </w:r>
          </w:p>
        </w:tc>
        <w:tc>
          <w:tcPr>
            <w:tcW w:type="dxa" w:w="2400"/>
          </w:tcPr>
          <w:p>
            <w:r>
              <w:rPr>
                <w:rFonts w:ascii="Calibri" w:cs="Calibri" w:eastAsia="Calibri" w:hAnsi="Calibri"/>
                <w:color w:val="14120F"/>
                <w:sz w:val="18"/>
                <w:szCs w:val="18"/>
              </w:rPr>
              <w:t xml:space="preserve">€2.039</w:t>
            </w:r>
          </w:p>
        </w:tc>
        <w:tc>
          <w:tcPr>
            <w:tcW w:type="dxa" w:w="2400"/>
          </w:tcPr>
          <w:p>
            <w:r>
              <w:rPr>
                <w:rFonts w:ascii="Calibri" w:cs="Calibri" w:eastAsia="Calibri" w:hAnsi="Calibri"/>
                <w:color w:val="14120F"/>
                <w:sz w:val="18"/>
                <w:szCs w:val="18"/>
              </w:rPr>
              <w:t xml:space="preserve">↑ +0.046 €/L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2A78D6"/>
                <w:sz w:val="18"/>
                <w:szCs w:val="18"/>
              </w:rPr>
              <w:t xml:space="preserve">€2.135</w:t>
            </w:r>
          </w:p>
        </w:tc>
        <w:tc>
          <w:tcPr>
            <w:tcW w:type="dxa" w:w="2400"/>
          </w:tcPr>
          <w:p>
            <w:r>
              <w:rPr>
                <w:rFonts w:ascii="Calibri" w:cs="Calibri" w:eastAsia="Calibri" w:hAnsi="Calibri"/>
                <w:color w:val="14120F"/>
                <w:sz w:val="18"/>
                <w:szCs w:val="18"/>
              </w:rPr>
              <w:t xml:space="preserve">€2.090</w:t>
            </w:r>
          </w:p>
        </w:tc>
        <w:tc>
          <w:tcPr>
            <w:tcW w:type="dxa" w:w="2400"/>
          </w:tcPr>
          <w:p>
            <w:r>
              <w:rPr>
                <w:rFonts w:ascii="Calibri" w:cs="Calibri" w:eastAsia="Calibri" w:hAnsi="Calibri"/>
                <w:color w:val="14120F"/>
                <w:sz w:val="18"/>
                <w:szCs w:val="18"/>
              </w:rPr>
              <w:t xml:space="preserve">↑ +0.044 €/L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2A78D6"/>
                <w:sz w:val="18"/>
                <w:szCs w:val="18"/>
              </w:rPr>
              <w:t xml:space="preserve">€2.175</w:t>
            </w:r>
          </w:p>
        </w:tc>
        <w:tc>
          <w:tcPr>
            <w:tcW w:type="dxa" w:w="2400"/>
          </w:tcPr>
          <w:p>
            <w:r>
              <w:rPr>
                <w:rFonts w:ascii="Calibri" w:cs="Calibri" w:eastAsia="Calibri" w:hAnsi="Calibri"/>
                <w:color w:val="14120F"/>
                <w:sz w:val="18"/>
                <w:szCs w:val="18"/>
              </w:rPr>
              <w:t xml:space="preserve">€2.131</w:t>
            </w:r>
          </w:p>
        </w:tc>
        <w:tc>
          <w:tcPr>
            <w:tcW w:type="dxa" w:w="2400"/>
          </w:tcPr>
          <w:p>
            <w:r>
              <w:rPr>
                <w:rFonts w:ascii="Calibri" w:cs="Calibri" w:eastAsia="Calibri" w:hAnsi="Calibri"/>
                <w:color w:val="14120F"/>
                <w:sz w:val="18"/>
                <w:szCs w:val="18"/>
              </w:rPr>
              <w:t xml:space="preserve">↑ +0.044 €/L</w:t>
            </w:r>
          </w:p>
        </w:tc>
      </w:tr>
    </w:tbl>
    <w:p>
      <w:r>
        <w:br w:type="page"/>
      </w:r>
    </w:p>
    <w:p>
      <w:pPr>
        <w:spacing w:after="80"/>
      </w:pPr>
      <w:r>
        <w:rPr>
          <w:rFonts w:ascii="Calibri" w:cs="Calibri" w:eastAsia="Calibri" w:hAnsi="Calibri"/>
          <w:b/>
          <w:bCs/>
          <w:color w:val="B9790A"/>
          <w:sz w:val="18"/>
          <w:szCs w:val="18"/>
        </w:rPr>
        <w:t xml:space="preserve">FUEL SPOTLIGHT · GASOLIO (diesel)</w:t>
      </w:r>
    </w:p>
    <w:p>
      <w:pPr>
        <w:spacing w:after="180" w:before="0"/>
      </w:pPr>
      <w:r>
        <w:rPr>
          <w:rFonts w:ascii="Cambria" w:cs="Cambria" w:eastAsia="Cambria" w:hAnsi="Cambria"/>
          <w:b/>
          <w:bCs/>
          <w:color w:val="1BAF7A"/>
          <w:sz w:val="34"/>
          <w:szCs w:val="34"/>
        </w:rPr>
        <w:t xml:space="preserve">Gasolio Keeps Pace With the Nationwide Climb Too</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€2.307</w:t>
            </w:r>
          </w:p>
          <w:p>
            <w:pPr>
              <w:spacing w:before="40"/>
            </w:pPr>
            <w:r>
              <w:rPr>
                <w:rFonts w:ascii="Calibri" w:cs="Calibri" w:eastAsia="Calibri" w:hAnsi="Calibri"/>
                <w:color w:val="5B564C"/>
                <w:sz w:val="17"/>
                <w:szCs w:val="17"/>
              </w:rPr>
              <w:t xml:space="preserve">Sep 16</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+0.014 €/L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+3.9%</w:t>
            </w:r>
          </w:p>
          <w:p>
            <w:pPr>
              <w:spacing w:before="40"/>
            </w:pPr>
            <w:r>
              <w:rPr>
                <w:rFonts w:ascii="Calibri" w:cs="Calibri" w:eastAsia="Calibri" w:hAnsi="Calibri"/>
                <w:color w:val="5B564C"/>
                <w:sz w:val="17"/>
                <w:szCs w:val="17"/>
              </w:rPr>
              <w:t xml:space="preserve">Trentino-Alto Adige,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+3.9%</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Gasolio (self-service) in the region reached €2.3068/L on September 16, up €0.0140 (+0.61%) day-over-day — matching Benzina's daily move almost to the decimal. That's 1.5% above the €2.2728 national self-service average, one of the smaller regional premiums among the four fuels tracked here.</w:t>
      </w:r>
    </w:p>
    <w:p>
      <w:pPr>
        <w:spacing w:after="200"/>
      </w:pPr>
      <w:r>
        <w:rPr>
          <w:rFonts w:ascii="Calibri" w:cs="Calibri" w:eastAsia="Calibri" w:hAnsi="Calibri"/>
          <w:b w:val="false"/>
          <w:bCs w:val="false"/>
          <w:i w:val="false"/>
          <w:iCs w:val="false"/>
          <w:color w:val="14120F"/>
          <w:sz w:val="22"/>
          <w:szCs w:val="22"/>
        </w:rPr>
        <w:t xml:space="preserve">Over the nine-week window from the week of July 20 (€2.2063) to the week of September 14 (€2.2927), regional Gasolio rose 3.92%, essentially matching the national move from €2.1747 to €2.2585 (+3.85%). The premium gap has widened only marginally, from about 3.2 cents to about 3.4 cents — Gasolio, like Benzina, is a fuel where Trentino-Alto Adige is simply riding the same wave as the rest of the country, not setting its own course.</w:t>
      </w:r>
    </w:p>
    <w:p>
      <w:pPr>
        <w:spacing w:after="120"/>
      </w:pPr>
      <w:r>
        <w:rPr>
          <w:rFonts w:ascii="Calibri" w:cs="Calibri" w:eastAsia="Calibri" w:hAnsi="Calibri"/>
          <w:b/>
          <w:bCs/>
          <w:i w:val="false"/>
          <w:iCs w:val="false"/>
          <w:color w:val="5B564C"/>
          <w:sz w:val="18"/>
          <w:szCs w:val="18"/>
        </w:rPr>
        <w:t xml:space="preserve">Weekly self-service average, Trentino-Alto Adige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Gasolio — Region</w:t>
            </w:r>
          </w:p>
        </w:tc>
        <w:tc>
          <w:tcPr>
            <w:tcW w:type="dxa" w:w="2400"/>
            <w:shd w:fill="F0EDE6" w:val="clear"/>
          </w:tcPr>
          <w:p>
            <w:r>
              <w:rPr>
                <w:rFonts w:ascii="Calibri" w:cs="Calibri" w:eastAsia="Calibri" w:hAnsi="Calibri"/>
                <w:b/>
                <w:bCs/>
                <w:sz w:val="18"/>
                <w:szCs w:val="18"/>
              </w:rPr>
              <w:t xml:space="preserve">Gasolio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1BAF7A"/>
                <w:sz w:val="18"/>
                <w:szCs w:val="18"/>
              </w:rPr>
              <w:t xml:space="preserve">€2.206</w:t>
            </w:r>
          </w:p>
        </w:tc>
        <w:tc>
          <w:tcPr>
            <w:tcW w:type="dxa" w:w="2400"/>
          </w:tcPr>
          <w:p>
            <w:r>
              <w:rPr>
                <w:rFonts w:ascii="Calibri" w:cs="Calibri" w:eastAsia="Calibri" w:hAnsi="Calibri"/>
                <w:color w:val="14120F"/>
                <w:sz w:val="18"/>
                <w:szCs w:val="18"/>
              </w:rPr>
              <w:t xml:space="preserve">€2.175</w:t>
            </w:r>
          </w:p>
        </w:tc>
        <w:tc>
          <w:tcPr>
            <w:tcW w:type="dxa" w:w="2400"/>
          </w:tcPr>
          <w:p>
            <w:r>
              <w:rPr>
                <w:rFonts w:ascii="Calibri" w:cs="Calibri" w:eastAsia="Calibri" w:hAnsi="Calibri"/>
                <w:color w:val="14120F"/>
                <w:sz w:val="18"/>
                <w:szCs w:val="18"/>
              </w:rPr>
              <w:t xml:space="preserve">↑ +0.032 €/L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1BAF7A"/>
                <w:sz w:val="18"/>
                <w:szCs w:val="18"/>
              </w:rPr>
              <w:t xml:space="preserve">€2.170</w:t>
            </w:r>
          </w:p>
        </w:tc>
        <w:tc>
          <w:tcPr>
            <w:tcW w:type="dxa" w:w="2400"/>
          </w:tcPr>
          <w:p>
            <w:r>
              <w:rPr>
                <w:rFonts w:ascii="Calibri" w:cs="Calibri" w:eastAsia="Calibri" w:hAnsi="Calibri"/>
                <w:color w:val="14120F"/>
                <w:sz w:val="18"/>
                <w:szCs w:val="18"/>
              </w:rPr>
              <w:t xml:space="preserve">€2.136</w:t>
            </w:r>
          </w:p>
        </w:tc>
        <w:tc>
          <w:tcPr>
            <w:tcW w:type="dxa" w:w="2400"/>
          </w:tcPr>
          <w:p>
            <w:r>
              <w:rPr>
                <w:rFonts w:ascii="Calibri" w:cs="Calibri" w:eastAsia="Calibri" w:hAnsi="Calibri"/>
                <w:color w:val="14120F"/>
                <w:sz w:val="18"/>
                <w:szCs w:val="18"/>
              </w:rPr>
              <w:t xml:space="preserve">↑ +0.034 €/L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1BAF7A"/>
                <w:sz w:val="18"/>
                <w:szCs w:val="18"/>
              </w:rPr>
              <w:t xml:space="preserve">€2.153</w:t>
            </w:r>
          </w:p>
        </w:tc>
        <w:tc>
          <w:tcPr>
            <w:tcW w:type="dxa" w:w="2400"/>
          </w:tcPr>
          <w:p>
            <w:r>
              <w:rPr>
                <w:rFonts w:ascii="Calibri" w:cs="Calibri" w:eastAsia="Calibri" w:hAnsi="Calibri"/>
                <w:color w:val="14120F"/>
                <w:sz w:val="18"/>
                <w:szCs w:val="18"/>
              </w:rPr>
              <w:t xml:space="preserve">€2.118</w:t>
            </w:r>
          </w:p>
        </w:tc>
        <w:tc>
          <w:tcPr>
            <w:tcW w:type="dxa" w:w="2400"/>
          </w:tcPr>
          <w:p>
            <w:r>
              <w:rPr>
                <w:rFonts w:ascii="Calibri" w:cs="Calibri" w:eastAsia="Calibri" w:hAnsi="Calibri"/>
                <w:color w:val="14120F"/>
                <w:sz w:val="18"/>
                <w:szCs w:val="18"/>
              </w:rPr>
              <w:t xml:space="preserve">↑ +0.035 €/L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1BAF7A"/>
                <w:sz w:val="18"/>
                <w:szCs w:val="18"/>
              </w:rPr>
              <w:t xml:space="preserve">€2.149</w:t>
            </w:r>
          </w:p>
        </w:tc>
        <w:tc>
          <w:tcPr>
            <w:tcW w:type="dxa" w:w="2400"/>
          </w:tcPr>
          <w:p>
            <w:r>
              <w:rPr>
                <w:rFonts w:ascii="Calibri" w:cs="Calibri" w:eastAsia="Calibri" w:hAnsi="Calibri"/>
                <w:color w:val="14120F"/>
                <w:sz w:val="18"/>
                <w:szCs w:val="18"/>
              </w:rPr>
              <w:t xml:space="preserve">€2.113</w:t>
            </w:r>
          </w:p>
        </w:tc>
        <w:tc>
          <w:tcPr>
            <w:tcW w:type="dxa" w:w="2400"/>
          </w:tcPr>
          <w:p>
            <w:r>
              <w:rPr>
                <w:rFonts w:ascii="Calibri" w:cs="Calibri" w:eastAsia="Calibri" w:hAnsi="Calibri"/>
                <w:color w:val="14120F"/>
                <w:sz w:val="18"/>
                <w:szCs w:val="18"/>
              </w:rPr>
              <w:t xml:space="preserve">↑ +0.036 €/L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1BAF7A"/>
                <w:sz w:val="18"/>
                <w:szCs w:val="18"/>
              </w:rPr>
              <w:t xml:space="preserve">€2.179</w:t>
            </w:r>
          </w:p>
        </w:tc>
        <w:tc>
          <w:tcPr>
            <w:tcW w:type="dxa" w:w="2400"/>
          </w:tcPr>
          <w:p>
            <w:r>
              <w:rPr>
                <w:rFonts w:ascii="Calibri" w:cs="Calibri" w:eastAsia="Calibri" w:hAnsi="Calibri"/>
                <w:color w:val="14120F"/>
                <w:sz w:val="18"/>
                <w:szCs w:val="18"/>
              </w:rPr>
              <w:t xml:space="preserve">€2.141</w:t>
            </w:r>
          </w:p>
        </w:tc>
        <w:tc>
          <w:tcPr>
            <w:tcW w:type="dxa" w:w="2400"/>
          </w:tcPr>
          <w:p>
            <w:r>
              <w:rPr>
                <w:rFonts w:ascii="Calibri" w:cs="Calibri" w:eastAsia="Calibri" w:hAnsi="Calibri"/>
                <w:color w:val="14120F"/>
                <w:sz w:val="18"/>
                <w:szCs w:val="18"/>
              </w:rPr>
              <w:t xml:space="preserve">↑ +0.038 €/L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1BAF7A"/>
                <w:sz w:val="18"/>
                <w:szCs w:val="18"/>
              </w:rPr>
              <w:t xml:space="preserve">€2.199</w:t>
            </w:r>
          </w:p>
        </w:tc>
        <w:tc>
          <w:tcPr>
            <w:tcW w:type="dxa" w:w="2400"/>
          </w:tcPr>
          <w:p>
            <w:r>
              <w:rPr>
                <w:rFonts w:ascii="Calibri" w:cs="Calibri" w:eastAsia="Calibri" w:hAnsi="Calibri"/>
                <w:color w:val="14120F"/>
                <w:sz w:val="18"/>
                <w:szCs w:val="18"/>
              </w:rPr>
              <w:t xml:space="preserve">€2.162</w:t>
            </w:r>
          </w:p>
        </w:tc>
        <w:tc>
          <w:tcPr>
            <w:tcW w:type="dxa" w:w="2400"/>
          </w:tcPr>
          <w:p>
            <w:r>
              <w:rPr>
                <w:rFonts w:ascii="Calibri" w:cs="Calibri" w:eastAsia="Calibri" w:hAnsi="Calibri"/>
                <w:color w:val="14120F"/>
                <w:sz w:val="18"/>
                <w:szCs w:val="18"/>
              </w:rPr>
              <w:t xml:space="preserve">↑ +0.038 €/L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1BAF7A"/>
                <w:sz w:val="18"/>
                <w:szCs w:val="18"/>
              </w:rPr>
              <w:t xml:space="preserve">€2.203</w:t>
            </w:r>
          </w:p>
        </w:tc>
        <w:tc>
          <w:tcPr>
            <w:tcW w:type="dxa" w:w="2400"/>
          </w:tcPr>
          <w:p>
            <w:r>
              <w:rPr>
                <w:rFonts w:ascii="Calibri" w:cs="Calibri" w:eastAsia="Calibri" w:hAnsi="Calibri"/>
                <w:color w:val="14120F"/>
                <w:sz w:val="18"/>
                <w:szCs w:val="18"/>
              </w:rPr>
              <w:t xml:space="preserve">€2.166</w:t>
            </w:r>
          </w:p>
        </w:tc>
        <w:tc>
          <w:tcPr>
            <w:tcW w:type="dxa" w:w="2400"/>
          </w:tcPr>
          <w:p>
            <w:r>
              <w:rPr>
                <w:rFonts w:ascii="Calibri" w:cs="Calibri" w:eastAsia="Calibri" w:hAnsi="Calibri"/>
                <w:color w:val="14120F"/>
                <w:sz w:val="18"/>
                <w:szCs w:val="18"/>
              </w:rPr>
              <w:t xml:space="preserve">↑ +0.037 €/L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1BAF7A"/>
                <w:sz w:val="18"/>
                <w:szCs w:val="18"/>
              </w:rPr>
              <w:t xml:space="preserve">€2.250</w:t>
            </w:r>
          </w:p>
        </w:tc>
        <w:tc>
          <w:tcPr>
            <w:tcW w:type="dxa" w:w="2400"/>
          </w:tcPr>
          <w:p>
            <w:r>
              <w:rPr>
                <w:rFonts w:ascii="Calibri" w:cs="Calibri" w:eastAsia="Calibri" w:hAnsi="Calibri"/>
                <w:color w:val="14120F"/>
                <w:sz w:val="18"/>
                <w:szCs w:val="18"/>
              </w:rPr>
              <w:t xml:space="preserve">€2.216</w:t>
            </w:r>
          </w:p>
        </w:tc>
        <w:tc>
          <w:tcPr>
            <w:tcW w:type="dxa" w:w="2400"/>
          </w:tcPr>
          <w:p>
            <w:r>
              <w:rPr>
                <w:rFonts w:ascii="Calibri" w:cs="Calibri" w:eastAsia="Calibri" w:hAnsi="Calibri"/>
                <w:color w:val="14120F"/>
                <w:sz w:val="18"/>
                <w:szCs w:val="18"/>
              </w:rPr>
              <w:t xml:space="preserve">↑ +0.034 €/L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1BAF7A"/>
                <w:sz w:val="18"/>
                <w:szCs w:val="18"/>
              </w:rPr>
              <w:t xml:space="preserve">€2.293</w:t>
            </w:r>
          </w:p>
        </w:tc>
        <w:tc>
          <w:tcPr>
            <w:tcW w:type="dxa" w:w="2400"/>
          </w:tcPr>
          <w:p>
            <w:r>
              <w:rPr>
                <w:rFonts w:ascii="Calibri" w:cs="Calibri" w:eastAsia="Calibri" w:hAnsi="Calibri"/>
                <w:color w:val="14120F"/>
                <w:sz w:val="18"/>
                <w:szCs w:val="18"/>
              </w:rPr>
              <w:t xml:space="preserve">€2.259</w:t>
            </w:r>
          </w:p>
        </w:tc>
        <w:tc>
          <w:tcPr>
            <w:tcW w:type="dxa" w:w="2400"/>
          </w:tcPr>
          <w:p>
            <w:r>
              <w:rPr>
                <w:rFonts w:ascii="Calibri" w:cs="Calibri" w:eastAsia="Calibri" w:hAnsi="Calibri"/>
                <w:color w:val="14120F"/>
                <w:sz w:val="18"/>
                <w:szCs w:val="18"/>
              </w:rPr>
              <w:t xml:space="preserve">↑ +0.034 €/L</w:t>
            </w:r>
          </w:p>
        </w:tc>
      </w:tr>
    </w:tbl>
    <w:p>
      <w:r>
        <w:br w:type="page"/>
      </w:r>
    </w:p>
    <w:p>
      <w:pPr>
        <w:spacing w:after="80"/>
      </w:pPr>
      <w:r>
        <w:rPr>
          <w:rFonts w:ascii="Calibri" w:cs="Calibri" w:eastAsia="Calibri" w:hAnsi="Calibri"/>
          <w:b/>
          <w:bCs/>
          <w:color w:val="B9790A"/>
          <w:sz w:val="18"/>
          <w:szCs w:val="18"/>
        </w:rPr>
        <w:t xml:space="preserve">FUEL SPOTLIGHT · GPL (LPG)</w:t>
      </w:r>
    </w:p>
    <w:p>
      <w:pPr>
        <w:spacing w:after="180" w:before="0"/>
      </w:pPr>
      <w:r>
        <w:rPr>
          <w:rFonts w:ascii="Cambria" w:cs="Cambria" w:eastAsia="Cambria" w:hAnsi="Cambria"/>
          <w:b/>
          <w:bCs/>
          <w:color w:val="C98500"/>
          <w:sz w:val="34"/>
          <w:szCs w:val="34"/>
        </w:rPr>
        <w:t xml:space="preserve">GPL: The Region's Premium Over Italy Is Quietly Widening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€0.802</w:t>
            </w:r>
          </w:p>
          <w:p>
            <w:pPr>
              <w:spacing w:before="40"/>
            </w:pPr>
            <w:r>
              <w:rPr>
                <w:rFonts w:ascii="Calibri" w:cs="Calibri" w:eastAsia="Calibri" w:hAnsi="Calibri"/>
                <w:color w:val="5B564C"/>
                <w:sz w:val="17"/>
                <w:szCs w:val="17"/>
              </w:rPr>
              <w:t xml:space="preserve">Sep 16</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+0.002 €/L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+1.4%</w:t>
            </w:r>
          </w:p>
          <w:p>
            <w:pPr>
              <w:spacing w:before="40"/>
            </w:pPr>
            <w:r>
              <w:rPr>
                <w:rFonts w:ascii="Calibri" w:cs="Calibri" w:eastAsia="Calibri" w:hAnsi="Calibri"/>
                <w:color w:val="5B564C"/>
                <w:sz w:val="17"/>
                <w:szCs w:val="17"/>
              </w:rPr>
              <w:t xml:space="preserve">Trentino-Alto Adige,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-0.6%</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GPL held at €0.8024/kg on September 16, up just €0.0020 (+0.25%) on the day — the smallest daily move of the four fuels. But it carries the second-largest regional premium of the group: 6.2% above the €0.7554 national self-service average.</w:t>
      </w:r>
    </w:p>
    <w:p>
      <w:pPr>
        <w:spacing w:after="200"/>
      </w:pPr>
      <w:r>
        <w:rPr>
          <w:rFonts w:ascii="Calibri" w:cs="Calibri" w:eastAsia="Calibri" w:hAnsi="Calibri"/>
          <w:b w:val="false"/>
          <w:bCs w:val="false"/>
          <w:i w:val="false"/>
          <w:iCs w:val="false"/>
          <w:color w:val="14120F"/>
          <w:sz w:val="22"/>
          <w:szCs w:val="22"/>
        </w:rPr>
        <w:t xml:space="preserve">The multi-week trend is what makes GPL notable. From the week of July 20 (€0.7912) to the week of September 14 (€0.8024), the regional price rose 1.42%, while the national average actually fell slightly, from €0.7592 to €0.7547 (-0.59%). That divergence means the region's GPL premium over the national average has widened by roughly 49% in under two months — from about a 3.2-cent gap to about a 4.8-cent gap. Of the four fuels tracked, GPL is the one where Trentino-Alto Adige is most visibly pulling away from the national trend.</w:t>
      </w:r>
    </w:p>
    <w:p>
      <w:pPr>
        <w:spacing w:after="120"/>
      </w:pPr>
      <w:r>
        <w:rPr>
          <w:rFonts w:ascii="Calibri" w:cs="Calibri" w:eastAsia="Calibri" w:hAnsi="Calibri"/>
          <w:b/>
          <w:bCs/>
          <w:i w:val="false"/>
          <w:iCs w:val="false"/>
          <w:color w:val="5B564C"/>
          <w:sz w:val="18"/>
          <w:szCs w:val="18"/>
        </w:rPr>
        <w:t xml:space="preserve">Weekly self-service average, Trentino-Alto Adige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GPL — Region</w:t>
            </w:r>
          </w:p>
        </w:tc>
        <w:tc>
          <w:tcPr>
            <w:tcW w:type="dxa" w:w="2400"/>
            <w:shd w:fill="F0EDE6" w:val="clear"/>
          </w:tcPr>
          <w:p>
            <w:r>
              <w:rPr>
                <w:rFonts w:ascii="Calibri" w:cs="Calibri" w:eastAsia="Calibri" w:hAnsi="Calibri"/>
                <w:b/>
                <w:bCs/>
                <w:sz w:val="18"/>
                <w:szCs w:val="18"/>
              </w:rPr>
              <w:t xml:space="preserve">GPL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C98500"/>
                <w:sz w:val="18"/>
                <w:szCs w:val="18"/>
              </w:rPr>
              <w:t xml:space="preserve">€0.791</w:t>
            </w:r>
          </w:p>
        </w:tc>
        <w:tc>
          <w:tcPr>
            <w:tcW w:type="dxa" w:w="2400"/>
          </w:tcPr>
          <w:p>
            <w:r>
              <w:rPr>
                <w:rFonts w:ascii="Calibri" w:cs="Calibri" w:eastAsia="Calibri" w:hAnsi="Calibri"/>
                <w:color w:val="14120F"/>
                <w:sz w:val="18"/>
                <w:szCs w:val="18"/>
              </w:rPr>
              <w:t xml:space="preserve">€0.759</w:t>
            </w:r>
          </w:p>
        </w:tc>
        <w:tc>
          <w:tcPr>
            <w:tcW w:type="dxa" w:w="2400"/>
          </w:tcPr>
          <w:p>
            <w:r>
              <w:rPr>
                <w:rFonts w:ascii="Calibri" w:cs="Calibri" w:eastAsia="Calibri" w:hAnsi="Calibri"/>
                <w:color w:val="14120F"/>
                <w:sz w:val="18"/>
                <w:szCs w:val="18"/>
              </w:rPr>
              <w:t xml:space="preserve">↑ +0.032 €/L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C98500"/>
                <w:sz w:val="18"/>
                <w:szCs w:val="18"/>
              </w:rPr>
              <w:t xml:space="preserve">€0.793</w:t>
            </w:r>
          </w:p>
        </w:tc>
        <w:tc>
          <w:tcPr>
            <w:tcW w:type="dxa" w:w="2400"/>
          </w:tcPr>
          <w:p>
            <w:r>
              <w:rPr>
                <w:rFonts w:ascii="Calibri" w:cs="Calibri" w:eastAsia="Calibri" w:hAnsi="Calibri"/>
                <w:color w:val="14120F"/>
                <w:sz w:val="18"/>
                <w:szCs w:val="18"/>
              </w:rPr>
              <w:t xml:space="preserve">€0.757</w:t>
            </w:r>
          </w:p>
        </w:tc>
        <w:tc>
          <w:tcPr>
            <w:tcW w:type="dxa" w:w="2400"/>
          </w:tcPr>
          <w:p>
            <w:r>
              <w:rPr>
                <w:rFonts w:ascii="Calibri" w:cs="Calibri" w:eastAsia="Calibri" w:hAnsi="Calibri"/>
                <w:color w:val="14120F"/>
                <w:sz w:val="18"/>
                <w:szCs w:val="18"/>
              </w:rPr>
              <w:t xml:space="preserve">↑ +0.036 €/L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C98500"/>
                <w:sz w:val="18"/>
                <w:szCs w:val="18"/>
              </w:rPr>
              <w:t xml:space="preserve">€0.792</w:t>
            </w:r>
          </w:p>
        </w:tc>
        <w:tc>
          <w:tcPr>
            <w:tcW w:type="dxa" w:w="2400"/>
          </w:tcPr>
          <w:p>
            <w:r>
              <w:rPr>
                <w:rFonts w:ascii="Calibri" w:cs="Calibri" w:eastAsia="Calibri" w:hAnsi="Calibri"/>
                <w:color w:val="14120F"/>
                <w:sz w:val="18"/>
                <w:szCs w:val="18"/>
              </w:rPr>
              <w:t xml:space="preserve">€0.756</w:t>
            </w:r>
          </w:p>
        </w:tc>
        <w:tc>
          <w:tcPr>
            <w:tcW w:type="dxa" w:w="2400"/>
          </w:tcPr>
          <w:p>
            <w:r>
              <w:rPr>
                <w:rFonts w:ascii="Calibri" w:cs="Calibri" w:eastAsia="Calibri" w:hAnsi="Calibri"/>
                <w:color w:val="14120F"/>
                <w:sz w:val="18"/>
                <w:szCs w:val="18"/>
              </w:rPr>
              <w:t xml:space="preserve">↑ +0.036 €/L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C98500"/>
                <w:sz w:val="18"/>
                <w:szCs w:val="18"/>
              </w:rPr>
              <w:t xml:space="preserve">€0.793</w:t>
            </w:r>
          </w:p>
        </w:tc>
        <w:tc>
          <w:tcPr>
            <w:tcW w:type="dxa" w:w="2400"/>
          </w:tcPr>
          <w:p>
            <w:r>
              <w:rPr>
                <w:rFonts w:ascii="Calibri" w:cs="Calibri" w:eastAsia="Calibri" w:hAnsi="Calibri"/>
                <w:color w:val="14120F"/>
                <w:sz w:val="18"/>
                <w:szCs w:val="18"/>
              </w:rPr>
              <w:t xml:space="preserve">€0.757</w:t>
            </w:r>
          </w:p>
        </w:tc>
        <w:tc>
          <w:tcPr>
            <w:tcW w:type="dxa" w:w="2400"/>
          </w:tcPr>
          <w:p>
            <w:r>
              <w:rPr>
                <w:rFonts w:ascii="Calibri" w:cs="Calibri" w:eastAsia="Calibri" w:hAnsi="Calibri"/>
                <w:color w:val="14120F"/>
                <w:sz w:val="18"/>
                <w:szCs w:val="18"/>
              </w:rPr>
              <w:t xml:space="preserve">↑ +0.037 €/L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C98500"/>
                <w:sz w:val="18"/>
                <w:szCs w:val="18"/>
              </w:rPr>
              <w:t xml:space="preserve">€0.792</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+0.037 €/L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C98500"/>
                <w:sz w:val="18"/>
                <w:szCs w:val="18"/>
              </w:rPr>
              <w:t xml:space="preserve">€0.797</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+0.043 €/L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C98500"/>
                <w:sz w:val="18"/>
                <w:szCs w:val="18"/>
              </w:rPr>
              <w:t xml:space="preserve">€0.800</w:t>
            </w:r>
          </w:p>
        </w:tc>
        <w:tc>
          <w:tcPr>
            <w:tcW w:type="dxa" w:w="2400"/>
          </w:tcPr>
          <w:p>
            <w:r>
              <w:rPr>
                <w:rFonts w:ascii="Calibri" w:cs="Calibri" w:eastAsia="Calibri" w:hAnsi="Calibri"/>
                <w:color w:val="14120F"/>
                <w:sz w:val="18"/>
                <w:szCs w:val="18"/>
              </w:rPr>
              <w:t xml:space="preserve">€0.754</w:t>
            </w:r>
          </w:p>
        </w:tc>
        <w:tc>
          <w:tcPr>
            <w:tcW w:type="dxa" w:w="2400"/>
          </w:tcPr>
          <w:p>
            <w:r>
              <w:rPr>
                <w:rFonts w:ascii="Calibri" w:cs="Calibri" w:eastAsia="Calibri" w:hAnsi="Calibri"/>
                <w:color w:val="14120F"/>
                <w:sz w:val="18"/>
                <w:szCs w:val="18"/>
              </w:rPr>
              <w:t xml:space="preserve">↑ +0.046 €/L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C98500"/>
                <w:sz w:val="18"/>
                <w:szCs w:val="18"/>
              </w:rPr>
              <w:t xml:space="preserve">€0.804</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+0.049 €/L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C98500"/>
                <w:sz w:val="18"/>
                <w:szCs w:val="18"/>
              </w:rPr>
              <w:t xml:space="preserve">€0.802</w:t>
            </w:r>
          </w:p>
        </w:tc>
        <w:tc>
          <w:tcPr>
            <w:tcW w:type="dxa" w:w="2400"/>
          </w:tcPr>
          <w:p>
            <w:r>
              <w:rPr>
                <w:rFonts w:ascii="Calibri" w:cs="Calibri" w:eastAsia="Calibri" w:hAnsi="Calibri"/>
                <w:color w:val="14120F"/>
                <w:sz w:val="18"/>
                <w:szCs w:val="18"/>
              </w:rPr>
              <w:t xml:space="preserve">€0.755</w:t>
            </w:r>
          </w:p>
        </w:tc>
        <w:tc>
          <w:tcPr>
            <w:tcW w:type="dxa" w:w="2400"/>
          </w:tcPr>
          <w:p>
            <w:r>
              <w:rPr>
                <w:rFonts w:ascii="Calibri" w:cs="Calibri" w:eastAsia="Calibri" w:hAnsi="Calibri"/>
                <w:color w:val="14120F"/>
                <w:sz w:val="18"/>
                <w:szCs w:val="18"/>
              </w:rPr>
              <w:t xml:space="preserve">↑ +0.048 €/L</w:t>
            </w:r>
          </w:p>
        </w:tc>
      </w:tr>
    </w:tbl>
    <w:p>
      <w:r>
        <w:br w:type="page"/>
      </w:r>
    </w:p>
    <w:p>
      <w:pPr>
        <w:spacing w:after="80"/>
      </w:pPr>
      <w:r>
        <w:rPr>
          <w:rFonts w:ascii="Calibri" w:cs="Calibri" w:eastAsia="Calibri" w:hAnsi="Calibri"/>
          <w:b/>
          <w:bCs/>
          <w:color w:val="B9790A"/>
          <w:sz w:val="18"/>
          <w:szCs w:val="18"/>
        </w:rPr>
        <w:t xml:space="preserve">FUEL SPOTLIGHT · METANO (CNG)</w:t>
      </w:r>
    </w:p>
    <w:p>
      <w:pPr>
        <w:spacing w:after="180" w:before="0"/>
      </w:pPr>
      <w:r>
        <w:rPr>
          <w:rFonts w:ascii="Cambria" w:cs="Cambria" w:eastAsia="Cambria" w:hAnsi="Cambria"/>
          <w:b/>
          <w:bCs/>
          <w:color w:val="1F9C1F"/>
          <w:sz w:val="34"/>
          <w:szCs w:val="34"/>
        </w:rPr>
        <w:t xml:space="preserve">Metano's Enormous Regional Premium Is Actually Shrinking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LATEST SELF-SERVICE</w:t>
            </w:r>
          </w:p>
          <w:p>
            <w:pPr>
              <w:spacing w:before="60"/>
            </w:pPr>
            <w:r>
              <w:rPr>
                <w:rFonts w:ascii="Calibri" w:cs="Calibri" w:eastAsia="Calibri" w:hAnsi="Calibri"/>
                <w:b/>
                <w:bCs/>
                <w:color w:val="14120F"/>
                <w:sz w:val="28"/>
                <w:szCs w:val="28"/>
              </w:rPr>
              <w:t xml:space="preserve">€1.966</w:t>
            </w:r>
          </w:p>
          <w:p>
            <w:pPr>
              <w:spacing w:before="40"/>
            </w:pPr>
            <w:r>
              <w:rPr>
                <w:rFonts w:ascii="Calibri" w:cs="Calibri" w:eastAsia="Calibri" w:hAnsi="Calibri"/>
                <w:color w:val="5B564C"/>
                <w:sz w:val="17"/>
                <w:szCs w:val="17"/>
              </w:rPr>
              <w:t xml:space="preserve">Sep 16</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VS. YESTERDAY</w:t>
            </w:r>
          </w:p>
          <w:p>
            <w:pPr>
              <w:spacing w:before="60"/>
            </w:pPr>
            <w:r>
              <w:rPr>
                <w:rFonts w:ascii="Calibri" w:cs="Calibri" w:eastAsia="Calibri" w:hAnsi="Calibri"/>
                <w:b/>
                <w:bCs/>
                <w:color w:val="14120F"/>
                <w:sz w:val="28"/>
                <w:szCs w:val="28"/>
              </w:rPr>
              <w:t xml:space="preserve">→ 0.000 €/L</w:t>
            </w:r>
          </w:p>
          <w:p>
            <w:pPr>
              <w:spacing w:before="40"/>
            </w:pPr>
            <w:r>
              <w:rPr>
                <w:rFonts w:ascii="Calibri" w:cs="Calibri" w:eastAsia="Calibri" w:hAnsi="Calibri"/>
                <w:color w:val="5B564C"/>
                <w:sz w:val="17"/>
                <w:szCs w:val="17"/>
              </w:rPr>
              <w:t xml:space="preserve">day-over-day</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SINCE JUL 20</w:t>
            </w:r>
          </w:p>
          <w:p>
            <w:pPr>
              <w:spacing w:before="60"/>
            </w:pPr>
            <w:r>
              <w:rPr>
                <w:rFonts w:ascii="Calibri" w:cs="Calibri" w:eastAsia="Calibri" w:hAnsi="Calibri"/>
                <w:b/>
                <w:bCs/>
                <w:color w:val="14120F"/>
                <w:sz w:val="28"/>
                <w:szCs w:val="28"/>
              </w:rPr>
              <w:t xml:space="preserve">+9.3%</w:t>
            </w:r>
          </w:p>
          <w:p>
            <w:pPr>
              <w:spacing w:before="40"/>
            </w:pPr>
            <w:r>
              <w:rPr>
                <w:rFonts w:ascii="Calibri" w:cs="Calibri" w:eastAsia="Calibri" w:hAnsi="Calibri"/>
                <w:color w:val="5B564C"/>
                <w:sz w:val="17"/>
                <w:szCs w:val="17"/>
              </w:rPr>
              <w:t xml:space="preserve">Trentino-Alto Adige, weekly avg</w:t>
            </w:r>
          </w:p>
        </w:tc>
        <w:tc>
          <w:tcPr>
            <w:tcW w:type="dxa" w:w="2250"/>
            <w:shd w:fill="F7EEDD" w:val="clear"/>
            <w:tcMar>
              <w:top w:type="dxa" w:w="160"/>
              <w:left w:type="dxa" w:w="180"/>
              <w:bottom w:type="dxa" w:w="160"/>
              <w:right w:type="dxa" w:w="180"/>
            </w:tcMar>
            <w:vAlign w:val="top"/>
          </w:tcPr>
          <w:p>
            <w:r>
              <w:rPr>
                <w:rFonts w:ascii="Calibri" w:cs="Calibri" w:eastAsia="Calibri" w:hAnsi="Calibri"/>
                <w:b/>
                <w:bCs/>
                <w:color w:val="5B564C"/>
                <w:sz w:val="15"/>
                <w:szCs w:val="15"/>
              </w:rPr>
              <w:t xml:space="preserve">ITALY, SAME SPAN</w:t>
            </w:r>
          </w:p>
          <w:p>
            <w:pPr>
              <w:spacing w:before="60"/>
            </w:pPr>
            <w:r>
              <w:rPr>
                <w:rFonts w:ascii="Calibri" w:cs="Calibri" w:eastAsia="Calibri" w:hAnsi="Calibri"/>
                <w:b/>
                <w:bCs/>
                <w:color w:val="14120F"/>
                <w:sz w:val="28"/>
                <w:szCs w:val="28"/>
              </w:rPr>
              <w:t xml:space="preserve">+16.5%</w:t>
            </w:r>
          </w:p>
          <w:p>
            <w:pPr>
              <w:spacing w:before="40"/>
            </w:pPr>
            <w:r>
              <w:rPr>
                <w:rFonts w:ascii="Calibri" w:cs="Calibri" w:eastAsia="Calibri" w:hAnsi="Calibri"/>
                <w:color w:val="5B564C"/>
                <w:sz w:val="17"/>
                <w:szCs w:val="17"/>
              </w:rPr>
              <w:t xml:space="preserve">national weekly avg</w:t>
            </w:r>
          </w:p>
        </w:tc>
      </w:tr>
    </w:tbl>
    <w:p>
      <w:pPr>
        <w:spacing w:after="200"/>
      </w:pPr>
      <w:r>
        <w:rPr>
          <w:rFonts w:ascii="Calibri" w:cs="Calibri" w:eastAsia="Calibri" w:hAnsi="Calibri"/>
          <w:b w:val="false"/>
          <w:bCs w:val="false"/>
          <w:i w:val="false"/>
          <w:iCs w:val="false"/>
          <w:color w:val="14120F"/>
          <w:sz w:val="22"/>
          <w:szCs w:val="22"/>
        </w:rPr>
        <w:t xml:space="preserve"/>
      </w:r>
    </w:p>
    <w:p>
      <w:pPr>
        <w:spacing w:after="200"/>
      </w:pPr>
      <w:r>
        <w:rPr>
          <w:rFonts w:ascii="Calibri" w:cs="Calibri" w:eastAsia="Calibri" w:hAnsi="Calibri"/>
          <w:b w:val="false"/>
          <w:bCs w:val="false"/>
          <w:i w:val="false"/>
          <w:iCs w:val="false"/>
          <w:color w:val="14120F"/>
          <w:sz w:val="22"/>
          <w:szCs w:val="22"/>
        </w:rPr>
        <w:t xml:space="preserve">Metano was flat at €1.9660/kg on September 16 — no change from the prior day — but it carries by far the largest regional premium of any fuel: 11.7% above the €1.7608 national self-service average, a gap of just over 20 cents.</w:t>
      </w:r>
    </w:p>
    <w:p>
      <w:pPr>
        <w:spacing w:after="200"/>
      </w:pPr>
      <w:r>
        <w:rPr>
          <w:rFonts w:ascii="Calibri" w:cs="Calibri" w:eastAsia="Calibri" w:hAnsi="Calibri"/>
          <w:b w:val="false"/>
          <w:bCs w:val="false"/>
          <w:i w:val="false"/>
          <w:iCs w:val="false"/>
          <w:color w:val="14120F"/>
          <w:sz w:val="22"/>
          <w:szCs w:val="22"/>
        </w:rPr>
        <w:t xml:space="preserve">That's still a striking gap, but the more interesting trend is the direction it's moving. From the week of July 20 (€1.7993) to the week of September 14 (€1.9660), regional Metano rose 9.26%. Nationally, though, Metano climbed much faster — from €1.4999 to €1.7477, a 16.51% jump, nearly double the regional rate of increase. The result: the region's Metano premium over the national average has actually narrowed by about 27%, from a near-30-cent gap in late July to roughly 22 cents now. Trentino-Alto Adige still pays a steep premium for Metano, but the rest of Italy is closing the gap faster than the region is pulling away.</w:t>
      </w:r>
    </w:p>
    <w:p>
      <w:pPr>
        <w:spacing w:after="120"/>
      </w:pPr>
      <w:r>
        <w:rPr>
          <w:rFonts w:ascii="Calibri" w:cs="Calibri" w:eastAsia="Calibri" w:hAnsi="Calibri"/>
          <w:b/>
          <w:bCs/>
          <w:i w:val="false"/>
          <w:iCs w:val="false"/>
          <w:color w:val="5B564C"/>
          <w:sz w:val="18"/>
          <w:szCs w:val="18"/>
        </w:rPr>
        <w:t xml:space="preserve">Weekly self-service average, Trentino-Alto Adige vs. Italy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00"/>
      </w:tblGrid>
      <w:tr>
        <w:tc>
          <w:tcPr>
            <w:tcW w:type="dxa" w:w="1800"/>
            <w:shd w:fill="F0EDE6" w:val="clear"/>
          </w:tcPr>
          <w:p>
            <w:r>
              <w:rPr>
                <w:rFonts w:ascii="Calibri" w:cs="Calibri" w:eastAsia="Calibri" w:hAnsi="Calibri"/>
                <w:b/>
                <w:bCs/>
                <w:sz w:val="18"/>
                <w:szCs w:val="18"/>
              </w:rPr>
              <w:t xml:space="preserve">Week of</w:t>
            </w:r>
          </w:p>
        </w:tc>
        <w:tc>
          <w:tcPr>
            <w:tcW w:type="dxa" w:w="2400"/>
            <w:shd w:fill="F0EDE6" w:val="clear"/>
          </w:tcPr>
          <w:p>
            <w:r>
              <w:rPr>
                <w:rFonts w:ascii="Calibri" w:cs="Calibri" w:eastAsia="Calibri" w:hAnsi="Calibri"/>
                <w:b/>
                <w:bCs/>
                <w:sz w:val="18"/>
                <w:szCs w:val="18"/>
              </w:rPr>
              <w:t xml:space="preserve">Metano — Region</w:t>
            </w:r>
          </w:p>
        </w:tc>
        <w:tc>
          <w:tcPr>
            <w:tcW w:type="dxa" w:w="2400"/>
            <w:shd w:fill="F0EDE6" w:val="clear"/>
          </w:tcPr>
          <w:p>
            <w:r>
              <w:rPr>
                <w:rFonts w:ascii="Calibri" w:cs="Calibri" w:eastAsia="Calibri" w:hAnsi="Calibri"/>
                <w:b/>
                <w:bCs/>
                <w:sz w:val="18"/>
                <w:szCs w:val="18"/>
              </w:rPr>
              <w:t xml:space="preserve">Metano — Italy</w:t>
            </w:r>
          </w:p>
        </w:tc>
        <w:tc>
          <w:tcPr>
            <w:tcW w:type="dxa" w:w="2400"/>
            <w:shd w:fill="F0EDE6" w:val="clear"/>
          </w:tcPr>
          <w:p>
            <w:r>
              <w:rPr>
                <w:rFonts w:ascii="Calibri" w:cs="Calibri" w:eastAsia="Calibri" w:hAnsi="Calibri"/>
                <w:b/>
                <w:bCs/>
                <w:sz w:val="18"/>
                <w:szCs w:val="18"/>
              </w:rPr>
              <w:t xml:space="preserve">Region vs. Italy</w:t>
            </w:r>
          </w:p>
        </w:tc>
      </w:tr>
      <w:tr>
        <w:tc>
          <w:tcPr>
            <w:tcW w:type="dxa" w:w="1800"/>
          </w:tcPr>
          <w:p>
            <w:r>
              <w:rPr>
                <w:rFonts w:ascii="Calibri" w:cs="Calibri" w:eastAsia="Calibri" w:hAnsi="Calibri"/>
                <w:color w:val="14120F"/>
                <w:sz w:val="18"/>
                <w:szCs w:val="18"/>
              </w:rPr>
              <w:t xml:space="preserve">Jul 20</w:t>
            </w:r>
          </w:p>
        </w:tc>
        <w:tc>
          <w:tcPr>
            <w:tcW w:type="dxa" w:w="2400"/>
          </w:tcPr>
          <w:p>
            <w:r>
              <w:rPr>
                <w:rFonts w:ascii="Calibri" w:cs="Calibri" w:eastAsia="Calibri" w:hAnsi="Calibri"/>
                <w:color w:val="1F9C1F"/>
                <w:sz w:val="18"/>
                <w:szCs w:val="18"/>
              </w:rPr>
              <w:t xml:space="preserve">€1.799</w:t>
            </w:r>
          </w:p>
        </w:tc>
        <w:tc>
          <w:tcPr>
            <w:tcW w:type="dxa" w:w="2400"/>
          </w:tcPr>
          <w:p>
            <w:r>
              <w:rPr>
                <w:rFonts w:ascii="Calibri" w:cs="Calibri" w:eastAsia="Calibri" w:hAnsi="Calibri"/>
                <w:color w:val="14120F"/>
                <w:sz w:val="18"/>
                <w:szCs w:val="18"/>
              </w:rPr>
              <w:t xml:space="preserve">€1.500</w:t>
            </w:r>
          </w:p>
        </w:tc>
        <w:tc>
          <w:tcPr>
            <w:tcW w:type="dxa" w:w="2400"/>
          </w:tcPr>
          <w:p>
            <w:r>
              <w:rPr>
                <w:rFonts w:ascii="Calibri" w:cs="Calibri" w:eastAsia="Calibri" w:hAnsi="Calibri"/>
                <w:color w:val="14120F"/>
                <w:sz w:val="18"/>
                <w:szCs w:val="18"/>
              </w:rPr>
              <w:t xml:space="preserve">↑ +0.299 €/L</w:t>
            </w:r>
          </w:p>
        </w:tc>
      </w:tr>
      <w:tr>
        <w:tc>
          <w:tcPr>
            <w:tcW w:type="dxa" w:w="1800"/>
          </w:tcPr>
          <w:p>
            <w:r>
              <w:rPr>
                <w:rFonts w:ascii="Calibri" w:cs="Calibri" w:eastAsia="Calibri" w:hAnsi="Calibri"/>
                <w:color w:val="14120F"/>
                <w:sz w:val="18"/>
                <w:szCs w:val="18"/>
              </w:rPr>
              <w:t xml:space="preserve">Jul 27</w:t>
            </w:r>
          </w:p>
        </w:tc>
        <w:tc>
          <w:tcPr>
            <w:tcW w:type="dxa" w:w="2400"/>
          </w:tcPr>
          <w:p>
            <w:r>
              <w:rPr>
                <w:rFonts w:ascii="Calibri" w:cs="Calibri" w:eastAsia="Calibri" w:hAnsi="Calibri"/>
                <w:color w:val="1F9C1F"/>
                <w:sz w:val="18"/>
                <w:szCs w:val="18"/>
              </w:rPr>
              <w:t xml:space="preserve">€1.799</w:t>
            </w:r>
          </w:p>
        </w:tc>
        <w:tc>
          <w:tcPr>
            <w:tcW w:type="dxa" w:w="2400"/>
          </w:tcPr>
          <w:p>
            <w:r>
              <w:rPr>
                <w:rFonts w:ascii="Calibri" w:cs="Calibri" w:eastAsia="Calibri" w:hAnsi="Calibri"/>
                <w:color w:val="14120F"/>
                <w:sz w:val="18"/>
                <w:szCs w:val="18"/>
              </w:rPr>
              <w:t xml:space="preserve">€1.518</w:t>
            </w:r>
          </w:p>
        </w:tc>
        <w:tc>
          <w:tcPr>
            <w:tcW w:type="dxa" w:w="2400"/>
          </w:tcPr>
          <w:p>
            <w:r>
              <w:rPr>
                <w:rFonts w:ascii="Calibri" w:cs="Calibri" w:eastAsia="Calibri" w:hAnsi="Calibri"/>
                <w:color w:val="14120F"/>
                <w:sz w:val="18"/>
                <w:szCs w:val="18"/>
              </w:rPr>
              <w:t xml:space="preserve">↑ +0.282 €/L</w:t>
            </w:r>
          </w:p>
        </w:tc>
      </w:tr>
      <w:tr>
        <w:tc>
          <w:tcPr>
            <w:tcW w:type="dxa" w:w="1800"/>
          </w:tcPr>
          <w:p>
            <w:r>
              <w:rPr>
                <w:rFonts w:ascii="Calibri" w:cs="Calibri" w:eastAsia="Calibri" w:hAnsi="Calibri"/>
                <w:color w:val="14120F"/>
                <w:sz w:val="18"/>
                <w:szCs w:val="18"/>
              </w:rPr>
              <w:t xml:space="preserve">Aug 3</w:t>
            </w:r>
          </w:p>
        </w:tc>
        <w:tc>
          <w:tcPr>
            <w:tcW w:type="dxa" w:w="2400"/>
          </w:tcPr>
          <w:p>
            <w:r>
              <w:rPr>
                <w:rFonts w:ascii="Calibri" w:cs="Calibri" w:eastAsia="Calibri" w:hAnsi="Calibri"/>
                <w:color w:val="1F9C1F"/>
                <w:sz w:val="18"/>
                <w:szCs w:val="18"/>
              </w:rPr>
              <w:t xml:space="preserve">€1.799</w:t>
            </w:r>
          </w:p>
        </w:tc>
        <w:tc>
          <w:tcPr>
            <w:tcW w:type="dxa" w:w="2400"/>
          </w:tcPr>
          <w:p>
            <w:r>
              <w:rPr>
                <w:rFonts w:ascii="Calibri" w:cs="Calibri" w:eastAsia="Calibri" w:hAnsi="Calibri"/>
                <w:color w:val="14120F"/>
                <w:sz w:val="18"/>
                <w:szCs w:val="18"/>
              </w:rPr>
              <w:t xml:space="preserve">€1.551</w:t>
            </w:r>
          </w:p>
        </w:tc>
        <w:tc>
          <w:tcPr>
            <w:tcW w:type="dxa" w:w="2400"/>
          </w:tcPr>
          <w:p>
            <w:r>
              <w:rPr>
                <w:rFonts w:ascii="Calibri" w:cs="Calibri" w:eastAsia="Calibri" w:hAnsi="Calibri"/>
                <w:color w:val="14120F"/>
                <w:sz w:val="18"/>
                <w:szCs w:val="18"/>
              </w:rPr>
              <w:t xml:space="preserve">↑ +0.248 €/L</w:t>
            </w:r>
          </w:p>
        </w:tc>
      </w:tr>
      <w:tr>
        <w:tc>
          <w:tcPr>
            <w:tcW w:type="dxa" w:w="1800"/>
          </w:tcPr>
          <w:p>
            <w:r>
              <w:rPr>
                <w:rFonts w:ascii="Calibri" w:cs="Calibri" w:eastAsia="Calibri" w:hAnsi="Calibri"/>
                <w:color w:val="14120F"/>
                <w:sz w:val="18"/>
                <w:szCs w:val="18"/>
              </w:rPr>
              <w:t xml:space="preserve">Aug 10</w:t>
            </w:r>
          </w:p>
        </w:tc>
        <w:tc>
          <w:tcPr>
            <w:tcW w:type="dxa" w:w="2400"/>
          </w:tcPr>
          <w:p>
            <w:r>
              <w:rPr>
                <w:rFonts w:ascii="Calibri" w:cs="Calibri" w:eastAsia="Calibri" w:hAnsi="Calibri"/>
                <w:color w:val="1F9C1F"/>
                <w:sz w:val="18"/>
                <w:szCs w:val="18"/>
              </w:rPr>
              <w:t xml:space="preserve">€1.799</w:t>
            </w:r>
          </w:p>
        </w:tc>
        <w:tc>
          <w:tcPr>
            <w:tcW w:type="dxa" w:w="2400"/>
          </w:tcPr>
          <w:p>
            <w:r>
              <w:rPr>
                <w:rFonts w:ascii="Calibri" w:cs="Calibri" w:eastAsia="Calibri" w:hAnsi="Calibri"/>
                <w:color w:val="14120F"/>
                <w:sz w:val="18"/>
                <w:szCs w:val="18"/>
              </w:rPr>
              <w:t xml:space="preserve">€1.570</w:t>
            </w:r>
          </w:p>
        </w:tc>
        <w:tc>
          <w:tcPr>
            <w:tcW w:type="dxa" w:w="2400"/>
          </w:tcPr>
          <w:p>
            <w:r>
              <w:rPr>
                <w:rFonts w:ascii="Calibri" w:cs="Calibri" w:eastAsia="Calibri" w:hAnsi="Calibri"/>
                <w:color w:val="14120F"/>
                <w:sz w:val="18"/>
                <w:szCs w:val="18"/>
              </w:rPr>
              <w:t xml:space="preserve">↑ +0.229 €/L</w:t>
            </w:r>
          </w:p>
        </w:tc>
      </w:tr>
      <w:tr>
        <w:tc>
          <w:tcPr>
            <w:tcW w:type="dxa" w:w="1800"/>
          </w:tcPr>
          <w:p>
            <w:r>
              <w:rPr>
                <w:rFonts w:ascii="Calibri" w:cs="Calibri" w:eastAsia="Calibri" w:hAnsi="Calibri"/>
                <w:color w:val="14120F"/>
                <w:sz w:val="18"/>
                <w:szCs w:val="18"/>
              </w:rPr>
              <w:t xml:space="preserve">Aug 17</w:t>
            </w:r>
          </w:p>
        </w:tc>
        <w:tc>
          <w:tcPr>
            <w:tcW w:type="dxa" w:w="2400"/>
          </w:tcPr>
          <w:p>
            <w:r>
              <w:rPr>
                <w:rFonts w:ascii="Calibri" w:cs="Calibri" w:eastAsia="Calibri" w:hAnsi="Calibri"/>
                <w:color w:val="1F9C1F"/>
                <w:sz w:val="18"/>
                <w:szCs w:val="18"/>
              </w:rPr>
              <w:t xml:space="preserve">€1.832</w:t>
            </w:r>
          </w:p>
        </w:tc>
        <w:tc>
          <w:tcPr>
            <w:tcW w:type="dxa" w:w="2400"/>
          </w:tcPr>
          <w:p>
            <w:r>
              <w:rPr>
                <w:rFonts w:ascii="Calibri" w:cs="Calibri" w:eastAsia="Calibri" w:hAnsi="Calibri"/>
                <w:color w:val="14120F"/>
                <w:sz w:val="18"/>
                <w:szCs w:val="18"/>
              </w:rPr>
              <w:t xml:space="preserve">€1.581</w:t>
            </w:r>
          </w:p>
        </w:tc>
        <w:tc>
          <w:tcPr>
            <w:tcW w:type="dxa" w:w="2400"/>
          </w:tcPr>
          <w:p>
            <w:r>
              <w:rPr>
                <w:rFonts w:ascii="Calibri" w:cs="Calibri" w:eastAsia="Calibri" w:hAnsi="Calibri"/>
                <w:color w:val="14120F"/>
                <w:sz w:val="18"/>
                <w:szCs w:val="18"/>
              </w:rPr>
              <w:t xml:space="preserve">↑ +0.251 €/L</w:t>
            </w:r>
          </w:p>
        </w:tc>
      </w:tr>
      <w:tr>
        <w:tc>
          <w:tcPr>
            <w:tcW w:type="dxa" w:w="1800"/>
          </w:tcPr>
          <w:p>
            <w:r>
              <w:rPr>
                <w:rFonts w:ascii="Calibri" w:cs="Calibri" w:eastAsia="Calibri" w:hAnsi="Calibri"/>
                <w:color w:val="14120F"/>
                <w:sz w:val="18"/>
                <w:szCs w:val="18"/>
              </w:rPr>
              <w:t xml:space="preserve">Aug 24</w:t>
            </w:r>
          </w:p>
        </w:tc>
        <w:tc>
          <w:tcPr>
            <w:tcW w:type="dxa" w:w="2400"/>
          </w:tcPr>
          <w:p>
            <w:r>
              <w:rPr>
                <w:rFonts w:ascii="Calibri" w:cs="Calibri" w:eastAsia="Calibri" w:hAnsi="Calibri"/>
                <w:color w:val="1F9C1F"/>
                <w:sz w:val="18"/>
                <w:szCs w:val="18"/>
              </w:rPr>
              <w:t xml:space="preserve">€1.832</w:t>
            </w:r>
          </w:p>
        </w:tc>
        <w:tc>
          <w:tcPr>
            <w:tcW w:type="dxa" w:w="2400"/>
          </w:tcPr>
          <w:p>
            <w:r>
              <w:rPr>
                <w:rFonts w:ascii="Calibri" w:cs="Calibri" w:eastAsia="Calibri" w:hAnsi="Calibri"/>
                <w:color w:val="14120F"/>
                <w:sz w:val="18"/>
                <w:szCs w:val="18"/>
              </w:rPr>
              <w:t xml:space="preserve">€1.589</w:t>
            </w:r>
          </w:p>
        </w:tc>
        <w:tc>
          <w:tcPr>
            <w:tcW w:type="dxa" w:w="2400"/>
          </w:tcPr>
          <w:p>
            <w:r>
              <w:rPr>
                <w:rFonts w:ascii="Calibri" w:cs="Calibri" w:eastAsia="Calibri" w:hAnsi="Calibri"/>
                <w:color w:val="14120F"/>
                <w:sz w:val="18"/>
                <w:szCs w:val="18"/>
              </w:rPr>
              <w:t xml:space="preserve">↑ +0.243 €/L</w:t>
            </w:r>
          </w:p>
        </w:tc>
      </w:tr>
      <w:tr>
        <w:tc>
          <w:tcPr>
            <w:tcW w:type="dxa" w:w="1800"/>
          </w:tcPr>
          <w:p>
            <w:r>
              <w:rPr>
                <w:rFonts w:ascii="Calibri" w:cs="Calibri" w:eastAsia="Calibri" w:hAnsi="Calibri"/>
                <w:color w:val="14120F"/>
                <w:sz w:val="18"/>
                <w:szCs w:val="18"/>
              </w:rPr>
              <w:t xml:space="preserve">Aug 31</w:t>
            </w:r>
          </w:p>
        </w:tc>
        <w:tc>
          <w:tcPr>
            <w:tcW w:type="dxa" w:w="2400"/>
          </w:tcPr>
          <w:p>
            <w:r>
              <w:rPr>
                <w:rFonts w:ascii="Calibri" w:cs="Calibri" w:eastAsia="Calibri" w:hAnsi="Calibri"/>
                <w:color w:val="1F9C1F"/>
                <w:sz w:val="18"/>
                <w:szCs w:val="18"/>
              </w:rPr>
              <w:t xml:space="preserve">€1.854</w:t>
            </w:r>
          </w:p>
        </w:tc>
        <w:tc>
          <w:tcPr>
            <w:tcW w:type="dxa" w:w="2400"/>
          </w:tcPr>
          <w:p>
            <w:r>
              <w:rPr>
                <w:rFonts w:ascii="Calibri" w:cs="Calibri" w:eastAsia="Calibri" w:hAnsi="Calibri"/>
                <w:color w:val="14120F"/>
                <w:sz w:val="18"/>
                <w:szCs w:val="18"/>
              </w:rPr>
              <w:t xml:space="preserve">€1.616</w:t>
            </w:r>
          </w:p>
        </w:tc>
        <w:tc>
          <w:tcPr>
            <w:tcW w:type="dxa" w:w="2400"/>
          </w:tcPr>
          <w:p>
            <w:r>
              <w:rPr>
                <w:rFonts w:ascii="Calibri" w:cs="Calibri" w:eastAsia="Calibri" w:hAnsi="Calibri"/>
                <w:color w:val="14120F"/>
                <w:sz w:val="18"/>
                <w:szCs w:val="18"/>
              </w:rPr>
              <w:t xml:space="preserve">↑ +0.239 €/L</w:t>
            </w:r>
          </w:p>
        </w:tc>
      </w:tr>
      <w:tr>
        <w:tc>
          <w:tcPr>
            <w:tcW w:type="dxa" w:w="1800"/>
          </w:tcPr>
          <w:p>
            <w:r>
              <w:rPr>
                <w:rFonts w:ascii="Calibri" w:cs="Calibri" w:eastAsia="Calibri" w:hAnsi="Calibri"/>
                <w:color w:val="14120F"/>
                <w:sz w:val="18"/>
                <w:szCs w:val="18"/>
              </w:rPr>
              <w:t xml:space="preserve">Sep 7</w:t>
            </w:r>
          </w:p>
        </w:tc>
        <w:tc>
          <w:tcPr>
            <w:tcW w:type="dxa" w:w="2400"/>
          </w:tcPr>
          <w:p>
            <w:r>
              <w:rPr>
                <w:rFonts w:ascii="Calibri" w:cs="Calibri" w:eastAsia="Calibri" w:hAnsi="Calibri"/>
                <w:color w:val="1F9C1F"/>
                <w:sz w:val="18"/>
                <w:szCs w:val="18"/>
              </w:rPr>
              <w:t xml:space="preserve">€1.918</w:t>
            </w:r>
          </w:p>
        </w:tc>
        <w:tc>
          <w:tcPr>
            <w:tcW w:type="dxa" w:w="2400"/>
          </w:tcPr>
          <w:p>
            <w:r>
              <w:rPr>
                <w:rFonts w:ascii="Calibri" w:cs="Calibri" w:eastAsia="Calibri" w:hAnsi="Calibri"/>
                <w:color w:val="14120F"/>
                <w:sz w:val="18"/>
                <w:szCs w:val="18"/>
              </w:rPr>
              <w:t xml:space="preserve">€1.702</w:t>
            </w:r>
          </w:p>
        </w:tc>
        <w:tc>
          <w:tcPr>
            <w:tcW w:type="dxa" w:w="2400"/>
          </w:tcPr>
          <w:p>
            <w:r>
              <w:rPr>
                <w:rFonts w:ascii="Calibri" w:cs="Calibri" w:eastAsia="Calibri" w:hAnsi="Calibri"/>
                <w:color w:val="14120F"/>
                <w:sz w:val="18"/>
                <w:szCs w:val="18"/>
              </w:rPr>
              <w:t xml:space="preserve">↑ +0.216 €/L</w:t>
            </w:r>
          </w:p>
        </w:tc>
      </w:tr>
      <w:tr>
        <w:tc>
          <w:tcPr>
            <w:tcW w:type="dxa" w:w="1800"/>
          </w:tcPr>
          <w:p>
            <w:r>
              <w:rPr>
                <w:rFonts w:ascii="Calibri" w:cs="Calibri" w:eastAsia="Calibri" w:hAnsi="Calibri"/>
                <w:color w:val="14120F"/>
                <w:sz w:val="18"/>
                <w:szCs w:val="18"/>
              </w:rPr>
              <w:t xml:space="preserve">Sep 14</w:t>
            </w:r>
          </w:p>
        </w:tc>
        <w:tc>
          <w:tcPr>
            <w:tcW w:type="dxa" w:w="2400"/>
          </w:tcPr>
          <w:p>
            <w:r>
              <w:rPr>
                <w:rFonts w:ascii="Calibri" w:cs="Calibri" w:eastAsia="Calibri" w:hAnsi="Calibri"/>
                <w:color w:val="1F9C1F"/>
                <w:sz w:val="18"/>
                <w:szCs w:val="18"/>
              </w:rPr>
              <w:t xml:space="preserve">€1.966</w:t>
            </w:r>
          </w:p>
        </w:tc>
        <w:tc>
          <w:tcPr>
            <w:tcW w:type="dxa" w:w="2400"/>
          </w:tcPr>
          <w:p>
            <w:r>
              <w:rPr>
                <w:rFonts w:ascii="Calibri" w:cs="Calibri" w:eastAsia="Calibri" w:hAnsi="Calibri"/>
                <w:color w:val="14120F"/>
                <w:sz w:val="18"/>
                <w:szCs w:val="18"/>
              </w:rPr>
              <w:t xml:space="preserve">€1.748</w:t>
            </w:r>
          </w:p>
        </w:tc>
        <w:tc>
          <w:tcPr>
            <w:tcW w:type="dxa" w:w="2400"/>
          </w:tcPr>
          <w:p>
            <w:r>
              <w:rPr>
                <w:rFonts w:ascii="Calibri" w:cs="Calibri" w:eastAsia="Calibri" w:hAnsi="Calibri"/>
                <w:color w:val="14120F"/>
                <w:sz w:val="18"/>
                <w:szCs w:val="18"/>
              </w:rPr>
              <w:t xml:space="preserve">↑ +0.218 €/L</w:t>
            </w:r>
          </w:p>
        </w:tc>
      </w:tr>
    </w:tbl>
    <w:p>
      <w:r>
        <w:br w:type="page"/>
      </w:r>
    </w:p>
    <w:p>
      <w:pPr>
        <w:spacing w:after="80"/>
      </w:pPr>
      <w:r>
        <w:rPr>
          <w:rFonts w:ascii="Calibri" w:cs="Calibri" w:eastAsia="Calibri" w:hAnsi="Calibri"/>
          <w:b/>
          <w:bCs/>
          <w:color w:val="B9790A"/>
          <w:sz w:val="18"/>
          <w:szCs w:val="18"/>
        </w:rPr>
        <w:t xml:space="preserve">STATION NETWORK</w:t>
      </w:r>
    </w:p>
    <w:p>
      <w:pPr>
        <w:spacing w:after="180" w:before="0"/>
      </w:pPr>
      <w:r>
        <w:rPr>
          <w:rFonts w:ascii="Cambria" w:cs="Cambria" w:eastAsia="Cambria" w:hAnsi="Cambria"/>
          <w:b/>
          <w:bCs/>
          <w:color w:val="14120F"/>
          <w:sz w:val="34"/>
          <w:szCs w:val="34"/>
        </w:rPr>
        <w:t xml:space="preserve">A Reporting Rate Well Above the National Average</w:t>
      </w:r>
    </w:p>
    <w:p>
      <w:pPr>
        <w:spacing w:after="200"/>
      </w:pPr>
      <w:r>
        <w:rPr>
          <w:rFonts w:ascii="Calibri" w:cs="Calibri" w:eastAsia="Calibri" w:hAnsi="Calibri"/>
          <w:b w:val="false"/>
          <w:bCs w:val="false"/>
          <w:i w:val="false"/>
          <w:iCs w:val="false"/>
          <w:color w:val="14120F"/>
          <w:sz w:val="22"/>
          <w:szCs w:val="22"/>
        </w:rPr>
        <w:t xml:space="preserve">Trentino-Alto Adige has 392 registered fuel stations, of which 372 reported prices on September 16 — a 94.9% reporting rate. That's noticeably higher than the 90.2% rate seen across Italy's roughly 24,000 registered stations (21,645 reporting nationally today).</w:t>
      </w:r>
    </w:p>
    <w:p>
      <w:pPr>
        <w:spacing w:after="200"/>
      </w:pPr>
      <w:r>
        <w:rPr>
          <w:rFonts w:ascii="Calibri" w:cs="Calibri" w:eastAsia="Calibri" w:hAnsi="Calibri"/>
          <w:b w:val="false"/>
          <w:bCs w:val="false"/>
          <w:i w:val="false"/>
          <w:iCs w:val="false"/>
          <w:color w:val="14120F"/>
          <w:sz w:val="22"/>
          <w:szCs w:val="22"/>
        </w:rPr>
        <w:t xml:space="preserve">A high reporting rate matters because it's what makes the region's average prices trustworthy day to day: with only a handful of stations not reporting, Trentino-Alto Adige's figures reflect close to the full local market rather than a thin, potentially unrepresentative sample. It's also a useful sanity check on the numbers in this report — a sudden drop in the reporting rate would be the first sign that a day's regional average should be read with more caution.</w:t>
      </w:r>
    </w:p>
    <w:p>
      <w:r>
        <w:br w:type="page"/>
      </w:r>
    </w:p>
    <w:p>
      <w:pPr>
        <w:spacing w:after="80"/>
      </w:pPr>
      <w:r>
        <w:rPr>
          <w:rFonts w:ascii="Calibri" w:cs="Calibri" w:eastAsia="Calibri" w:hAnsi="Calibri"/>
          <w:b/>
          <w:bCs/>
          <w:color w:val="B9790A"/>
          <w:sz w:val="18"/>
          <w:szCs w:val="18"/>
        </w:rPr>
        <w:t xml:space="preserve">HOW THIS REPORT IS BUILT</w:t>
      </w:r>
    </w:p>
    <w:p>
      <w:pPr>
        <w:spacing w:after="180" w:before="0"/>
      </w:pPr>
      <w:r>
        <w:rPr>
          <w:rFonts w:ascii="Cambria" w:cs="Cambria" w:eastAsia="Cambria" w:hAnsi="Cambria"/>
          <w:b/>
          <w:bCs/>
          <w:color w:val="14120F"/>
          <w:sz w:val="34"/>
          <w:szCs w:val="34"/>
        </w:rPr>
        <w:t xml:space="preserve">How This Report Gets Made — Without a Spreadsheet in Sight</w:t>
      </w:r>
    </w:p>
    <w:p>
      <w:pPr>
        <w:spacing w:after="200"/>
      </w:pPr>
      <w:r>
        <w:rPr>
          <w:rFonts w:ascii="Calibri" w:cs="Calibri" w:eastAsia="Calibri" w:hAnsi="Calibri"/>
          <w:b w:val="false"/>
          <w:bCs w:val="false"/>
          <w:i w:val="false"/>
          <w:iCs w:val="false"/>
          <w:color w:val="14120F"/>
          <w:sz w:val="22"/>
          <w:szCs w:val="22"/>
        </w:rPr>
        <w:t xml:space="preserve">Everything in this report — the daily price data, the region-of-the-day rotation, the week-by-week trend analysis, and the prose itself — is produced automatically, every day, by an unattended pipeline built with Claude Code. A scheduled job pulls the day's price and station-registry data, deterministically picks a region to feature (a fixed alphabetical rotation over Italy's 20 regions, keyed to the calendar date), computes the weekly regional-vs-national comparisons, and then an AI agent reads those real numbers and writes the analysis from scratch — nothing here is a template with numbers dropped in.</w:t>
      </w:r>
    </w:p>
    <w:p>
      <w:pPr>
        <w:spacing w:after="200"/>
      </w:pPr>
      <w:r>
        <w:rPr>
          <w:rFonts w:ascii="Calibri" w:cs="Calibri" w:eastAsia="Calibri" w:hAnsi="Calibri"/>
          <w:b w:val="false"/>
          <w:bCs w:val="false"/>
          <w:i w:val="false"/>
          <w:iCs w:val="false"/>
          <w:color w:val="14120F"/>
          <w:sz w:val="22"/>
          <w:szCs w:val="22"/>
        </w:rPr>
        <w:t xml:space="preserve">Contrast that with the traditional way this kind of tracking gets done: someone manually downloading a CSV each morning, pasting it into a spreadsheet, recalculating a handful of averages by hand, and writing up a summary if and when they get around to it. That approach doesn't scale past one or two fuels or one region, and it breaks the moment someone forgets a day. This pipeline runs the same way every single day, covers all four fuels and all 20 regions in rotation, and produces a full report plus a live dashboard update without anyone opening Excel.</w:t>
      </w:r>
    </w:p>
    <w:p>
      <w:r>
        <w:br w:type="page"/>
      </w:r>
    </w:p>
    <w:p>
      <w:pPr>
        <w:spacing w:after="80"/>
      </w:pPr>
      <w:r>
        <w:rPr>
          <w:rFonts w:ascii="Calibri" w:cs="Calibri" w:eastAsia="Calibri" w:hAnsi="Calibri"/>
          <w:b/>
          <w:bCs/>
          <w:color w:val="B9790A"/>
          <w:sz w:val="18"/>
          <w:szCs w:val="18"/>
        </w:rPr>
        <w:t xml:space="preserve">VISIT THE DASHBOARD</w:t>
      </w:r>
    </w:p>
    <w:p>
      <w:pPr>
        <w:spacing w:after="180" w:before="0"/>
      </w:pPr>
      <w:r>
        <w:rPr>
          <w:rFonts w:ascii="Cambria" w:cs="Cambria" w:eastAsia="Cambria" w:hAnsi="Cambria"/>
          <w:b/>
          <w:bCs/>
          <w:color w:val="14120F"/>
          <w:sz w:val="34"/>
          <w:szCs w:val="34"/>
        </w:rPr>
        <w:t xml:space="preserve">Explore the Rest of Italy on the Live Dashboard</w:t>
      </w:r>
    </w:p>
    <w:p>
      <w:pPr>
        <w:spacing w:after="200"/>
      </w:pPr>
      <w:r>
        <w:rPr>
          <w:rFonts w:ascii="Calibri" w:cs="Calibri" w:eastAsia="Calibri" w:hAnsi="Calibri"/>
          <w:b w:val="false"/>
          <w:bCs w:val="false"/>
          <w:i w:val="false"/>
          <w:iCs w:val="false"/>
          <w:color w:val="14120F"/>
          <w:sz w:val="22"/>
          <w:szCs w:val="22"/>
        </w:rPr>
        <w:t xml:space="preserve">Trentino-Alto Adige is just today's spotlight — the Fuel Dashboard tracks all 20 Italian regions, every province, and thousands of individual comuni and stations, updated daily. Visit https://adeo-blip.github.io/fuel-price-italy/ to filter by your own region, compare fuels side by side, or see which part of Italy is paying the most (or least) right now.</w:t>
      </w:r>
    </w:p>
    <w:p>
      <w:pPr>
        <w:spacing w:after="320"/>
      </w:pPr>
      <w:r>
        <w:rPr>
          <w:rFonts w:ascii="Calibri" w:cs="Calibri" w:eastAsia="Calibri" w:hAnsi="Calibri"/>
          <w:b/>
          <w:bCs/>
          <w:i w:val="false"/>
          <w:iCs w:val="false"/>
          <w:color w:val="B9790A"/>
          <w:sz w:val="24"/>
          <w:szCs w:val="24"/>
        </w:rPr>
        <w:t xml:space="preserve">https://adeo-blip.github.io/fuel-price-italy/</w:t>
      </w:r>
    </w:p>
    <w:p>
      <w:pPr>
        <w:pBdr>
          <w:top w:val="single" w:color="E6E2D8" w:sz="6" w:space="8"/>
        </w:pBdr>
        <w:spacing w:before="200"/>
      </w:pPr>
      <w:r>
        <w:rPr>
          <w:rFonts w:ascii="Calibri" w:cs="Calibri" w:eastAsia="Calibri" w:hAnsi="Calibri"/>
          <w:b/>
          <w:bCs/>
          <w:color w:val="14120F"/>
          <w:sz w:val="20"/>
          <w:szCs w:val="20"/>
        </w:rPr>
        <w:t xml:space="preserve">Adeo Patapo</w:t>
      </w:r>
    </w:p>
    <w:p>
      <w:pPr>
        <w:spacing w:after="0"/>
      </w:pPr>
      <w:r>
        <w:rPr>
          <w:rFonts w:ascii="Calibri" w:cs="Calibri" w:eastAsia="Calibri" w:hAnsi="Calibri"/>
          <w:b w:val="false"/>
          <w:bCs w:val="false"/>
          <w:i w:val="false"/>
          <w:iCs w:val="false"/>
          <w:color w:val="5B564C"/>
          <w:sz w:val="18"/>
          <w:szCs w:val="18"/>
        </w:rPr>
        <w:t xml:space="preserve">adeopatapo@gmail.com · +39 366 378 6189</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2026-09-17T09:59:17.583Z</dcterms:created>
  <dcterms:modified xsi:type="dcterms:W3CDTF">2026-09-17T09:59:17.583Z</dcterms:modified>
</cp:coreProperties>
</file>

<file path=docProps/custom.xml><?xml version="1.0" encoding="utf-8"?>
<Properties xmlns="http://schemas.openxmlformats.org/officeDocument/2006/custom-properties" xmlns:vt="http://schemas.openxmlformats.org/officeDocument/2006/docPropsVTypes"/>
</file>